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6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6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6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w:t>
      </w:r>
    </w:p>
    <w:p>
      <w:pPr>
        <w:spacing w:after="6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60" w:before="0" w:line="230"/>
        <w:jc w:val="both"/>
      </w:pPr>
      <w:r>
        <w:rPr>
          <w:rFonts w:ascii="Times New Roman" w:cs="Times New Roman" w:eastAsia="Times New Roman" w:hAnsi="Times New Roman"/>
          <w:sz w:val="20"/>
          <w:szCs w:val="20"/>
        </w:rPr>
        <w:t xml:space="preserve">The narrative review examined grant access, eligibility measurement and prediction using Scopus, Dimensions, IEEE Xplore, SABINET/African Journals Online, Google Scholar and Statistics South Africa/DataFirst. Selection considered relevance to the question, population, outcome and methods. Studies differed in programme, setting, unit, outcome, findings and limitations, preventing a pooled estimate.</w:t>
      </w:r>
    </w:p>
    <w:p>
      <w:pPr>
        <w:spacing w:after="60" w:before="0" w:line="230"/>
        <w:jc w:val="both"/>
      </w:pPr>
      <w:r>
        <w:rPr>
          <w:rFonts w:ascii="Times New Roman" w:cs="Times New Roman" w:eastAsia="Times New Roman" w:hAnsi="Times New Roman"/>
          <w:sz w:val="20"/>
          <w:szCs w:val="20"/>
        </w:rPr>
        <w:t xml:space="preserve">Supplementary Table S5 preserves eight recorded queries dated 17 August 2026, with source-specific hit and retained-source counts. The reported flow is 511 hits, 136 duplicates removed, 375 titles/abstracts screened, 222 exclusions, 153 full-text assessments, 98 further exclusions and 55 retained sources across grants and populations, rather than 55 OPG studies. The original exports, item-level screening decisions and complete 55-source extraction register are not included in the accompanying evidence. The recorded totals therefore do not independently reproduce deduplication or selection. The synthesis provides contextual evidence without establishing exhaustive literature coverage.</w:t>
      </w:r>
    </w:p>
    <w:p>
      <w:pPr>
        <w:spacing w:after="6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6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6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6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6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6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6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w:t>
      </w:r>
    </w:p>
    <w:p>
      <w:pPr>
        <w:spacing w:after="6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6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w:t>
      </w:r>
    </w:p>
    <w:p>
      <w:pPr>
        <w:spacing w:after="6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6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w:t>
      </w:r>
    </w:p>
    <w:p>
      <w:pPr>
        <w:spacing w:after="6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6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6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Government Notice R211, a separate amendment in the same gazette, substituted D = 1.6A − 0.4B from 1 April 2014 in Schedule paragraph 2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w:t>
      </w:r>
    </w:p>
    <w:p>
      <w:pPr>
        <w:spacing w:after="6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w:t>
      </w:r>
    </w:p>
    <w:p>
      <w:pPr>
        <w:spacing w:after="6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6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6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w:t>
      </w:r>
    </w:p>
    <w:p>
      <w:pPr>
        <w:spacing w:after="6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6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60" w:before="0" w:line="230"/>
        <w:jc w:val="both"/>
      </w:pPr>
      <w:r>
        <w:rPr>
          <w:rFonts w:ascii="Times New Roman" w:cs="Times New Roman" w:eastAsia="Times New Roman" w:hAnsi="Times New Roman"/>
          <w:sz w:val="20"/>
          <w:szCs w:val="20"/>
        </w:rPr>
        <w:t xml:space="preserve">Rural formal settlement had 31 adults and one non-recipient. One seven-slope training fold then contained 30 rural-formal adults and no event; its coefficient was about −21.88 and did not converge. Four of five folds converged. Decision D-052 combined rural formal with traditional settlement after that outcome pattern was known, so the retained cross-validation can be optimistic and does not show that the settings are equivalent. Supplementary Table S2 retains this failed attempt as a diagnostic. Ridge logistic regression was then applied to both codings on the same household folds. Five inner household folds selected C by mean Brier score, with training-only imputation and scaling; all ten outer fits chose C = 0.1 and converged. Held-out AUC was 0.756 for the merged coding and 0.750 for the separate coding (Supplementary Table S2). The ordinary merged model remains the reference. This comparison does not make Decision D-052 outcome-independent. Income, receipt, derived labels and marital status do not enter the primary model.</w:t>
      </w:r>
    </w:p>
    <w:p>
      <w:pPr>
        <w:spacing w:after="60" w:before="0" w:line="23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The intercept-only reference uses the training group's non-receipt rate.</w:t>
      </w:r>
    </w:p>
    <w:p>
      <w:pPr>
        <w:spacing w:after="60" w:before="0" w:line="23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w:t>
      </w:r>
    </w:p>
    <w:p>
      <w:pPr>
        <w:spacing w:after="60" w:before="0" w:line="23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These intervals condition on seed 201415, its preprocessing and fits, and Decision D-052. They do not repeat the split, imputation or estimation, and they are not survey-design confidence intervals. Twenty household-grouped repetitions (seeds 201415–201434) repeated training-only imputation and refitting, with D-052 fixed. Metrics pooled one held-out prediction per adult within each repetition (Supplementary Table S3).</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6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 Supplementary Tables S1–S5 provide the scenario rules, ridge comparison, repeated refits, descriptive summaries and search record.</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6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w:t>
      </w:r>
    </w:p>
    <w:p>
      <w:pPr>
        <w:spacing w:after="6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6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package uses invented data and excludes survey microdata.</w:t>
      </w:r>
    </w:p>
    <w:p>
      <w:pPr>
        <w:spacing w:after="6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6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6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separates unweighted sample summaries from person-weighted summaries before missing values are filled.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reported OPG receipt, before imputation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N = 946</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N = 67</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unw.; 69.8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unw.; 68.4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unw.; 70.4%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unw.; 53.4%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unw.; 33.0%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unw.; 80.8%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 missing</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 (0.3%) unw.; 0.4%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 (0.0%) unw.; 0.0%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unw.; 36.2%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unw.; 66.2%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unw.; 72.0%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unw.; 40.3% wtd</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 missing</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14 (1.5%) unw.; 1.8% wtd</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 (6.0%) unw.; 7.2% wtd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unw. is the unweighted count and percentage, or the unweighted mean age. wtd is the person-weighted percentage or mean. Missing predictors remain in the denominators. Supplementary Table S4 prints the unweighted and weighted values in separate columns. These summaries have no uncertainty intervals.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60" w:before="0" w:line="230"/>
        <w:jc w:val="both"/>
      </w:pPr>
      <w:r>
        <w:rPr>
          <w:rFonts w:ascii="Times New Roman" w:cs="Times New Roman" w:eastAsia="Times New Roman" w:hAnsi="Times New Roman"/>
          <w:sz w:val="20"/>
          <w:szCs w:val="20"/>
        </w:rPr>
        <w:t xml:space="preserve">Table VI summarises changed-cohort scenarios alongside the baseline and unchanged-scenario reference. Changed cohorts were refitted. Unchanged cohorts reused the primary predictions, so matching performance is not an independent fit. Supplementary Table S1 defines every rule.</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Performance uses no weights. S1b uses the 2015 ceiling at every interview. S1d uses the income level at which the formula pays nothing; it admitted the same two adults as S1b. S2a/S2b screen living-together adults as couples/single. S2c screens separated adults as single; S2d screens both as single. S3 retains disability-grant recipients and adds no war-veterans recipient. S4b keeps social-assistance income in the proxy.</w:t>
      </w:r>
    </w:p>
    <w:p>
      <w:pPr>
        <w:spacing w:after="60" w:before="0" w:line="230"/>
        <w:jc w:val="both"/>
      </w:pPr>
      <w:r>
        <w:rPr>
          <w:rFonts w:ascii="Times New Roman" w:cs="Times New Roman" w:eastAsia="Times New Roman" w:hAnsi="Times New Roman"/>
          <w:sz w:val="20"/>
          <w:szCs w:val="20"/>
        </w:rPr>
        <w:t xml:space="preserve">*S1a, S1c, S4a, S4c, S5 and S6a/S6b keep the S0 counts and reuse its predictions. Identical counts do not make the rules equivalent. No PASS adult has unresolved receipt for S6a/S6b to bound. Definitions are in Supplementary Table S1.</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6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60" w:before="0" w:line="230"/>
        <w:jc w:val="both"/>
      </w:pPr>
      <w:r>
        <w:rPr>
          <w:rFonts w:ascii="Times New Roman" w:cs="Times New Roman" w:eastAsia="Times New Roman" w:hAnsi="Times New Roman"/>
          <w:sz w:val="20"/>
          <w:szCs w:val="20"/>
        </w:rPr>
        <w:t xml:space="preserve">The odds ratio for women versus men was 0.39 (Wald interval 0.23–0.66). Schooling below Grade 7 versus Grade 7 or above gave 0.24 (0.13–0.43). These full-sample associations are not held-out performance or causes. Only 67 events supported six slopes. Across the 100 refitted training folds, the female and below-Grade-7 coefficients stayed negative, while the urban-informal coefficient changed sign. Age, settlement and welfare-distance intervals included 1. That is limited precision, not evidence of no association, and those intervals omit the settlement-coding decision. The 20 repeated splits gave 100 converged fits. AUC ranged from 0.733 to 0.773 (median 0.753) and the calibration slope from 0.738 to 0.943 (median 0.837). Supplementary Table S3 gives the median, interquartile range and range for every performance measure, and the coefficient ranges. That spread is a sensitivity summary for the fixed coding, not a confidence interval.</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6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60" w:before="0" w:line="230"/>
        <w:jc w:val="both"/>
      </w:pPr>
      <w:r>
        <w:rPr>
          <w:rFonts w:ascii="Times New Roman" w:cs="Times New Roman" w:eastAsia="Times New Roman" w:hAnsi="Times New Roman"/>
          <w:sz w:val="20"/>
          <w:szCs w:val="20"/>
        </w:rPr>
        <w:t xml:space="preserve">The owner walkthrough used synthetic records. It checks exports, not representative task times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6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6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6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6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60" w:before="0" w:line="230"/>
        <w:jc w:val="both"/>
      </w:pPr>
      <w:r>
        <w:rPr>
          <w:rFonts w:ascii="Times New Roman" w:cs="Times New Roman" w:eastAsia="Times New Roman" w:hAnsi="Times New Roman"/>
          <w:sz w:val="20"/>
          <w:szCs w:val="20"/>
        </w:rPr>
        <w:t xml:space="preserve">RQ3 separates synthetic rule checks, repeatability, UI–CLI agreement, model reloading, the owner's walkthrough and participant usability. Table IX supports the first five within tested conditions; it does not establish independent user ease, acceptance or field success. Supplementary Tables S1–S5 and the aggregate evidence files document rule settings, validation procedures and recorded searches.</w:t>
      </w:r>
    </w:p>
    <w:p>
      <w:pPr>
        <w:spacing w:after="60" w:before="0" w:line="230"/>
        <w:jc w:val="both"/>
      </w:pPr>
      <w:r>
        <w:rPr>
          <w:rFonts w:ascii="Times New Roman" w:cs="Times New Roman" w:eastAsia="Times New Roman" w:hAnsi="Times New Roman"/>
          <w:sz w:val="20"/>
          <w:szCs w:val="20"/>
        </w:rPr>
        <w:t xml:space="preserve">Application scores may overlap training data and remain separate from historical OOF results. Reload agreement checks score persistence, not new predictive accuracy. Participant clarity remains untested; the task sheet supports future evaluation.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6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w:t>
      </w:r>
    </w:p>
    <w:p>
      <w:pPr>
        <w:spacing w:after="6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6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w:t>
      </w:r>
    </w:p>
    <w:p>
      <w:pPr>
        <w:spacing w:after="6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6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 Future work should validate the frozen model in independent provincial or later-period data, using comparable screening and receipt definitions, and should assess discrimination, calibration and probability error before any updating. Intended users should also complete synthetic-data tasks that record task success, errors, completion time and perceived ease of use.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 ISBN 978-0-621-45185-6.</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2026-10-21T12:12:52.514Z</dcterms:created>
  <dcterms:modified xsi:type="dcterms:W3CDTF">2026-10-21T12:12:52.514Z</dcterms:modified>
</cp:coreProperties>
</file>

<file path=docProps/custom.xml><?xml version="1.0" encoding="utf-8"?>
<Properties xmlns="http://schemas.openxmlformats.org/officeDocument/2006/custom-properties" xmlns:vt="http://schemas.openxmlformats.org/officeDocument/2006/docPropsVTypes"/>
</file>