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w:t>
      </w:r>
    </w:p>
    <w:p>
      <w:pPr>
        <w:spacing w:after="80" w:before="0" w:line="230"/>
        <w:jc w:val="both"/>
      </w:pPr>
      <w:r>
        <w:rPr>
          <w:rFonts w:ascii="Times New Roman" w:cs="Times New Roman" w:eastAsia="Times New Roman" w:hAnsi="Times New Roman"/>
          <w:sz w:val="20"/>
          <w:szCs w:val="20"/>
        </w:rPr>
        <w:t xml:space="preserve">Table II links five predictors to possible barriers. They are proxies, rather than direct measures of grant awareness, journeys or discrimination. LCS does not record application paperwork, travel spending, waiting, stigma or stress. The study used theory to choose predictors; the model cannot establish that barriers caused non-receipt.</w:t>
      </w:r>
    </w:p>
    <w:p>
      <w:pPr>
        <w:keepNext/>
        <w:spacing w:after="30" w:before="80" w:line="240" w:lineRule="auto"/>
        <w:jc w:val="center"/>
      </w:pPr>
      <w:r>
        <w:drawing>
          <wp:inline distT="0" distB="0" distL="0" distR="0">
            <wp:extent cx="3200400" cy="3105150"/>
            <wp:effectExtent t="0" r="0" b="0" l="0"/>
            <wp:docPr id="1" name="Fig. 1. Theory guides the choice of survey measures. Arrows show measurement choices and research steps; they do not show proven causes. The survey does not record every condition of legal entitlement." descr="Fig. 1. Theory guides the choice of survey measures. Arrows show measurement choices and research steps; they do not show proven causes. The survey does not record every condition of legal entitlement." title="Fig. 1. Theory guides the choice of survey measures. Arrows show measurement choices and research steps; they do not show proven causes. The survey does not record every condition of legal entit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105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Theory guides the choice of survey measures. Arrows show measurement choices and research steps; they do not show proven causes. The survey does not record every condition of legal entitlement.</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Predictors suggested by the literature and their limits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2340"/>
      </w:tblGrid>
      <w:tr>
        <w:trPr>
          <w:cantSplit/>
          <w:tblHeader/>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Conceptual connection</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Observable coding and limit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across age groups [3]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Each decade above 60; does not record health or application history.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differs by sex [3], [4]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compared with male; does not measure social roles or discrimination.</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May help people find and understand information [10], [13]</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compared with Grade 7 or above; does not measure awareness or literacy.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Where people live may affect service access [6], [14], [15]</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Two settlement comparisons with formal urban areas; does not measure office capacity.</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Reaching an office may require effort [10], [14]</w:t>
            </w:r>
          </w:p>
        </w:tc>
        <w:tc>
          <w:tcPr>
            <w:tcW w:type="dxa" w:w="23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compared with nearer; does not record visits or travel costs.</w:t>
            </w:r>
          </w:p>
        </w:tc>
      </w:tr>
    </w:tbl>
    <w:p>
      <w:pPr>
        <w:spacing w:after="80" w:before="0" w:line="230"/>
        <w:jc w:val="both"/>
      </w:pPr>
      <w:r>
        <w:rPr>
          <w:rFonts w:ascii="Times New Roman" w:cs="Times New Roman" w:eastAsia="Times New Roman" w:hAnsi="Times New Roman"/>
          <w:sz w:val="20"/>
          <w:szCs w:val="20"/>
        </w:rPr>
        <w:t xml:space="preserve">Figure 1 separates screening, receipt and prediction; the tool displays each for inspection. Weighted percentages describe the screened population. Testing on excluded households checks prediction within this survey. The application scores uploaded records using saved model settings. These scores remain separate from test results and never change screening or receipt.</w:t>
      </w:r>
    </w:p>
    <w:p>
      <w:pPr>
        <w:spacing w:after="80" w:before="0" w:line="230"/>
        <w:jc w:val="both"/>
      </w:pPr>
      <w:r>
        <w:rPr>
          <w:rFonts w:ascii="Times New Roman" w:cs="Times New Roman" w:eastAsia="Times New Roman" w:hAnsi="Times New Roman"/>
          <w:sz w:val="20"/>
          <w:szCs w:val="20"/>
        </w:rPr>
        <w:t xml:space="preserve">With few non-recipients, the evaluation assessed precision and calibration, alongside ranking [16], [17]. The number of people studied and testing on excluded households limit conclusions [18], [19]. The paper uses TRIPOD (Transparent Reporting of a multivariable prediction model for Individual Prognosis Or Diagnosis) to describe methods and results [20]. Software checks support correctness and repeatability; assessing participant usability requires participants to try the app.</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w:t>
      </w:r>
    </w:p>
    <w:p>
      <w:pPr>
        <w:spacing w:after="80" w:before="0" w:line="230"/>
        <w:jc w:val="both"/>
      </w:pPr>
      <w:r>
        <w:rPr>
          <w:rFonts w:ascii="Times New Roman" w:cs="Times New Roman" w:eastAsia="Times New Roman" w:hAnsi="Times New Roman"/>
          <w:sz w:val="20"/>
          <w:szCs w:val="20"/>
        </w:rPr>
        <w:t xml:space="preserve">The screen summed reported yearly income to estimate private resources. It excluded social-assistance income so receiving a grant would not cause a failure. It did not divide household totals among individuals. A missing income record counts as zero only when the source indicator confirms no reported income; otherwise, the screen leaves it unresolved. Asset purchases do not measure total asset holdings. The data cannot establish the full legal asset test, income assigned under legal rules or permitted deductions.</w:t>
      </w:r>
    </w:p>
    <w:p>
      <w:pPr>
        <w:spacing w:after="80" w:before="0" w:line="230"/>
        <w:jc w:val="both"/>
      </w:pPr>
      <w:r>
        <w:rPr>
          <w:rFonts w:ascii="Times New Roman" w:cs="Times New Roman" w:eastAsia="Times New Roman" w:hAnsi="Times New Roman"/>
          <w:sz w:val="20"/>
          <w:szCs w:val="20"/>
        </w:rPr>
        <w:t xml:space="preserve">The income ceiling corresponds to a formula payment of R100 monthly. From April 2014, the ceilings are R61,800 for a single person and R123,600 for a couple; from April 2015, they are R64,680 and R129,360 [24], [25]. The screen included amounts exactly at the interview-month ceiling. These research limits do not establish legal eligibility. The legal formula and couple-threshold interpretation remain unverified. Alternative analyses tested thresholds and income definitions.</w:t>
      </w:r>
    </w:p>
    <w:p>
      <w:pPr>
        <w:spacing w:after="80" w:before="0" w:line="230"/>
        <w:jc w:val="both"/>
      </w:pPr>
      <w:r>
        <w:rPr>
          <w:rFonts w:ascii="Times New Roman" w:cs="Times New Roman" w:eastAsia="Times New Roman" w:hAnsi="Times New Roman"/>
          <w:sz w:val="20"/>
          <w:szCs w:val="20"/>
        </w:rPr>
        <w:t xml:space="preserve">For married adults, the screen combined applicant and spouse resources only after linking a resident spouse and confirming the relationship. Never-married, widowed and divorced adults use the single ceiling. Living-together, separated, absent-spouse and failed-link cases remain unresolved in the primary analysis. The screen does not treat unknown partner resources as zero or classify ambiguous partnerships as single. Alternative analyses relaxed these choices. An adult's own disability or war-veterans grant causes a failure. Caregiver child grants and grant-in-aid (an extra grant for people who need full-time care) do not exclude the adult or define OPG receipt. A known failure takes priority over missing information; the software retains all reasons.</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w:t>
      </w:r>
    </w:p>
    <w:p>
      <w:pPr>
        <w:spacing w:after="80" w:before="0" w:line="230"/>
        <w:jc w:val="both"/>
      </w:pPr>
      <w:r>
        <w:rPr>
          <w:rFonts w:ascii="Times New Roman" w:cs="Times New Roman" w:eastAsia="Times New Roman" w:hAnsi="Times New Roman"/>
          <w:sz w:val="20"/>
          <w:szCs w:val="20"/>
        </w:rPr>
        <w:t xml:space="preserve">Validation used five folds. The split kept households together and balanced the folds by whether any member reported non-receipt. Seed 201415 fixes this division. After interpreting skipped questions, the software filled missing predictors using training-group statistics only. It never filled missing eligibility or outcome information. Each adult received one out-of-fold (OOF) probability from a model trained without that adult's household.</w:t>
      </w:r>
    </w:p>
    <w:p>
      <w:pPr>
        <w:spacing w:after="80" w:before="0" w:line="230"/>
        <w:jc w:val="both"/>
      </w:pPr>
      <w:r>
        <w:rPr>
          <w:rFonts w:ascii="Times New Roman" w:cs="Times New Roman" w:eastAsia="Times New Roman" w:hAnsi="Times New Roman"/>
          <w:sz w:val="20"/>
          <w:szCs w:val="20"/>
        </w:rPr>
        <w:t xml:space="preserve">Evaluation measured average precision, AUC, Brier score, calibration slope and calibration-in-the-large. Ideal values are 1 for calibration slope and zero for calibration-in-the-large, which estimates an intercept correction with the slope fixed at 1. The intercept-only reference model uses the training group's non-receipt rate. Bootstrap intervals used 1,000 household samples and fixed OOF predictions. Without model refitting, these intervals omit uncertainty from repeating model development.</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Users can filter views and exports; summary rates retain all uploaded adults who pass with resolved receipt.</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w:t>
      </w:r>
    </w:p>
    <w:p>
      <w:pPr>
        <w:spacing w:after="80" w:before="0" w:line="230"/>
        <w:jc w:val="both"/>
      </w:pPr>
      <w:r>
        <w:rPr>
          <w:rFonts w:ascii="Times New Roman" w:cs="Times New Roman" w:eastAsia="Times New Roman" w:hAnsi="Times New Roman"/>
          <w:sz w:val="20"/>
          <w:szCs w:val="20"/>
        </w:rPr>
        <w:t xml:space="preserve">Software checks compared screening decisions with expected results and tested excluded predictors, links, repeated runs, reports and saved predictions. Further checks compared the CLI (command-line interface) with the UI (user interface), including invalid inputs and outdated results. The owner's Windows walkthrough demonstrated local functionality. A task sheet supports future testing with three to five consenting participants; no participant study has taken place.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(U = unweighted; W = person-weighted)</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60"/>
        <w:gridCol w:w="1460"/>
      </w:tblGrid>
      <w:tr>
        <w:trPr>
          <w:cantSplit/>
          <w:tblHeader/>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U; W</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U; W</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21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Welfare office ≥5 km/unavailable</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U gives unweighted averages, or counts and percentages within each group. W gives person-weighted averages/percentages. Denominators retain missing predictors: three recipients lack schooling; 14 recipients/four non-recipients lack welfare-access values. These summaries have no uncertainty intervals.</w:t>
      </w:r>
    </w:p>
    <w:p>
      <w:pPr>
        <w:spacing w:after="80" w:before="0" w:line="230"/>
        <w:jc w:val="both"/>
      </w:pPr>
      <w:r>
        <w:rPr>
          <w:rFonts w:ascii="Times New Roman" w:cs="Times New Roman" w:eastAsia="Times New Roman" w:hAnsi="Times New Roman"/>
          <w:sz w:val="20"/>
          <w:szCs w:val="20"/>
        </w:rPr>
        <w:t xml:space="preserve">Non-recipients were younger before weighting, more often men, more educated and more often urban formal residents. Weights brought average ages closer.</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Slope means calibration slope in Tables VI and VIII. Compared with S0, S1b/S1d added two people/two events. S2a, S2b, S2c and S2d added 59/4, 60/2, 8/0 and 68/2 people/events. S3 added 19 people/15 events; S4b removed six people but no events. Weighted non-receipt ranged from 7.12% to 9.06%.</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Changed screening rules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0"/>
        <w:gridCol w:w="760"/>
        <w:gridCol w:w="650"/>
        <w:gridCol w:w="650"/>
        <w:gridCol w:w="700"/>
        <w:gridCol w:w="900"/>
        <w:gridCol w:w="840"/>
      </w:tblGrid>
      <w:tr>
        <w:trPr>
          <w:cantSplit/>
          <w:tblHeader/>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5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Unw./Wtd. give unweighted/person-weighted non-receipt rates; performance uses no weights. S1b applies the 2015 ceiling throughout; S1d uses the zero-payout ceiling (the resource level where the grant formula pays zero). S2a/S2b treat living-together adults as couples/single. S2c treats separated adults as single; S2d treats both as single. S3 retains disability/war-veterans grant recipients (it adds no veterans). S4b retains social-assistance income.</w:t>
      </w:r>
    </w:p>
    <w:p>
      <w:pPr>
        <w:spacing w:after="80" w:before="0" w:line="230"/>
        <w:jc w:val="both"/>
      </w:pPr>
      <w:r>
        <w:rPr>
          <w:rFonts w:ascii="Times New Roman" w:cs="Times New Roman" w:eastAsia="Times New Roman" w:hAnsi="Times New Roman"/>
          <w:sz w:val="20"/>
          <w:szCs w:val="20"/>
        </w:rPr>
        <w:t xml:space="preserve">*S1a (2014 ceiling throughout), S1c (age-75 supplement), S4a (income adjusted for price changes, with the ceiling unchanged), S4c (excluding UIF, the Unemployment Insurance Fund, and similar transfers), S5 (preceding-year receipt) and S6a/S6b (receipt bounds) change nothing. Each keeps the denominator, events and measures. No PASS adult has unresolved receipt to bound.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Held-out prediction</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200"/>
        <w:gridCol w:w="1640"/>
      </w:tblGrid>
      <w:tr>
        <w:trPr>
          <w:cantSplit/>
          <w:tblHeader/>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12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80" w:before="0" w:line="230"/>
        <w:jc w:val="both"/>
      </w:pPr>
      <w:r>
        <w:rPr>
          <w:rFonts w:ascii="Times New Roman" w:cs="Times New Roman" w:eastAsia="Times New Roman" w:hAnsi="Times New Roman"/>
          <w:sz w:val="20"/>
          <w:szCs w:val="20"/>
        </w:rPr>
        <w:t xml:space="preserve">The odds ratio for women versus men was 0.39. Its Wald interval was 0.23–0.66. Schooling below Grade 7 versus Grade 7 or above gave 0.24 (0.13–0.43). The model trained on all included adults produced these estimates. Age, settlement and welfare-distance intervals included 1. These associations describe odds, not probability reductions, held-out performance or causes.</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0"/>
        <w:gridCol w:w="850"/>
        <w:gridCol w:w="700"/>
        <w:gridCol w:w="700"/>
        <w:gridCol w:w="900"/>
        <w:gridCol w:w="850"/>
      </w:tblGrid>
      <w:tr>
        <w:trPr>
          <w:cantSplit/>
          <w:tblHeader/>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8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spacing w:after="80" w:before="0" w:line="230"/>
        <w:jc w:val="both"/>
      </w:pPr>
      <w:r>
        <w:rPr>
          <w:rFonts w:ascii="Times New Roman" w:cs="Times New Roman" w:eastAsia="Times New Roman" w:hAnsi="Times New Roman"/>
          <w:sz w:val="20"/>
          <w:szCs w:val="20"/>
        </w:rPr>
        <w:t xml:space="preserve">Across alternatives, AUC ranged from 0.736 to 0.763; Brier and calibration slopes also changed.</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AP 0.203 summarises precision–recall ranking across cutoffs against a 6.61% event rate, not precision at one cutoff [16]. Brier fell from 0.0618 to 0.0578: a modest 0.0040 reduction in squared probability error.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w:t>
      </w:r>
    </w:p>
    <w:p>
      <w:pPr>
        <w:spacing w:after="80" w:before="0" w:line="230"/>
        <w:jc w:val="both"/>
      </w:pPr>
      <w:r>
        <w:rPr>
          <w:rFonts w:ascii="Times New Roman" w:cs="Times New Roman" w:eastAsia="Times New Roman" w:hAnsi="Times New Roman"/>
          <w:sz w:val="20"/>
          <w:szCs w:val="20"/>
        </w:rPr>
        <w:t xml:space="preserve">Table II separates concepts from measured predictors. Schooling suggests learning costs; distance/settlement suggest compliance costs [13], [14]. The odds ratios describe the screened group, not OOF effects or measured burden. Lower schooling accompanied receipt, contrary to a simple information-barrier expectation. Fewer other resources or screening selection could explain this; the analysis tested neither explanation. Uncertain office/settlement associations neither confirm nor rule out compliance costs. The survey does not measure psychological costs. Without awareness, visits, document demands or administrative decisions, this analysis cannot explain non-receipt.</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Reproducibility and usability</w:t>
      </w:r>
    </w:p>
    <w:p>
      <w:pPr>
        <w:spacing w:after="80" w:before="0" w:line="230"/>
        <w:jc w:val="both"/>
      </w:pPr>
      <w:r>
        <w:rPr>
          <w:rFonts w:ascii="Times New Roman" w:cs="Times New Roman" w:eastAsia="Times New Roman" w:hAnsi="Times New Roman"/>
          <w:sz w:val="20"/>
          <w:szCs w:val="20"/>
        </w:rPr>
        <w:t xml:space="preserve">RQ3 has six evidence layers. Synthetic cases check rule decisions; matching file contents check repeatability; UI–CLI agreement checks software paths; JSON reload checks saved-model predictions. The owner walkthrough checks a synthetic workflow; participant testing would assess human usability. Table IX supports the first five within tested conditions. Automated agreement cannot establish independent user ease, acceptance or field success. Saved sources and run/validation reports document versions, checksums and test conditions.</w:t>
      </w:r>
    </w:p>
    <w:p>
      <w:pPr>
        <w:spacing w:after="80" w:before="0" w:line="230"/>
        <w:jc w:val="both"/>
      </w:pPr>
      <w:r>
        <w:rPr>
          <w:rFonts w:ascii="Times New Roman" w:cs="Times New Roman" w:eastAsia="Times New Roman" w:hAnsi="Times New Roman"/>
          <w:sz w:val="20"/>
          <w:szCs w:val="20"/>
        </w:rPr>
        <w:t xml:space="preserve">The app separates historical OOF results from uploaded scores; uploads may overlap training data. Matching saved scores checks reloading, not new predictive accuracy. The software exposes its computations, but representative user clarity remains untested. The task sheet supports future testing.</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w:t>
      </w:r>
    </w:p>
    <w:p>
      <w:pPr>
        <w:spacing w:after="80" w:before="0" w:line="230"/>
        <w:jc w:val="both"/>
      </w:pPr>
      <w:r>
        <w:rPr>
          <w:rFonts w:ascii="Times New Roman" w:cs="Times New Roman" w:eastAsia="Times New Roman" w:hAnsi="Times New Roman"/>
          <w:sz w:val="20"/>
          <w:szCs w:val="20"/>
        </w:rPr>
        <w:t xml:space="preserve">The survey cannot fully establish legal eligibility: its resource measure omits assets, deemed income (income the law assigns rather than the survey observes) and deductions. Income and receipt reports may contain errors. Cross-sectional data cannot establish the order of events. Few events, unresolved eligibility, missing strata and resampling fixed predictions without refitting limit inference. Household sampling excludes institutionalised older adults. Participant usability and performance in another population remain untested.</w:t>
      </w:r>
    </w:p>
    <w:p>
      <w:pPr>
        <w:spacing w:after="80" w:before="0" w:line="230"/>
        <w:jc w:val="both"/>
      </w:pPr>
      <w:r>
        <w:rPr>
          <w:rFonts w:ascii="Times New Roman" w:cs="Times New Roman" w:eastAsia="Times New Roman" w:hAnsi="Times New Roman"/>
          <w:sz w:val="20"/>
          <w:szCs w:val="20"/>
        </w:rPr>
        <w:t xml:space="preserve">Survey access conditions and disclosure requirements apply. Interface demonstrations and tests use synthetic records. The downloadable package excludes survey records. Displays and reports omit submitted identifiers and raw income. These controls do not establish disclosure review of every historical repository file. The project records contain no DUT (Durban University of Technology) ethics determination. The paper therefore claims no approval. The app explains measurement choices; it neither decides grants nor ranks named applicants.</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2011, doi: 10.1080/0376835X.2011.545171.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2024, doi: 10.1093/wber/lhad037.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85, 2016, doi: 10.3390/ijerph13010085.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2016, doi: 10.1080/0376835X.2016.1231059.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2005, doi: 10.1080/03768350500322925.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Global Health Action, vol. 7, no. 1, Art. 25310, 2014, doi: 10.3402/gha.v7.25310.</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2015, doi: 10.1016/j.worlddev.2015.03.015.</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Global Public Health, vol. 13, no. 12, pp. 1820–1830, 2018, doi: 10.1080/17441692.2018.1449231.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2025, doi: 10.1080/01488376.2025.2502004.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2020, doi: 10.1080/00220388.2020.1715942.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2015, doi: 10.1093/jopart/muu009.</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9052, 2022, doi: 10.25159/2708-9355/9052.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e0118432, 2015, doi: 10.1371/journal.pone.0118432.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Art. 230, 2019, doi: 10.1186/s12916-019-1466-7.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2019, doi: 10.1002/sim.7992.</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2017, doi: 10.1111/ecog.02881.</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2015, doi: 10.7326/M14-0697.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[22] Statistics South Africa, Living Conditions Survey: COICOP Codes. LCS 2014/2015 code list.</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50" w:before="0" w:line="19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d1fd3a491510c9e70f4f71e8eab7b2bab9e7477.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2026-10-14T08:30:18.073Z</dcterms:created>
  <dcterms:modified xsi:type="dcterms:W3CDTF">2026-10-14T08:30:18.073Z</dcterms:modified>
</cp:coreProperties>
</file>

<file path=docProps/custom.xml><?xml version="1.0" encoding="utf-8"?>
<Properties xmlns="http://schemas.openxmlformats.org/officeDocument/2006/custom-properties" xmlns:vt="http://schemas.openxmlformats.org/officeDocument/2006/docPropsVTypes"/>
</file>