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w:t>
      </w:r>
    </w:p>
    <w:p>
      <w:pPr>
        <w:spacing w:after="80" w:before="0" w:line="230"/>
        <w:jc w:val="both"/>
      </w:pPr>
      <w:r>
        <w:rPr>
          <w:rFonts w:ascii="Times New Roman" w:cs="Times New Roman" w:eastAsia="Times New Roman" w:hAnsi="Times New Roman"/>
          <w:sz w:val="20"/>
          <w:szCs w:val="20"/>
        </w:rPr>
        <w:t xml:space="preserve">Interview months selected annual ceilings: R61,800 single/R123,600 couple for October 2014–March 2015; R64,680/R129,360 for April–October 2015. The calculation used recorded monthly maxima of R1,350/R1,410 [24], [25] and assumed an annual grant D = 1.6A − 0.4B, where A is the annual maximum and B annual private income. Setting D to R1,200 gave the single ceilings; treating B as half the joint income doubled the couple ceilings. Equality passed. S1 tested alternative periods, the zero-payment boundary and the age-75 supplement. The audit verified the arithmetic, coded ceilings and LCS partnership items. It did not authenticate the notices or the formula, minimum-payment and spouse provisions applicable in 2014–2015.</w:t>
      </w:r>
    </w:p>
    <w:p>
      <w:pPr>
        <w:spacing w:after="80" w:before="0" w:line="230"/>
        <w:jc w:val="both"/>
      </w:pPr>
      <w:r>
        <w:rPr>
          <w:rFonts w:ascii="Times New Roman" w:cs="Times New Roman" w:eastAsia="Times New Roman" w:hAnsi="Times New Roman"/>
          <w:sz w:val="20"/>
          <w:szCs w:val="20"/>
        </w:rPr>
        <w:t xml:space="preserve">Marital responses selected research assumptions, rather than establishing legal spouse status. Never-married, widowed and divorced adults used the single ceiling. For married respondents, a resident spouse and reciprocal household person-number pointers identified whose income to combine. Both amounts had to be resolved; their sum implemented the assumed couple-resource rule regardless of spouse age. Residence and reciprocity were research consistency requirements. Nonresident spouses remained unresolved because partner income was unavailable. Separated respondents lacked collected spouse details [23]. Cohabitation did not establish legal classification. These cases, unspecified status and missing or inconsistent links remained unresolved, without assumed single status or zero partner income. S2 tested alternatives.</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w:t>
      </w:r>
    </w:p>
    <w:p>
      <w:pPr>
        <w:spacing w:after="80" w:before="0" w:line="230"/>
        <w:jc w:val="both"/>
      </w:pPr>
      <w:r>
        <w:rPr>
          <w:rFonts w:ascii="Times New Roman" w:cs="Times New Roman" w:eastAsia="Times New Roman" w:hAnsi="Times New Roman"/>
          <w:sz w:val="20"/>
          <w:szCs w:val="20"/>
        </w:rPr>
        <w:t xml:space="preserve">Validation used five folds. The split kept households together and balanced the folds by whether any member reported non-receipt. Seed 201415 fixes this division. After interpreting skipped questions, the software filled missing predictors using training-group statistics only. It never filled missing eligibility or outcome information. Each adult received one out-of-fold (OOF) probability from a model trained without that adult's household.</w:t>
      </w:r>
    </w:p>
    <w:p>
      <w:pPr>
        <w:spacing w:after="80" w:before="0" w:line="230"/>
        <w:jc w:val="both"/>
      </w:pPr>
      <w:r>
        <w:rPr>
          <w:rFonts w:ascii="Times New Roman" w:cs="Times New Roman" w:eastAsia="Times New Roman" w:hAnsi="Times New Roman"/>
          <w:sz w:val="20"/>
          <w:szCs w:val="20"/>
        </w:rPr>
        <w:t xml:space="preserve">Evaluation measured average precision, AUC, Brier score, calibration slope and calibration-in-the-large. Ideal values are 1 for calibration slope and zero for calibration-in-the-large, which estimates an intercept correction with the slope fixed at 1. The intercept-only reference model uses the training group's non-receipt rate. Bootstrap intervals used 1,000 household samples and fixed OOF predictions. Without model refitting, these intervals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w:t>
      </w:r>
    </w:p>
    <w:p>
      <w:pPr>
        <w:spacing w:after="8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w:t>
      </w:r>
    </w:p>
    <w:p>
      <w:pPr>
        <w:spacing w:after="8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The survey cannot fully establish legal eligibility: its resource measure omits assets, deemed income (income the law assigns rather than the survey observes) and deductions. Income and receipt reports may contain errors. Cross-sectional data cannot establish the order of events. Few events, unresolved eligibility, missing strata and resampling fixed predictions without refitting limit inference. Household sampling excludes institutionalised older adults. Participant usability and performance in another population remain untested.</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2026-10-14T10:40:25.273Z</dcterms:created>
  <dcterms:modified xsi:type="dcterms:W3CDTF">2026-10-14T10:40:25.273Z</dcterms:modified>
</cp:coreProperties>
</file>

<file path=docProps/custom.xml><?xml version="1.0" encoding="utf-8"?>
<Properties xmlns="http://schemas.openxmlformats.org/officeDocument/2006/custom-properties" xmlns:vt="http://schemas.openxmlformats.org/officeDocument/2006/docPropsVTypes"/>
</file>