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Prior studies examine rural pension receipt [3] and household grant receipt [4]. This study examines reported non-receipt among older adults who pass a research eligibility screen.</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observable research conditions does not establish a South African Social Security Agency decision [5]. Missing spouse resources and unresolved responses change the denominator, whose construction must precede estimation.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artefact using the Living Conditions Survey (LCS) 2014/2015 in KwaZulu-Natal. It documents cohort construction, estimates weighted non-receipt, tests predictions in held-out households and verifies computational correctness, reproducibility and inspectability.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screen-PASS adults with resolved receipt and how screening alternatives change that proportion. RQ2 evaluates logistic discrimination and probability accuracy in held-out households. RQ3 asks whether the artefact reproduces the analysis and clearly presents screening decisions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narrative review drew on Scopus, Dimensions, IEEE Xplore, SABINET/African Journals Online, Google Scholar and Statistics South Africa/DataFirst. Searches covered social assistance, eligibility, take-up, non-receipt, exclusion and prediction. Studies differed in programme, population, unit and outcome, preventing pooled estimates.</w:t>
      </w:r>
    </w:p>
    <w:p>
      <w:pPr>
        <w:spacing w:after="0" w:before="0" w:line="240" w:lineRule="auto"/>
        <w:ind w:firstLine="200"/>
        <w:jc w:val="both"/>
      </w:pPr>
      <w:r>
        <w:rPr>
          <w:rFonts w:ascii="Times New Roman" w:cs="Times New Roman" w:eastAsia="Times New Roman" w:hAnsi="Times New Roman"/>
          <w:sz w:val="20"/>
          <w:szCs w:val="20"/>
        </w:rPr>
        <w:t xml:space="preserve">Review records report 511 items: 136 duplicates removed, 375 titles/abstracts screened, 222 exclusions, 153 full-text assessments, 98 further exclusions and 55 retained sources across grants and populations. Queries, search dates/filters, exports, item-level decisions and the full extraction register are unavailable. These aggregate counts cannot establish reproducible selection or exhaustive coverage.</w:t>
      </w: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motivates income sensitivity [11]; Mabala studies a different grant and age group [12]. Neither establishes OPG eligibility.</w:t>
      </w:r>
    </w:p>
    <w:p>
      <w:pPr>
        <w:spacing w:after="0" w:before="0" w:line="240" w:lineRule="auto"/>
        <w:ind w:firstLine="200"/>
        <w:jc w:val="both"/>
      </w:pPr>
      <w:r>
        <w:rPr>
          <w:rFonts w:ascii="Times New Roman" w:cs="Times New Roman" w:eastAsia="Times New Roman" w:hAnsi="Times New Roman"/>
          <w:sz w:val="20"/>
          <w:szCs w:val="20"/>
        </w:rPr>
        <w:t xml:space="preserve">Cited studies do not directly show how resource, partnership and grant-compatibility assumptions shape provincial person-level non-receipt estimates. This study connects explicit screening, sensitivity analysis, weighted description and household-held-out prediction through shared rules and inspectable software. Its contribution concerns measurement and reproducibility, rather than statutory entitlement or access mechanisms.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0" w:before="0" w:line="240" w:lineRule="auto"/>
        <w:ind w:firstLine="200"/>
        <w:jc w:val="both"/>
      </w:pPr>
      <w:r>
        <w:rPr>
          <w:rFonts w:ascii="Times New Roman" w:cs="Times New Roman" w:eastAsia="Times New Roman" w:hAnsi="Times New Roman"/>
          <w:sz w:val="20"/>
          <w:szCs w:val="20"/>
        </w:rPr>
        <w:t xml:space="preserve">The screen operationalises observable age, resources, partnership and grant-compatibility rules while retaining unresolved information. Screening status and reported receipt remain separate. Only screen-PASS adults with resolved receipt enter descriptive and predictive analyses; unclear or contradictory receipt responses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alongside discrimination and calibration [16], [17]. Sample size limits precision [18]; household grouping constrains validation [19]. TRIPOD informed prediction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non-receipt motivates an administrative-burden perspective. Figure 1 links theory to LCS proxies, with age and sex as demographic context. Observable screening is necessary because age alone cannot define eligibility and LCS omits legal conditions. Resource, partnership and grant-compatibility rules define the population; reported receipt defines the outcome. Person weights describe non-receipt; unweighted household-held-out validation assesses prediction. The artefact implements this design through shared rules, frozen scoring and inspectable reports. Application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2014/2015 person, household and person-income files using survey identifiers, checking duplicates, unmatched records and row counts. Questionnaire, metadata and COICOP (Classification of Individual Consumption According to Purpose) codes guided interpretation [21], [22], [23]. The study included sampled KwaZulu-Natal residents aged 60+; the household survey excludes institutional residents. Screening used interview-month rules. Statistics South Africa had hot-deck-imputed age and sex before release, without record-level flags. Model preprocessing addressed missing predictors separately. Aggregating income before linkage preserved person-level records (Table III).</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0" w:before="0" w:line="240" w:lineRule="auto"/>
        <w:ind w:firstLine="20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0" w:before="0" w:line="240" w:lineRule="auto"/>
        <w:ind w:firstLine="20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reported unweighted and person-weighted non-receipt, p = Σ(wᵢYᵢ)/Σwᵢ, where Yᵢ = 1 denotes non-receipt and wᵢ is the person weight. Group comparisons were descriptive. For the weighted proportion, a with-replacement linearisation approximation clustered by derived primary sampling unit (PSU; first 11 household-ID digits) supplied the standard error (SE); 95% intervals used p ± 1.96SE. Unreleased strata prevented full survey-design variance estimation. Adults with unresolved screening remained outside the denominator. Receipt bounds assigned all unresolved PASS outcomes first to receipt, then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An unweighted, unpenalised logistic regression estimated reported non-receipt using five predictor groups, six slopes and an intercept (Table II). There was no class rebalancing, automated variable selection or cutoff optimisation. Income, receipt, derived outcome labels and marital status were excluded from primary predictors.</w:t>
      </w:r>
    </w:p>
    <w:p>
      <w:pPr>
        <w:spacing w:after="0" w:before="0" w:line="240" w:lineRule="auto"/>
        <w:ind w:firstLine="200"/>
        <w:jc w:val="both"/>
      </w:pPr>
      <w:r>
        <w:rPr>
          <w:rFonts w:ascii="Times New Roman" w:cs="Times New Roman" w:eastAsia="Times New Roman" w:hAnsi="Times New Roman"/>
          <w:sz w:val="20"/>
          <w:szCs w:val="20"/>
        </w:rPr>
        <w:t xml:space="preserve">The attempted seven-slope model contained one rural-formal non-recipient; holding out that adult left no training event in that category. Decision D-052 combined rural formal with traditional settlement to support estimation, without treating the settings as equivalent. This outcome-informed choice was not nested within validation; performance remains conditional on the retained specification.</w:t>
      </w:r>
    </w:p>
    <w:p>
      <w:pPr>
        <w:spacing w:after="0" w:before="0" w:line="240" w:lineRule="auto"/>
        <w:ind w:firstLine="200"/>
        <w:jc w:val="both"/>
      </w:pPr>
      <w:r>
        <w:rPr>
          <w:rFonts w:ascii="Times New Roman" w:cs="Times New Roman" w:eastAsia="Times New Roman" w:hAnsi="Times New Roman"/>
          <w:sz w:val="20"/>
          <w:szCs w:val="20"/>
        </w:rPr>
        <w:t xml:space="preserve">The 1,013 adults formed 827 households, including 182 with multiple included adults and six with both outcomes. Five folds stratified sorted households by any member’s non-receipt, keeping household members together (seed 201415). Each iteration trained on four folds and predicted the fifth. Held-out folds contained 199–207 adults and 12–14 events; age, sex and settlement were complete, with predictor missingness reported in Table V. Training sets supplied the age median and categorical modes used to impute training and held-out predictors before constructing fixed contrasts; ties selected the smallest code sorted as text. Fixed coding handled structural skips. Eligibility, receipt and weights were not imputed. Each adult received one out-of-fold (OOF) probability; the reference used the corresponding training-set event rate.</w:t>
      </w:r>
    </w:p>
    <w:p>
      <w:pPr>
        <w:spacing w:after="0" w:before="0" w:line="240" w:lineRule="auto"/>
        <w:ind w:firstLine="200"/>
        <w:jc w:val="both"/>
      </w:pPr>
      <w:r>
        <w:rPr>
          <w:rFonts w:ascii="Times New Roman" w:cs="Times New Roman" w:eastAsia="Times New Roman" w:hAnsi="Times New Roman"/>
          <w:sz w:val="20"/>
          <w:szCs w:val="20"/>
        </w:rPr>
        <w:t xml:space="preserve">Pooled OOF predictions supplied unweighted average precision, AUC, Brier score and calibration measures. Calibration-in-the-large estimated an intercept correction with slope fixed at 1; ideal intercept and slope values were zero and 1. In 1,000 bootstrap draws, 827 households were sampled with replacement, retaining all included members and repeated selections. Outcomes and fixed OOF/reference probabilities stayed paired. Metrics, including calibration regressions, were recalculated; 2.5th/97.5th percentiles formed 95% intervals, with 1,000 valid draws per reported metric. Predictive models, imputers, folds and the settlement revision were not repeated. These conditional intervals omit variability from repeating model development or fold assignment, leave dependence from shared training data unaddressed, and do not reproduce the survey design or establish external performance.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S1–S6 varied thresholds, partnership, other-grant rules, income definition, receipt period and unresolved-receipt bounds. Each recorded cohort size, events, unweighted/person-weighted rates and internal predictive performance; unchanged cohorts retained primary OOF results. S7 used complete cases; S8 replaced welfare access with a married indicator. S9 fitted frequency-weighted regression while retaining unweighted imputation and evaluation; it was not a survey-design regression. S10 weighted primary OOF metrics without refitting; S11 grouped folds by derived PSU. These analyses remained separate from primary results.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command-line interface (CLI), python analysis/run_study.py, reproduces linkage, screening, description and held-out evaluation. Run records store versions, settings, seed, folds and checksums. The app loads JSON coefficients and imputation statistics from opg-kzn-six-slope-v1, fitted to the full cohort. Uploads never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accepts opg-screen-v1 CSVs, including members needed for spouse linkage. It rejects schema/context errors, duplicate identifiers and invalid values. Uploads are limited to 20 MiB/50,000 rows and remain in session memory. Views and exports omit submitted identifiers, raw income and household links. Filters preserve the full resolved-PASS summary denominator.</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Only supported PASS adults with resolved receipt receive scores; partially missing predictors use frozen statistics, while records missing every categorical predictor remain unscored. Integrity checks bind model/evaluation files to code. Historical OOF results remain distinct from uploaded scores; uploaded records may overlap training data. CSV, JSON and ZIP exports include classifications, reasons, probabilities, versions and audit manifests. The synthetic MVP excludes survey records, historical respondent outputs and Git history.</w:t>
      </w:r>
    </w:p>
    <w:p>
      <w:pPr>
        <w:spacing w:after="0" w:before="0" w:line="240" w:lineRule="auto"/>
        <w:ind w:firstLine="200"/>
        <w:jc w:val="both"/>
      </w:pPr>
      <w:r>
        <w:rPr>
          <w:rFonts w:ascii="Times New Roman" w:cs="Times New Roman" w:eastAsia="Times New Roman" w:hAnsi="Times New Roman"/>
          <w:sz w:val="20"/>
          <w:szCs w:val="20"/>
        </w:rPr>
        <w:t xml:space="preserve">Technical checks covered expected decisions, excluded predictors, linkage, repeatability, exports, saved-score parity and invalid/stale interface states. The owner’s Windows walkthrough confirmed synthetic execution and report generation, without independent participant evidence.</w:t>
      </w:r>
    </w:p>
    <w:p>
      <w:pPr>
        <w:spacing w:after="0" w:before="0" w:line="240" w:lineRule="auto"/>
        <w:ind w:firstLine="200"/>
        <w:jc w:val="both"/>
      </w:pPr>
      <w:r>
        <w:rPr>
          <w:rFonts w:ascii="Times New Roman" w:cs="Times New Roman" w:eastAsia="Times New Roman" w:hAnsi="Times New Roman"/>
          <w:sz w:val="20"/>
          <w:szCs w:val="20"/>
        </w:rPr>
        <w:t xml:space="preserve">An unused protocol proposes synthetic tasks for three to five consenting participants, measuring completion, time, errors, ease and assistance. No participant usability or acceptance results exist; automated checks establish program behaviour.</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Adults aged 60+ partition into failed, unresolved and passed groups; receipt partitions PASS. Household counts can overlap across rows. Of 117 failures, 93 exceeded the income ceiling and 25 reported disability grants; one met both conditions. None reported war-veterans grants. Of 187 unresolved adults, 105 were married, mostly with non-resident spouses,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Person counts partition as 117 + 187 + 1,013 among adults aged 60+, then 946 + 67 within PASS. Adding all rows double-counts adults. Household counts are distinct within rows and do not form the same partition.</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resolved passes, 67 reported non-receipt: 6.61% unweighted and 7.49% person-weighted. A PSU-clustered normal approximation across 345 PSUs gave SE 1.3 percentage points and a 95% interval of 4.9%–10.0%. Missing strata prevent full survey-design inference; this approximation does not supply intervals for Tables V–VIII. Current receipt matched preceding-year OPG income throughout. Table V describes pre-imputation composition within receipt groups, rather than non-receipt rates or predictions, and reports no standard errors.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receipt, before filling missing values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Recipients: 946; non-recipients: 67. Entries give unweighted then person-weighted means, or unweighted counts/within-group percentages then weighted percentages. Denominators retain three recipients missing schooling and 14 recipients/four non-recipients missing office-distance values. These describe group composition, without uncertainty intervals.</w:t>
      </w:r>
    </w:p>
    <w:p>
      <w:pPr>
        <w:spacing w:after="0" w:before="0" w:line="240" w:lineRule="auto"/>
        <w:ind w:firstLine="200"/>
        <w:jc w:val="both"/>
      </w:pPr>
      <w:r>
        <w:rPr>
          <w:rFonts w:ascii="Times New Roman" w:cs="Times New Roman" w:eastAsia="Times New Roman" w:hAnsi="Times New Roman"/>
          <w:sz w:val="20"/>
          <w:szCs w:val="20"/>
        </w:rPr>
        <w:t xml:space="preserve">Unweighted non-recipients were younger, more often men, more educated and more often urban-formal residents. Weighting reduced the age difference. No between-group tests were performed.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reports scenario denominators, events, unweighted/person-weighted prevalence and unweighted OOF performance. Weighted prevalence ranged from 7.12% to 9.06%; AUC ranged from 0.736 to 0.763. Sensitivity performance entries are point estimates without intervals; similar AUC neither equates screened populations nor validates a screening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Screening changes, non-receipt rates and held-out point estimates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reported non-recipients. Unw./Wtd. denote unweighted/person-weighted percentages. AUC, Brier and calibration slope are unweighted OOF point estimates without intervals. Same* repeats S0 for unchanged scenarios.</w:t>
      </w:r>
    </w:p>
    <w:p>
      <w:pPr>
        <w:spacing w:after="0" w:before="0" w:line="240" w:lineRule="auto"/>
        <w:ind w:firstLine="200"/>
        <w:jc w:val="both"/>
      </w:pPr>
      <w:r>
        <w:rPr>
          <w:rFonts w:ascii="Times New Roman" w:cs="Times New Roman" w:eastAsia="Times New Roman" w:hAnsi="Times New Roman"/>
          <w:sz w:val="20"/>
          <w:szCs w:val="20"/>
        </w:rPr>
        <w:t xml:space="preserve">S1b applies the 2015 ceiling throughout; S1d uses the zero-payment boundary. These distinct settings produced identical results. S2a/S2b treat living-together adults as couples/single; S2c treats separated adults as single; S2d treats both as single. S3 retains disability/war-veterans recipients, adding no veterans. S4b includes social-assistance income.</w:t>
      </w:r>
    </w:p>
    <w:p>
      <w:pPr>
        <w:spacing w:after="0" w:before="0" w:line="240" w:lineRule="auto"/>
        <w:ind w:firstLine="200"/>
        <w:jc w:val="both"/>
      </w:pPr>
      <w:r>
        <w:rPr>
          <w:rFonts w:ascii="Times New Roman" w:cs="Times New Roman" w:eastAsia="Times New Roman" w:hAnsi="Times New Roman"/>
          <w:sz w:val="20"/>
          <w:szCs w:val="20"/>
        </w:rPr>
        <w:t xml:space="preserve">*Unchanged scenarios: S1a applies the 2014 ceiling throughout; S1c adds the age-75 supplement; S4a adjusts income for prices with unchanged ceilings; S4c excludes UIF and similar transfers; S5 uses preceding-year receipt. S6a/S6b assign unresolved PASS receipt to receipt/non-receipt; no such cases occurred. Each retains the S0 denominator, events and measures.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Predictive performance and associations</w:t>
      </w:r>
    </w:p>
    <w:p>
      <w:pPr>
        <w:spacing w:after="0" w:before="0" w:line="240" w:lineRule="auto"/>
        <w:ind w:firstLine="200"/>
        <w:jc w:val="both"/>
      </w:pPr>
      <w:r>
        <w:rPr>
          <w:rFonts w:ascii="Times New Roman" w:cs="Times New Roman" w:eastAsia="Times New Roman" w:hAnsi="Times New Roman"/>
          <w:sz w:val="20"/>
          <w:szCs w:val="20"/>
        </w:rPr>
        <w:t xml:space="preserve">Predictive performance uses OOF probabilities; associations use the full-cohort fit. Neither establishes causal mechanisms, temporal ordering or intervention effects.</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resampling intervals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model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Brackets give conditional 95% percentile intervals from 1,000 household resamples of fixed OOF predictions (1,013 people/67 events); each interval had 1,000 valid, zero invalid draws. Predictive models and imputers were not refitted. These differ from the PSU approximation in V.A and full-fit Wald intervals below. The reference uses training-fold prevalence; its .0001 calibration-in-the-large has no saved interval. Dashes indicate unavailable measures. Ideal calibration intercept/slope values are 0/1.</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Full-cohort adjusted odds ratios were 0.39 for women versus men (Wald interval 0.23–0.66) and 0.24 for schooling below Grade 7 versus Grade 7 or above (0.13–0.43). Age, settlement and office-distance intervals included 1. These exploratory model-based intervals omit household clustering, survey design and specification-selection uncertainty. They describe odds associations, rather than probability changes, held-out performance or causal effects.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 and validation sensitivities, as point estimates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 is the unweighted non-receipt percentage; performance entries have no intervals. S8–S11 retain weighted non-receipt of 7.49%. S7 removes 21 adults/four events lacking usable schooling or distance. S8 substitutes marriage for office distance, retaining six slopes. S9 uses frequency-weighted fitting with unweighted imputation/evaluation, not full survey-design regression. S10 weights primary OOF predictions without refitting; S11 changes fold grouping to derived PSU.</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 predictors or evaluation, rather than estimating effects. Its point estimates do not establish a preferred specification.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Table IX summarises 26 original checks: 22 synthetic screening cases, two income-schedule checks, one forbidden-predictor check and one run trace. Two research runs produced 14 byte-identical files and preserved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owner’s Windows walkthrough exercised six synthetic classifications. Six extracted reports passed 50 checks of outputs, summaries, checksums and versions. The ZIP container itself was not inspected. This supports local technical functionality, without independent execution or participant-usability evidence.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0" w:before="0" w:line="240" w:lineRule="auto"/>
        <w:ind w:firstLine="20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Table VI gives AUC, Brier and slope as point estimates on those changed denominators, without intervals.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indicates ranking discrimination, rather than cutoff accuracy. AP 0.203 summarises precision–recall across thresholds, rather than precision at one cutoff [16]. Brier fell from 0.0618 to 0.0578, a modest 0.0040 reduction. No paired interval was calculated for that reduction; it remains a descriptive comparison. Calibration-in-the-large 0.020 estimates an intercept correction with slope fixed at 1; an interval spanning the ideal zero does not prove calibration. Slope 0.836 suggests overly extreme predictions, but its 0.591–1.133 interval includes 1 [17]. Only 67 events informed evaluation [18], and most adults in the highest-risk bin reported receipt.</w:t>
      </w:r>
    </w:p>
    <w:p>
      <w:pPr>
        <w:spacing w:after="0" w:before="0" w:line="240" w:lineRule="auto"/>
        <w:ind w:firstLine="200"/>
        <w:jc w:val="both"/>
      </w:pPr>
      <w:r>
        <w:rPr>
          <w:rFonts w:ascii="Times New Roman" w:cs="Times New Roman" w:eastAsia="Times New Roman" w:hAnsi="Times New Roman"/>
          <w:sz w:val="20"/>
          <w:szCs w:val="20"/>
        </w:rPr>
        <w:t xml:space="preserve">Household resampling, the PSU survey approximation and full-fit Wald intervals address different uncertainties. None converts predictive discrimination or fitted associations into effects of sex, schooling, settlement or office distance.</w:t>
      </w:r>
    </w:p>
    <w:p>
      <w:pPr>
        <w:spacing w:after="0" w:before="0" w:line="240" w:lineRule="auto"/>
        <w:ind w:firstLine="200"/>
        <w:jc w:val="both"/>
      </w:pPr>
      <w:r>
        <w:rPr>
          <w:rFonts w:ascii="Times New Roman" w:cs="Times New Roman" w:eastAsia="Times New Roman" w:hAnsi="Times New Roman"/>
          <w:sz w:val="20"/>
          <w:szCs w:val="20"/>
        </w:rPr>
        <w:t xml:space="preserve">Table VIII separates sample, predictor and evaluation changes. S7’s lower Brier concerns a different sample (992/63), not evidence that imputation harms prediction. S8 substitutes marriage for office distance. S9 weights fitting only; S10 weights the same OOF predictions, raising Brier to 0.0641. S11 changes grouping to derived PSU. S8–S11 retain 1,013 adults/67 events. These internal checks do not establish specification superiority or performance elsewhere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Technical verification, separate from usability</w:t>
      </w:r>
    </w:p>
    <w:p>
      <w:pPr>
        <w:spacing w:after="0" w:before="0" w:line="240" w:lineRule="auto"/>
        <w:ind w:firstLine="200"/>
        <w:jc w:val="both"/>
      </w:pPr>
      <w:r>
        <w:rPr>
          <w:rFonts w:ascii="Times New Roman" w:cs="Times New Roman" w:eastAsia="Times New Roman" w:hAnsi="Times New Roman"/>
          <w:sz w:val="20"/>
          <w:szCs w:val="20"/>
        </w:rPr>
        <w:t xml:space="preserve">RQ3 concerns reproducibility and inspectable explanations. Table IX supports technical correctness within tested conditions: synthetic cases check rules, repeated files check repeatability, interface–command agreement checks screening/receipt outputs, and model reload checks serialization. The owner’s walkthrough confirms local synthetic execution. Versioned sources and validation records support scrutiny; these checks do not establish independent user comprehension.</w:t>
      </w:r>
    </w:p>
    <w:p>
      <w:pPr>
        <w:spacing w:after="0" w:before="0" w:line="240" w:lineRule="auto"/>
        <w:ind w:firstLine="200"/>
        <w:jc w:val="both"/>
      </w:pPr>
      <w:r>
        <w:rPr>
          <w:rFonts w:ascii="Times New Roman" w:cs="Times New Roman" w:eastAsia="Times New Roman" w:hAnsi="Times New Roman"/>
          <w:sz w:val="20"/>
          <w:szCs w:val="20"/>
        </w:rPr>
        <w:t xml:space="preserve">Historical OOF evaluation remains separate from uploaded full-data scores, whose records may overlap training data. Reload agreement verifies stored predictions, rather than new predictive accuracy or user understanding.</w:t>
      </w:r>
    </w:p>
    <w:p>
      <w:pPr>
        <w:spacing w:after="0" w:before="0" w:line="240" w:lineRule="auto"/>
        <w:ind w:firstLine="200"/>
        <w:jc w:val="both"/>
      </w:pPr>
      <w:r>
        <w:rPr>
          <w:rFonts w:ascii="Times New Roman" w:cs="Times New Roman" w:eastAsia="Times New Roman" w:hAnsi="Times New Roman"/>
          <w:sz w:val="20"/>
          <w:szCs w:val="20"/>
        </w:rPr>
        <w:t xml:space="preserve">Participant usability remains untested. The unused protocol proposes independent participants, with task completion, time, errors, ease and assistance measures. Automated Streamlit checks and the developer’s walkthrough cannot establish usability or field acceptance.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This study covers screened KwaZulu-Natal adults in LCS 2014/2015. Provinces and periods differ in services, policy and reporting; administrative application, award and payment records measure other outcomes. No independent province, period or administrative sample validated the model. Transfer requires comparable populations, period-specific screening and independent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screening sensitivity shows why the denominator requires explicit assumptions. Sex differences describe demographic associations without establishing burden mechanisms [3], [4]. Lower schooling accompanied receipt, contrary to the expectation that fewer information resources increase non-receipt [13]. Selection or other resources could explain this finding; neither explanation was tested. Office-distance and settlement intervals included 1, leaving compliance-cost expectations unresolved. LCS did not measure psychological costs. The artefact implements these bounded measurements through separate, traceable rules, outcomes and predictions. It supports inspection of the framework without establishing causes, statutory entitlement or participant usability.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research proxy omits assets, deemed income and deductions and cannot establish statutory eligibility. Income/receipt misreporting, cross-sectional ordering, few events, unresolved screening and missing strata limit interpretation. Fixed-prediction resampling omits repeated model-development uncertainty; coefficient intervals condition on the selected specification. Household sampling excludes institutionalised older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This DUT honours study uses existing LCS 2014/2015 microdata without contacting respondents. Access and disclosure conditions still apply. Public demonstrations use synthetic records; controlled reference-parity tests also used the research data. The downloadable package excludes survey records, and app displays/exports omit submitted identifiers and raw income. These controls do not establish disclosure review or release permission for historical repository files.</w:t>
      </w:r>
    </w:p>
    <w:p>
      <w:pPr>
        <w:spacing w:after="0" w:before="0" w:line="240" w:lineRule="auto"/>
        <w:ind w:firstLine="200"/>
        <w:jc w:val="both"/>
      </w:pPr>
      <w:r>
        <w:rPr>
          <w:rFonts w:ascii="Times New Roman" w:cs="Times New Roman" w:eastAsia="Times New Roman" w:hAnsi="Times New Roman"/>
          <w:sz w:val="20"/>
          <w:szCs w:val="20"/>
        </w:rPr>
        <w:t xml:space="preserve">The project record contains no DUT-IREC clearance number, faculty or departmental determination, or gatekeeper letter. The study therefore claims no approval, exemption or consent determination. Confirmation of the applicable institutional ethics route and secondary-data governance remains outstanding. These requirements are separate from the technical controls above. The application supports research analysis and does not determine grant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historical non-receipt was 6.6% unweighted and 7.5% person-weighted; alternatives gave 7.1%–9.1%. Grant-compatibility and partnership assumptions changed the population described. Five predictor groups/six slopes gave AUC 0.752, AP 0.203 and Brier 0.0578, supporting moderate internal ranking and a small descriptive probability-error reduction.</w:t>
      </w:r>
    </w:p>
    <w:p>
      <w:pPr>
        <w:spacing w:after="0" w:before="0" w:line="240" w:lineRule="auto"/>
        <w:ind w:firstLine="200"/>
        <w:jc w:val="both"/>
      </w:pPr>
      <w:r>
        <w:rPr>
          <w:rFonts w:ascii="Times New Roman" w:cs="Times New Roman" w:eastAsia="Times New Roman" w:hAnsi="Times New Roman"/>
          <w:sz w:val="20"/>
          <w:szCs w:val="20"/>
        </w:rPr>
        <w:t xml:space="preserve">The contribution integrates transparent screening, interpretable prediction and reproducible software for the same adults. Separate rules, unresolved cases, outcomes and scores make the path from survey measurement to displayed result inspectable. This provides a historical benchmark and an implementable analytical design, without establishing legal entitlement, causal barriers, participant usability or external validity.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28, no. 1, pp. 75–85, Mar.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Apr.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Jan. 2016, Art. no. 85,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33, no. 6, pp. 774–789, Nov.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22, no. 4, pp. 467–482, Oct.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Aug. 2014, Art. no. 25310,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Develop.</w:t>
      </w:r>
      <w:r>
        <w:rPr>
          <w:rFonts w:ascii="Times New Roman" w:cs="Times New Roman" w:eastAsia="Times New Roman" w:hAnsi="Times New Roman"/>
          <w:sz w:val="16"/>
          <w:szCs w:val="16"/>
        </w:rPr>
        <w:t xml:space="preserve">, vol. 72, pp. 277–295, Aug.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Mar.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Social Service Res.</w:t>
      </w:r>
      <w:r>
        <w:rPr>
          <w:rFonts w:ascii="Times New Roman" w:cs="Times New Roman" w:eastAsia="Times New Roman" w:hAnsi="Times New Roman"/>
          <w:sz w:val="16"/>
          <w:szCs w:val="16"/>
        </w:rPr>
        <w:t xml:space="preserve">, vol. 51, nos. 5–6, pp. 1140–1150, May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Develop. Stud.</w:t>
      </w:r>
      <w:r>
        <w:rPr>
          <w:rFonts w:ascii="Times New Roman" w:cs="Times New Roman" w:eastAsia="Times New Roman" w:hAnsi="Times New Roman"/>
          <w:sz w:val="16"/>
          <w:szCs w:val="16"/>
        </w:rPr>
        <w:t xml:space="preserve">, vol. 56, no. 11, pp. 2113–2133, Jan.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 research report, School Social Sci., Univ. Witwatersrand, Johannesburg, South Africa, Aug. 2023. [Online].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Admin. Res. Theory</w:t>
      </w:r>
      <w:r>
        <w:rPr>
          <w:rFonts w:ascii="Times New Roman" w:cs="Times New Roman" w:eastAsia="Times New Roman" w:hAnsi="Times New Roman"/>
          <w:sz w:val="16"/>
          <w:szCs w:val="16"/>
        </w:rPr>
        <w:t xml:space="preserve">, vol. 25, no. 1, pp. 43–69, Jan.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Southern Afr. J. Social Work Social Develop.</w:t>
      </w:r>
      <w:r>
        <w:rPr>
          <w:rFonts w:ascii="Times New Roman" w:cs="Times New Roman" w:eastAsia="Times New Roman" w:hAnsi="Times New Roman"/>
          <w:sz w:val="16"/>
          <w:szCs w:val="16"/>
        </w:rPr>
        <w:t xml:space="preserve">, vol. 34, no. 1, Apr. 2022, Art. no. 9052,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Mar. 2015, Art. no. e0118432,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no. 1, Dec. 2019, Art. no. 230,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Statist. Med.</w:t>
      </w:r>
      <w:r>
        <w:rPr>
          <w:rFonts w:ascii="Times New Roman" w:cs="Times New Roman" w:eastAsia="Times New Roman" w:hAnsi="Times New Roman"/>
          <w:sz w:val="16"/>
          <w:szCs w:val="16"/>
        </w:rPr>
        <w:t xml:space="preserve">, vol. 38, no. 7, pp. 1276–1296, Mar.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Mar.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Internal Med.</w:t>
      </w:r>
      <w:r>
        <w:rPr>
          <w:rFonts w:ascii="Times New Roman" w:cs="Times New Roman" w:eastAsia="Times New Roman" w:hAnsi="Times New Roman"/>
          <w:sz w:val="16"/>
          <w:szCs w:val="16"/>
        </w:rPr>
        <w:t xml:space="preserve">, vol. 162, no. 1, pp. 55–63, Jan.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Pretoria, South Africa, Statistical Release P0310, 2017.</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Pretoria, South Africa, Living Conditions Survey 2014/2015 code list. (n.d.).</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2014/2015: Household questionnaire,” Pretoria, South Africa. (n.d.).</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p. 3,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p. 3,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2026-10-15T18:39:46.290Z</dcterms:created>
  <dcterms:modified xsi:type="dcterms:W3CDTF">2026-10-15T18:39:46.290Z</dcterms:modified>
</cp:coreProperties>
</file>

<file path=docProps/custom.xml><?xml version="1.0" encoding="utf-8"?>
<Properties xmlns="http://schemas.openxmlformats.org/officeDocument/2006/custom-properties" xmlns:vt="http://schemas.openxmlformats.org/officeDocument/2006/docPropsVTypes"/>
</file>