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ectPr>
          <w:pgSz w:w="12240" w:h="15840" w:orient="portrait"/>
          <w:pgMar w:top="1080" w:right="900" w:bottom="1440" w:left="900" w:header="708" w:footer="708" w:gutter="0"/>
          <w:pgNumType/>
          <w:docGrid w:linePitch="360"/>
        </w:sectPr>
      </w:pPr>
    </w:p>
    <w:p>
      <w:pPr>
        <w:spacing w:after="80" w:before="0" w:line="240" w:lineRule="auto"/>
        <w:jc w:val="both"/>
        <w:rPr>
          <w:b/>
          <w:bCs/>
          <w:i w:val="false"/>
          <w:iCs w:val="false"/>
          <w:sz w:val="18"/>
          <w:szCs w:val="18"/>
        </w:rPr>
      </w:pPr>
      <w:r>
        <w:rPr>
          <w:rFonts w:ascii="Times New Roman" w:cs="Times New Roman" w:eastAsia="Times New Roman" w:hAnsi="Times New Roman"/>
          <w:b/>
          <w:bCs/>
          <w:i w:val="false"/>
          <w:iCs w:val="false"/>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0" w:line="240" w:lineRule="auto"/>
        <w:jc w:val="both"/>
        <w:rPr>
          <w:b/>
          <w:bCs/>
          <w:i/>
          <w:iCs/>
          <w:sz w:val="18"/>
          <w:szCs w:val="18"/>
        </w:rPr>
      </w:pPr>
      <w:r>
        <w:rPr>
          <w:rFonts w:ascii="Times New Roman" w:cs="Times New Roman" w:eastAsia="Times New Roman" w:hAnsi="Times New Roman"/>
          <w:b/>
          <w:bCs/>
          <w:i/>
          <w:iCs/>
          <w:sz w:val="18"/>
          <w:szCs w:val="18"/>
        </w:rPr>
        <w:t xml:space="preserve">Index Terms—Older Person’s Grant, reported non-receipt, administrative burden, Living Conditions Survey, logistic regression, reproducibility.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 Introduction</w:t>
      </w:r>
    </w:p>
    <w:p>
      <w:pPr>
        <w:spacing w:after="0" w:before="0" w:line="240" w:lineRule="auto"/>
        <w:ind w:firstLine="200"/>
        <w:jc w:val="both"/>
      </w:pPr>
      <w:r>
        <w:rPr>
          <w:rFonts w:ascii="Times New Roman" w:cs="Times New Roman" w:eastAsia="Times New Roman" w:hAnsi="Times New Roman"/>
          <w:sz w:val="20"/>
          <w:szCs w:val="20"/>
        </w:rPr>
        <w:t xml:space="preserve">The Older Person’s Grant (OPG) supports households [1], including during crises [2]. Prior studies examine rural pension receipt [3] and household grant receipt [4]. This study examines reported non-receipt among older adults who pass a research eligibility screen.</w:t>
      </w:r>
    </w:p>
    <w:p>
      <w:pPr>
        <w:spacing w:after="0" w:before="0" w:line="240" w:lineRule="auto"/>
        <w:ind w:firstLine="200"/>
        <w:jc w:val="both"/>
      </w:pPr>
      <w:r>
        <w:rPr>
          <w:rFonts w:ascii="Times New Roman" w:cs="Times New Roman" w:eastAsia="Times New Roman" w:hAnsi="Times New Roman"/>
          <w:sz w:val="20"/>
          <w:szCs w:val="20"/>
        </w:rPr>
        <w:t xml:space="preserve">Screening, reported receipt and legal entitlement remain distinct. Passing observable research conditions does not establish a South African Social Security Agency decision [5]. Missing spouse resources and unresolved responses change the denominator, whose construction must precede estimation.</w:t>
      </w:r>
    </w:p>
    <w:p>
      <w:pPr>
        <w:spacing w:after="0" w:before="0" w:line="240" w:lineRule="auto"/>
        <w:ind w:firstLine="200"/>
        <w:jc w:val="both"/>
      </w:pPr>
      <w:r>
        <w:rPr>
          <w:rFonts w:ascii="Times New Roman" w:cs="Times New Roman" w:eastAsia="Times New Roman" w:hAnsi="Times New Roman"/>
          <w:sz w:val="20"/>
          <w:szCs w:val="20"/>
        </w:rPr>
        <w:t xml:space="preserve">This study develops and evaluates an interpretable research artefact using the Living Conditions Survey (LCS) 2014/2015 in KwaZulu-Natal. It documents cohort construction, estimates weighted non-receipt, tests predictions in held-out households and verifies computational correctness, reproducibility and inspectability.</w:t>
      </w:r>
    </w:p>
    <w:p>
      <w:pPr>
        <w:spacing w:after="0" w:before="0" w:line="240" w:lineRule="auto"/>
        <w:ind w:firstLine="200"/>
        <w:jc w:val="both"/>
      </w:pPr>
      <w:r>
        <w:rPr>
          <w:rFonts w:ascii="Times New Roman" w:cs="Times New Roman" w:eastAsia="Times New Roman" w:hAnsi="Times New Roman"/>
          <w:sz w:val="20"/>
          <w:szCs w:val="20"/>
        </w:rPr>
        <w:t xml:space="preserve">RQ1 asks how common reported non-receipt is among screen-PASS adults with resolved receipt and how screening alternatives change that proportion. RQ2 evaluates logistic discrimination and probability accuracy in held-out households. RQ3 asks whether the artefact reproduces the analysis and clearly presents screening decisions and model outputs; participant usability remains untested.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 Related Work and Predictor Selection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Review Approach, Programme Context and Research Gap</w:t>
      </w:r>
    </w:p>
    <w:p>
      <w:pPr>
        <w:spacing w:after="0" w:before="0" w:line="240" w:lineRule="auto"/>
        <w:ind w:firstLine="200"/>
        <w:jc w:val="both"/>
      </w:pPr>
      <w:r>
        <w:rPr>
          <w:rFonts w:ascii="Times New Roman" w:cs="Times New Roman" w:eastAsia="Times New Roman" w:hAnsi="Times New Roman"/>
          <w:sz w:val="20"/>
          <w:szCs w:val="20"/>
        </w:rPr>
        <w:t xml:space="preserve">The narrative review drew on Scopus, Dimensions, IEEE Xplore, SABINET/African Journals Online, Google Scholar and Statistics South Africa/DataFirst. Searches covered social assistance, eligibility, take-up, non-receipt, exclusion and prediction. Studies differed in programme, population, unit and outcome, preventing pooled estimates.</w:t>
      </w:r>
    </w:p>
    <w:p>
      <w:pPr>
        <w:spacing w:after="0" w:before="0" w:line="240" w:lineRule="auto"/>
        <w:ind w:firstLine="200"/>
        <w:jc w:val="both"/>
      </w:pPr>
      <w:r>
        <w:rPr>
          <w:rFonts w:ascii="Times New Roman" w:cs="Times New Roman" w:eastAsia="Times New Roman" w:hAnsi="Times New Roman"/>
          <w:sz w:val="20"/>
          <w:szCs w:val="20"/>
        </w:rPr>
        <w:t xml:space="preserve">Review records report 511 items: 136 duplicates removed, 375 titles/abstracts screened, 222 exclusions, 153 full-text assessments, 98 further exclusions and 55 retained sources across grants and populations. Queries, search dates/filters, exports, item-level decisions and the full extraction register are unavailable. These aggregate counts cannot establish reproducible selection or exhaustive coverage.</w:t>
      </w:r>
    </w:p>
    <w:p>
      <w:pPr>
        <w:spacing w:after="0" w:before="0" w:line="240" w:lineRule="auto"/>
        <w:ind w:firstLine="20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0" w:before="0" w:line="240" w:lineRule="auto"/>
        <w:ind w:firstLine="200"/>
        <w:jc w:val="both"/>
      </w:pPr>
      <w:r>
        <w:rPr>
          <w:rFonts w:ascii="Times New Roman" w:cs="Times New Roman" w:eastAsia="Times New Roman" w:hAnsi="Times New Roman"/>
          <w:sz w:val="20"/>
          <w:szCs w:val="20"/>
        </w:rPr>
        <w:t xml:space="preserve">Gazeaud motivates income sensitivity [11]; Mabala studies a different grant and age group [12]. Neither establishes OPG eligibility.</w:t>
      </w:r>
    </w:p>
    <w:p>
      <w:pPr>
        <w:spacing w:after="0" w:before="0" w:line="240" w:lineRule="auto"/>
        <w:ind w:firstLine="200"/>
        <w:jc w:val="both"/>
      </w:pPr>
      <w:r>
        <w:rPr>
          <w:rFonts w:ascii="Times New Roman" w:cs="Times New Roman" w:eastAsia="Times New Roman" w:hAnsi="Times New Roman"/>
          <w:sz w:val="20"/>
          <w:szCs w:val="20"/>
        </w:rPr>
        <w:t xml:space="preserve">Cited studies do not directly show how resource, partnership and grant-compatibility assumptions shape provincial person-level non-receipt estimates. This study connects explicit screening, sensitivity analysis, weighted description and household-held-out prediction through shared rules and inspectable software. Its contribution concerns measurement and reproducibility, rather than statutory entitlement or access mechanisms.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Grant Access and Administrative Burden</w:t>
      </w:r>
    </w:p>
    <w:p>
      <w:pPr>
        <w:spacing w:after="0" w:before="0" w:line="240" w:lineRule="auto"/>
        <w:ind w:firstLine="20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0" w:before="0" w:line="240" w:lineRule="auto"/>
        <w:ind w:firstLine="200"/>
        <w:jc w:val="both"/>
      </w:pPr>
      <w:r>
        <w:rPr>
          <w:rFonts w:ascii="Times New Roman" w:cs="Times New Roman" w:eastAsia="Times New Roman" w:hAnsi="Times New Roman"/>
          <w:sz w:val="20"/>
          <w:szCs w:val="20"/>
        </w:rPr>
        <w:t xml:space="preserve">The screen operationalises observable age, resources, partnership and grant-compatibility rules while retaining unresolved information. Screening status and reported receipt remain separate. Only screen-PASS adults with resolved receipt enter descriptive and predictive analyses; unclear or contradictory receipt responses remain unresolved.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Predictor Selection and Software Design</w:t>
      </w:r>
    </w:p>
    <w:p>
      <w:pPr>
        <w:spacing w:after="0" w:before="0" w:line="240" w:lineRule="auto"/>
        <w:ind w:firstLine="20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0" w:before="0" w:line="240" w:lineRule="auto"/>
        <w:ind w:firstLine="200"/>
        <w:jc w:val="both"/>
      </w:pPr>
      <w:r>
        <w:rPr>
          <w:rFonts w:ascii="Times New Roman" w:cs="Times New Roman" w:eastAsia="Times New Roman" w:hAnsi="Times New Roman"/>
          <w:sz w:val="20"/>
          <w:szCs w:val="20"/>
        </w:rPr>
        <w:t xml:space="preserve">Rare outcomes require precision–recall assessment alongside discrimination and calibration [16], [17]. Sample size limits precision [18]; household grouping constrains validation [19]. TRIPOD informed prediction reporting [20]. Software verification and participant usability require different evidence.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Conceptual Framework</w:t>
      </w:r>
    </w:p>
    <w:p>
      <w:pPr>
        <w:spacing w:after="0" w:before="0" w:line="240" w:lineRule="auto"/>
        <w:ind w:firstLine="200"/>
        <w:jc w:val="both"/>
      </w:pPr>
      <w:r>
        <w:rPr>
          <w:rFonts w:ascii="Times New Roman" w:cs="Times New Roman" w:eastAsia="Times New Roman" w:hAnsi="Times New Roman"/>
          <w:sz w:val="20"/>
          <w:szCs w:val="20"/>
        </w:rPr>
        <w:t xml:space="preserve">Reported non-receipt motivates an administrative-burden perspective. Figure 1 links theory to LCS proxies, with age and sex as demographic context. Observable screening is necessary because age alone cannot define eligibility and LCS omits legal conditions. Resource, partnership and grant-compatibility rules define the population; reported receipt defines the outcome. Person weights describe non-receipt; unweighted household-held-out validation assesses prediction. The artefact implements this design through shared rules, frozen scoring and inspectable reports. Application scores remain separate from held-out evaluation and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III. Methods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Data and study population</w:t>
      </w:r>
    </w:p>
    <w:p>
      <w:pPr>
        <w:spacing w:after="0" w:before="0" w:line="240" w:lineRule="auto"/>
        <w:ind w:firstLine="200"/>
        <w:jc w:val="both"/>
      </w:pPr>
      <w:r>
        <w:rPr>
          <w:rFonts w:ascii="Times New Roman" w:cs="Times New Roman" w:eastAsia="Times New Roman" w:hAnsi="Times New Roman"/>
          <w:sz w:val="20"/>
          <w:szCs w:val="20"/>
        </w:rPr>
        <w:t xml:space="preserve">The analysis linked LCS 2014/2015 person, household and person-income files using survey identifiers, checking duplicates, unmatched records and row counts. Questionnaire, metadata and COICOP (Classification of Individual Consumption According to Purpose) codes guided interpretation [21], [22], [23]. The study included sampled KwaZulu-Natal residents aged 60+; the household survey excludes institutional residents. Screening used interview-month rules. Statistics South Africa had hot-deck-imputed age and sex before release, without record-level flags. Model preprocessing addressed missing predictors separately. Aggregating income before linkage preserved person-level records (Table III).</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rules and receipt outcome</w:t>
      </w:r>
    </w:p>
    <w:p>
      <w:pPr>
        <w:spacing w:after="0" w:before="0" w:line="240" w:lineRule="auto"/>
        <w:ind w:firstLine="20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0" w:before="0" w:line="240" w:lineRule="auto"/>
        <w:ind w:firstLine="20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The 2014 amendment, Schedule paragraph 2, substituted D = 1.6A − 0.4B from 1 April 2014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w:t>
      </w:r>
    </w:p>
    <w:p>
      <w:pPr>
        <w:spacing w:after="0" w:before="0" w:line="240" w:lineRule="auto"/>
        <w:ind w:firstLine="20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w:t>
      </w:r>
    </w:p>
    <w:p>
      <w:pPr>
        <w:spacing w:after="0" w:before="0" w:line="240" w:lineRule="auto"/>
        <w:ind w:firstLine="20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0" w:before="0" w:line="240" w:lineRule="auto"/>
        <w:ind w:firstLine="20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Survey-weighted description and uncertainty</w:t>
      </w:r>
    </w:p>
    <w:p>
      <w:pPr>
        <w:spacing w:after="0" w:before="0" w:line="240" w:lineRule="auto"/>
        <w:ind w:firstLine="200"/>
        <w:jc w:val="both"/>
      </w:pPr>
      <w:r>
        <w:rPr>
          <w:rFonts w:ascii="Times New Roman" w:cs="Times New Roman" w:eastAsia="Times New Roman" w:hAnsi="Times New Roman"/>
          <w:sz w:val="20"/>
          <w:szCs w:val="20"/>
        </w:rPr>
        <w:t xml:space="preserve">RQ1 reported unweighted and person-weighted non-receipt, p = Σ(wᵢYᵢ)/Σwᵢ, where Yᵢ = 1 denotes non-receipt and wᵢ is the person weight. Group comparisons were descriptive. For the weighted proportion, a with-replacement linearisation approximation clustered by derived primary sampling unit (PSU; first 11 household-ID digits) supplied the standard error (SE); 95% intervals used p ± 1.96SE. Unreleased strata prevented full survey-design variance estimation. Adults with unresolved screening remained outside the denominator. Receipt bounds assigned all unresolved PASS outcomes first to receipt, then to non-receipt.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Model specification and validation</w:t>
      </w:r>
    </w:p>
    <w:p>
      <w:pPr>
        <w:spacing w:after="0" w:before="0" w:line="240" w:lineRule="auto"/>
        <w:ind w:firstLine="200"/>
        <w:jc w:val="both"/>
      </w:pPr>
      <w:r>
        <w:rPr>
          <w:rFonts w:ascii="Times New Roman" w:cs="Times New Roman" w:eastAsia="Times New Roman" w:hAnsi="Times New Roman"/>
          <w:sz w:val="20"/>
          <w:szCs w:val="20"/>
        </w:rPr>
        <w:t xml:space="preserve">An unweighted, unpenalised logistic regression estimated reported non-receipt using five predictor groups, six slopes and an intercept (Table II). There was no class rebalancing, automated variable selection or cutoff optimisation. Income, receipt, derived outcome labels and marital status were excluded from primary predictors.</w:t>
      </w:r>
    </w:p>
    <w:p>
      <w:pPr>
        <w:spacing w:after="0" w:before="0" w:line="240" w:lineRule="auto"/>
        <w:ind w:firstLine="200"/>
        <w:jc w:val="both"/>
      </w:pPr>
      <w:r>
        <w:rPr>
          <w:rFonts w:ascii="Times New Roman" w:cs="Times New Roman" w:eastAsia="Times New Roman" w:hAnsi="Times New Roman"/>
          <w:sz w:val="20"/>
          <w:szCs w:val="20"/>
        </w:rPr>
        <w:t xml:space="preserve">The attempted seven-slope model contained one rural-formal non-recipient; holding out that adult left no training event in that category. Decision D-052 combined rural formal with traditional settlement to support estimation, without treating the settings as equivalent. This outcome-informed choice was not nested within validation; performance remains conditional on the retained specification.</w:t>
      </w:r>
    </w:p>
    <w:p>
      <w:pPr>
        <w:spacing w:after="0" w:before="0" w:line="240" w:lineRule="auto"/>
        <w:ind w:firstLine="200"/>
        <w:jc w:val="both"/>
      </w:pPr>
      <w:r>
        <w:rPr>
          <w:rFonts w:ascii="Times New Roman" w:cs="Times New Roman" w:eastAsia="Times New Roman" w:hAnsi="Times New Roman"/>
          <w:sz w:val="20"/>
          <w:szCs w:val="20"/>
        </w:rPr>
        <w:t xml:space="preserve">The 1,013 adults formed 827 households, including 182 with multiple included adults and six with both outcomes. Five folds stratified sorted households by any member’s non-receipt, keeping household members together (seed 201415). Each iteration trained on four folds and predicted the fifth. Held-out folds contained 199–207 adults and 12–14 events; age, sex and settlement were complete, with predictor missingness reported in Table V. Training sets supplied the age median and categorical modes used to impute training and held-out predictors before constructing fixed contrasts; ties selected the smallest code sorted as text. Fixed coding handled structural skips. Eligibility, receipt and weights were not imputed. Each adult received one out-of-fold (OOF) probability; the reference used the corresponding training-set event rate.</w:t>
      </w:r>
    </w:p>
    <w:p>
      <w:pPr>
        <w:spacing w:after="0" w:before="0" w:line="240" w:lineRule="auto"/>
        <w:ind w:firstLine="200"/>
        <w:jc w:val="both"/>
      </w:pPr>
      <w:r>
        <w:rPr>
          <w:rFonts w:ascii="Times New Roman" w:cs="Times New Roman" w:eastAsia="Times New Roman" w:hAnsi="Times New Roman"/>
          <w:sz w:val="20"/>
          <w:szCs w:val="20"/>
        </w:rPr>
        <w:t xml:space="preserve">Pooled OOF predictions supplied unweighted average precision, AUC, Brier score and calibration measures. Calibration-in-the-large estimated an intercept correction with slope fixed at 1; ideal intercept and slope values were zero and 1. In 1,000 bootstrap draws, 827 households were sampled with replacement, retaining all included members and repeated selections. Outcomes and fixed OOF/reference probabilities stayed paired. Metrics, including calibration regressions, were recalculated; 2.5th/97.5th percentiles formed 95% intervals, with 1,000 valid draws per reported metric. Predictive models, imputers, folds and the settlement revision were not repeated. These conditional intervals omit variability from repeating model development or fold assignment, leave dependence from shared training data unaddressed, and do not reproduce the survey design or establish external performance.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Alternative assumptions</w:t>
      </w:r>
    </w:p>
    <w:p>
      <w:pPr>
        <w:spacing w:after="0" w:before="0" w:line="240" w:lineRule="auto"/>
        <w:ind w:firstLine="200"/>
        <w:jc w:val="both"/>
      </w:pPr>
      <w:r>
        <w:rPr>
          <w:rFonts w:ascii="Times New Roman" w:cs="Times New Roman" w:eastAsia="Times New Roman" w:hAnsi="Times New Roman"/>
          <w:sz w:val="20"/>
          <w:szCs w:val="20"/>
        </w:rPr>
        <w:t xml:space="preserve">S1–S6 varied thresholds, partnership, other-grant rules, income definition, receipt period and unresolved-receipt bounds. Each recorded cohort size, events, unweighted/person-weighted rates and internal predictive performance; unchanged cohorts retained primary OOF results. S7 used complete cases; S8 replaced welfare access with a married indicator. S9 fitted frequency-weighted regression while retaining unweighted imputation and evaluation; it was not a survey-design regression. S10 weighted primary OOF metrics without refitting; S11 grouped folds by derived PSU. These analyses remained separate from primary results.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IV. Software and Evaluation</w:t>
      </w:r>
    </w:p>
    <w:p>
      <w:pPr>
        <w:spacing w:after="0" w:before="0" w:line="240" w:lineRule="auto"/>
        <w:ind w:firstLine="200"/>
        <w:jc w:val="both"/>
      </w:pPr>
      <w:r>
        <w:rPr>
          <w:rFonts w:ascii="Times New Roman" w:cs="Times New Roman" w:eastAsia="Times New Roman" w:hAnsi="Times New Roman"/>
          <w:sz w:val="20"/>
          <w:szCs w:val="20"/>
        </w:rPr>
        <w:t xml:space="preserve">The command-line interface (CLI), python analysis/run_study.py, reproduces linkage, screening, description and held-out evaluation. Run records store versions, settings, seed, folds and checksums. The app loads JSON coefficients and imputation statistics from opg-kzn-six-slope-v1, fitted to the full cohort. Uploads never retrain it.</w:t>
      </w:r>
    </w:p>
    <w:p>
      <w:pPr>
        <w:spacing w:after="0" w:before="0" w:line="240" w:lineRule="auto"/>
        <w:ind w:firstLine="200"/>
        <w:jc w:val="both"/>
      </w:pPr>
      <w:r>
        <w:rPr>
          <w:rFonts w:ascii="Times New Roman" w:cs="Times New Roman" w:eastAsia="Times New Roman" w:hAnsi="Times New Roman"/>
          <w:sz w:val="20"/>
          <w:szCs w:val="20"/>
        </w:rPr>
        <w:t xml:space="preserve">The Streamlit app accepts opg-screen-v1 CSVs, including members needed for spouse linkage. It rejects schema/context errors, duplicate identifiers and invalid values. Uploads are limited to 20 MiB/50,000 rows and remain in session memory. Views and exports omit submitted identifiers, raw income and household links. Filters preserve the full resolved-PASS summary denominator.</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0" w:before="0" w:line="240" w:lineRule="auto"/>
        <w:ind w:firstLine="200"/>
        <w:jc w:val="both"/>
      </w:pPr>
      <w:r>
        <w:rPr>
          <w:rFonts w:ascii="Times New Roman" w:cs="Times New Roman" w:eastAsia="Times New Roman" w:hAnsi="Times New Roman"/>
          <w:sz w:val="20"/>
          <w:szCs w:val="20"/>
        </w:rPr>
        <w:t xml:space="preserve">Only supported PASS adults with resolved receipt receive scores; partially missing predictors use frozen statistics, while records missing every categorical predictor remain unscored. Integrity checks bind model/evaluation files to code. Historical OOF results remain distinct from uploaded scores; uploaded records may overlap training data. CSV, JSON and ZIP exports include classifications, reasons, probabilities, versions and audit manifests. The synthetic MVP excludes survey records, historical respondent outputs and Git history.</w:t>
      </w:r>
    </w:p>
    <w:p>
      <w:pPr>
        <w:spacing w:after="0" w:before="0" w:line="240" w:lineRule="auto"/>
        <w:ind w:firstLine="200"/>
        <w:jc w:val="both"/>
      </w:pPr>
      <w:r>
        <w:rPr>
          <w:rFonts w:ascii="Times New Roman" w:cs="Times New Roman" w:eastAsia="Times New Roman" w:hAnsi="Times New Roman"/>
          <w:sz w:val="20"/>
          <w:szCs w:val="20"/>
        </w:rPr>
        <w:t xml:space="preserve">Technical checks covered expected decisions, excluded predictors, linkage, repeatability, exports, saved-score parity and invalid/stale interface states. The owner’s Windows walkthrough confirmed synthetic execution and report generation, without independent participant evidence.</w:t>
      </w:r>
    </w:p>
    <w:p>
      <w:pPr>
        <w:spacing w:after="0" w:before="0" w:line="240" w:lineRule="auto"/>
        <w:ind w:firstLine="200"/>
        <w:jc w:val="both"/>
      </w:pPr>
      <w:r>
        <w:rPr>
          <w:rFonts w:ascii="Times New Roman" w:cs="Times New Roman" w:eastAsia="Times New Roman" w:hAnsi="Times New Roman"/>
          <w:sz w:val="20"/>
          <w:szCs w:val="20"/>
        </w:rPr>
        <w:t xml:space="preserve">An unused protocol proposes synthetic tasks for three to five consenting participants, measuring completion, time, errors, ease and assistance. No participant usability or acceptance results exist; automated checks establish program behaviour.</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 Results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Study group and reported non-receipt</w:t>
      </w:r>
    </w:p>
    <w:p>
      <w:pPr>
        <w:spacing w:after="0" w:before="0" w:line="240" w:lineRule="auto"/>
        <w:ind w:firstLine="200"/>
        <w:jc w:val="both"/>
      </w:pPr>
      <w:r>
        <w:rPr>
          <w:rFonts w:ascii="Times New Roman" w:cs="Times New Roman" w:eastAsia="Times New Roman" w:hAnsi="Times New Roman"/>
          <w:sz w:val="20"/>
          <w:szCs w:val="20"/>
        </w:rPr>
        <w:t xml:space="preserve">The survey included 15,388 people in 3,686 KwaZulu-Natal households (Table IV). Adults aged 60+ partition into failed, unresolved and passed groups; receipt partitions PASS. Household counts can overlap across rows. Of 117 failures, 93 exceeded the income ceiling and 25 reported disability grants; one met both conditions. None reported war-veterans grants. Of 187 unresolved adults, 105 were married, mostly with non-resident spouses, and 63 reported living together. Unresolved adults outnumbered non-recipients.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Person counts partition as 117 + 187 + 1,013 among adults aged 60+, then 946 + 67 within PASS. Adding all rows double-counts adults. Household counts are distinct within rows and do not form the same partition.</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0" w:before="0" w:line="240" w:lineRule="auto"/>
        <w:ind w:firstLine="200"/>
        <w:jc w:val="both"/>
      </w:pPr>
      <w:r>
        <w:rPr>
          <w:rFonts w:ascii="Times New Roman" w:cs="Times New Roman" w:eastAsia="Times New Roman" w:hAnsi="Times New Roman"/>
          <w:sz w:val="20"/>
          <w:szCs w:val="20"/>
        </w:rPr>
        <w:t xml:space="preserve">Among 1,013 resolved passes, 67 reported non-receipt: 6.61% unweighted and 7.49% person-weighted. A PSU-clustered normal approximation across 345 PSUs gave SE 1.3 percentage points and a 95% interval of 4.9%–10.0%. Missing strata prevent full survey-design inference; this approximation does not supply intervals for Tables V–VIII. Current receipt matched preceding-year OPG income throughout. Table V describes pre-imputation composition within receipt groups, rather than non-receipt rates or predictions, and reports no standard errors.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
Characteristics by receipt, before filling missing values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Recipients: 946; non-recipients: 67. Entries give unweighted then person-weighted means, or unweighted counts/within-group percentages then weighted percentages. Denominators retain three recipients missing schooling and 14 recipients/four non-recipients missing office-distance values. These describe group composition, without uncertainty intervals.</w:t>
      </w:r>
    </w:p>
    <w:p>
      <w:pPr>
        <w:spacing w:after="0" w:before="0" w:line="240" w:lineRule="auto"/>
        <w:ind w:firstLine="200"/>
        <w:jc w:val="both"/>
      </w:pPr>
      <w:r>
        <w:rPr>
          <w:rFonts w:ascii="Times New Roman" w:cs="Times New Roman" w:eastAsia="Times New Roman" w:hAnsi="Times New Roman"/>
          <w:sz w:val="20"/>
          <w:szCs w:val="20"/>
        </w:rPr>
        <w:t xml:space="preserve">Unweighted non-recipients were younger, more often men, more educated and more often urban-formal residents. Weighting reduced the age difference. No between-group tests were performed.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sensitivity</w:t>
      </w:r>
    </w:p>
    <w:p>
      <w:pPr>
        <w:spacing w:after="0" w:before="0" w:line="240" w:lineRule="auto"/>
        <w:ind w:firstLine="200"/>
        <w:jc w:val="both"/>
      </w:pPr>
      <w:r>
        <w:rPr>
          <w:rFonts w:ascii="Times New Roman" w:cs="Times New Roman" w:eastAsia="Times New Roman" w:hAnsi="Times New Roman"/>
          <w:sz w:val="20"/>
          <w:szCs w:val="20"/>
        </w:rPr>
        <w:t xml:space="preserve">Table VI reports scenario denominators, events, unweighted/person-weighted prevalence and unweighted OOF performance. Weighted prevalence ranged from 7.12% to 9.06%; AUC ranged from 0.736 to 0.763. Sensitivity performance entries are point estimates without intervals; similar AUC neither equates screened populations nor validates a screening rule.</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
Screening changes, non-receipt rates and held-out point estimates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Events are reported non-recipients. Unw./Wtd. denote unweighted/person-weighted percentages. AUC, Brier and calibration slope are unweighted OOF point estimates without intervals. Same* repeats S0 for unchanged scenarios.</w:t>
      </w:r>
    </w:p>
    <w:p>
      <w:pPr>
        <w:spacing w:after="0" w:before="0" w:line="240" w:lineRule="auto"/>
        <w:ind w:firstLine="200"/>
        <w:jc w:val="both"/>
      </w:pPr>
      <w:r>
        <w:rPr>
          <w:rFonts w:ascii="Times New Roman" w:cs="Times New Roman" w:eastAsia="Times New Roman" w:hAnsi="Times New Roman"/>
          <w:sz w:val="20"/>
          <w:szCs w:val="20"/>
        </w:rPr>
        <w:t xml:space="preserve">S1b applies the 2015 ceiling throughout; S1d uses the zero-payment boundary. These distinct settings produced identical results. S2a/S2b treat living-together adults as couples/single; S2c treats separated adults as single; S2d treats both as single. S3 retains disability/war-veterans recipients, adding no veterans. S4b includes social-assistance income.</w:t>
      </w:r>
    </w:p>
    <w:p>
      <w:pPr>
        <w:spacing w:after="0" w:before="0" w:line="240" w:lineRule="auto"/>
        <w:ind w:firstLine="200"/>
        <w:jc w:val="both"/>
      </w:pPr>
      <w:r>
        <w:rPr>
          <w:rFonts w:ascii="Times New Roman" w:cs="Times New Roman" w:eastAsia="Times New Roman" w:hAnsi="Times New Roman"/>
          <w:sz w:val="20"/>
          <w:szCs w:val="20"/>
        </w:rPr>
        <w:t xml:space="preserve">*Unchanged scenarios: S1a applies the 2014 ceiling throughout; S1c adds the age-75 supplement; S4a adjusts income for prices with unchanged ceilings; S4c excludes UIF and similar transfers; S5 uses preceding-year receipt. S6a/S6b assign unresolved PASS receipt to receipt/non-receipt; no such cases occurred. Each retains the S0 denominator, events and measures.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Predictive performance and associations</w:t>
      </w:r>
    </w:p>
    <w:p>
      <w:pPr>
        <w:spacing w:after="0" w:before="0" w:line="240" w:lineRule="auto"/>
        <w:ind w:firstLine="200"/>
        <w:jc w:val="both"/>
      </w:pPr>
      <w:r>
        <w:rPr>
          <w:rFonts w:ascii="Times New Roman" w:cs="Times New Roman" w:eastAsia="Times New Roman" w:hAnsi="Times New Roman"/>
          <w:sz w:val="20"/>
          <w:szCs w:val="20"/>
        </w:rPr>
        <w:t xml:space="preserve">Predictive performance uses OOF probabilities; associations use the full-cohort fit. Neither establishes causal mechanisms, temporal ordering or intervention effects.</w:t>
      </w:r>
    </w:p>
    <w:p>
      <w:pPr>
        <w:spacing w:after="0" w:before="0" w:line="240" w:lineRule="auto"/>
        <w:ind w:firstLine="20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
Primary held-out performance and resampling intervals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model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Brackets give conditional 95% percentile intervals from 1,000 household resamples of fixed OOF predictions (1,013 people/67 events); each interval had 1,000 valid, zero invalid draws. Predictive models and imputers were not refitted. These differ from the PSU approximation in V.A and full-fit Wald intervals below. The reference uses training-fold prevalence; its .0001 calibration-in-the-large has no saved interval. Dashes indicate unavailable measures. Ideal calibration intercept/slope values are 0/1.</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0" w:before="0" w:line="240" w:lineRule="auto"/>
        <w:ind w:firstLine="200"/>
        <w:jc w:val="both"/>
      </w:pPr>
      <w:r>
        <w:rPr>
          <w:rFonts w:ascii="Times New Roman" w:cs="Times New Roman" w:eastAsia="Times New Roman" w:hAnsi="Times New Roman"/>
          <w:sz w:val="20"/>
          <w:szCs w:val="20"/>
        </w:rPr>
        <w:t xml:space="preserve">Full-cohort adjusted odds ratios were 0.39 for women versus men (Wald interval 0.23–0.66) and 0.24 for schooling below Grade 7 versus Grade 7 or above (0.13–0.43). Age, settlement and office-distance intervals included 1. These exploratory model-based intervals omit household clustering, survey design and specification-selection uncertainty. They describe odds associations, rather than probability changes, held-out performance or causal effects.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VIII
Model and validation sensitivities, as point estimates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Unw. is the unweighted non-receipt percentage; performance entries have no intervals. S8–S11 retain weighted non-receipt of 7.49%. S7 removes 21 adults/four events lacking usable schooling or distance. S8 substitutes marriage for office distance, retaining six slopes. S9 uses frequency-weighted fitting with unweighted imputation/evaluation, not full survey-design regression. S10 weights primary OOF predictions without refitting; S11 changes fold grouping to derived PSU.</w:t>
      </w:r>
    </w:p>
    <w:p>
      <w:pPr>
        <w:spacing w:after="0" w:before="0" w:line="240" w:lineRule="auto"/>
        <w:ind w:firstLine="200"/>
        <w:jc w:val="both"/>
      </w:pPr>
      <w:r>
        <w:rPr>
          <w:rFonts w:ascii="Times New Roman" w:cs="Times New Roman" w:eastAsia="Times New Roman" w:hAnsi="Times New Roman"/>
          <w:sz w:val="20"/>
          <w:szCs w:val="20"/>
        </w:rPr>
        <w:t xml:space="preserve">Table VIII changes sample, predictors or evaluation, rather than estimating effects. Its point estimates do not establish a preferred specification.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Software verification</w:t>
      </w:r>
    </w:p>
    <w:p>
      <w:pPr>
        <w:spacing w:after="0" w:before="0" w:line="240" w:lineRule="auto"/>
        <w:ind w:firstLine="200"/>
        <w:jc w:val="both"/>
      </w:pPr>
      <w:r>
        <w:rPr>
          <w:rFonts w:ascii="Times New Roman" w:cs="Times New Roman" w:eastAsia="Times New Roman" w:hAnsi="Times New Roman"/>
          <w:sz w:val="20"/>
          <w:szCs w:val="20"/>
        </w:rPr>
        <w:t xml:space="preserve">Table IX summarises 26 original checks: 22 synthetic screening cases, two income-schedule checks, one forbidden-predictor check and one run trace. Two research runs produced 14 byte-identical files and preserved the cohort checksum.</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0" w:before="0" w:line="240" w:lineRule="auto"/>
        <w:ind w:firstLine="200"/>
        <w:jc w:val="both"/>
      </w:pPr>
      <w:r>
        <w:rPr>
          <w:rFonts w:ascii="Times New Roman" w:cs="Times New Roman" w:eastAsia="Times New Roman" w:hAnsi="Times New Roman"/>
          <w:sz w:val="20"/>
          <w:szCs w:val="20"/>
        </w:rPr>
        <w:t xml:space="preserve">The owner’s Windows walkthrough exercised six synthetic classifications. Six extracted reports passed 50 checks of outputs, summaries, checksums and versions. The ZIP container itself was not inspected. This supports local technical functionality, without independent execution or participant-usability evidence.</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 Discussion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Scope of measured non-receipt</w:t>
      </w:r>
    </w:p>
    <w:p>
      <w:pPr>
        <w:spacing w:after="0" w:before="0" w:line="240" w:lineRule="auto"/>
        <w:ind w:firstLine="20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0" w:before="0" w:line="240" w:lineRule="auto"/>
        <w:ind w:firstLine="20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Table VI gives AUC, Brier and slope as point estimates on those changed denominators, without intervals.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Predictive performance and interpretation</w:t>
      </w:r>
    </w:p>
    <w:p>
      <w:pPr>
        <w:spacing w:after="0" w:before="0" w:line="240" w:lineRule="auto"/>
        <w:ind w:firstLine="200"/>
        <w:jc w:val="both"/>
      </w:pPr>
      <w:r>
        <w:rPr>
          <w:rFonts w:ascii="Times New Roman" w:cs="Times New Roman" w:eastAsia="Times New Roman" w:hAnsi="Times New Roman"/>
          <w:sz w:val="20"/>
          <w:szCs w:val="20"/>
        </w:rPr>
        <w:t xml:space="preserve">AUC 0.752 indicates ranking discrimination, rather than cutoff accuracy. AP 0.203 summarises precision–recall across thresholds, rather than precision at one cutoff [16]. Brier fell from 0.0618 to 0.0578, a modest 0.0040 reduction. No paired interval was calculated for that reduction; it remains a descriptive comparison. Calibration-in-the-large 0.020 estimates an intercept correction with slope fixed at 1; an interval spanning the ideal zero does not prove calibration. Slope 0.836 suggests overly extreme predictions, but its 0.591–1.133 interval includes 1 [17]. Only 67 events informed evaluation [18], and most adults in the highest-risk bin reported receipt.</w:t>
      </w:r>
    </w:p>
    <w:p>
      <w:pPr>
        <w:spacing w:after="0" w:before="0" w:line="240" w:lineRule="auto"/>
        <w:ind w:firstLine="200"/>
        <w:jc w:val="both"/>
      </w:pPr>
      <w:r>
        <w:rPr>
          <w:rFonts w:ascii="Times New Roman" w:cs="Times New Roman" w:eastAsia="Times New Roman" w:hAnsi="Times New Roman"/>
          <w:sz w:val="20"/>
          <w:szCs w:val="20"/>
        </w:rPr>
        <w:t xml:space="preserve">Household resampling, the PSU survey approximation and full-fit Wald intervals address different uncertainties. None converts predictive discrimination or fitted associations into effects of sex, schooling, settlement or office distance.</w:t>
      </w:r>
    </w:p>
    <w:p>
      <w:pPr>
        <w:spacing w:after="0" w:before="0" w:line="240" w:lineRule="auto"/>
        <w:ind w:firstLine="200"/>
        <w:jc w:val="both"/>
      </w:pPr>
      <w:r>
        <w:rPr>
          <w:rFonts w:ascii="Times New Roman" w:cs="Times New Roman" w:eastAsia="Times New Roman" w:hAnsi="Times New Roman"/>
          <w:sz w:val="20"/>
          <w:szCs w:val="20"/>
        </w:rPr>
        <w:t xml:space="preserve">Table VIII separates sample, predictor and evaluation changes. S7’s lower Brier concerns a different sample (992/63), not evidence that imputation harms prediction. S8 substitutes marriage for office distance. S9 weights fitting only; S10 weights the same OOF predictions, raising Brier to 0.0641. S11 changes grouping to derived PSU. S8–S11 retain 1,013 adults/67 events. These internal checks do not establish specification superiority or performance elsewhere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Technical verification, separate from usability</w:t>
      </w:r>
    </w:p>
    <w:p>
      <w:pPr>
        <w:spacing w:after="0" w:before="0" w:line="240" w:lineRule="auto"/>
        <w:ind w:firstLine="200"/>
        <w:jc w:val="both"/>
      </w:pPr>
      <w:r>
        <w:rPr>
          <w:rFonts w:ascii="Times New Roman" w:cs="Times New Roman" w:eastAsia="Times New Roman" w:hAnsi="Times New Roman"/>
          <w:sz w:val="20"/>
          <w:szCs w:val="20"/>
        </w:rPr>
        <w:t xml:space="preserve">RQ3 concerns reproducibility and inspectable explanations. Table IX supports technical correctness within tested conditions: synthetic cases check rules, repeated files check repeatability, interface–command agreement checks screening/receipt outputs, and model reload checks serialization. The owner’s walkthrough confirms local synthetic execution. Versioned sources and validation records support scrutiny; these checks do not establish independent user comprehension.</w:t>
      </w:r>
    </w:p>
    <w:p>
      <w:pPr>
        <w:spacing w:after="0" w:before="0" w:line="240" w:lineRule="auto"/>
        <w:ind w:firstLine="200"/>
        <w:jc w:val="both"/>
      </w:pPr>
      <w:r>
        <w:rPr>
          <w:rFonts w:ascii="Times New Roman" w:cs="Times New Roman" w:eastAsia="Times New Roman" w:hAnsi="Times New Roman"/>
          <w:sz w:val="20"/>
          <w:szCs w:val="20"/>
        </w:rPr>
        <w:t xml:space="preserve">Historical OOF evaluation remains separate from uploaded full-data scores, whose records may overlap training data. Reload agreement verifies stored predictions, rather than new predictive accuracy or user understanding.</w:t>
      </w:r>
    </w:p>
    <w:p>
      <w:pPr>
        <w:spacing w:after="0" w:before="0" w:line="240" w:lineRule="auto"/>
        <w:ind w:firstLine="200"/>
        <w:jc w:val="both"/>
      </w:pPr>
      <w:r>
        <w:rPr>
          <w:rFonts w:ascii="Times New Roman" w:cs="Times New Roman" w:eastAsia="Times New Roman" w:hAnsi="Times New Roman"/>
          <w:sz w:val="20"/>
          <w:szCs w:val="20"/>
        </w:rPr>
        <w:t xml:space="preserve">Participant usability remains untested. The unused protocol proposes independent participants, with task completion, time, errors, ease and assistance measures. Automated Streamlit checks and the developer’s walkthrough cannot establish usability or field acceptance.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Transfer to other settings</w:t>
      </w:r>
    </w:p>
    <w:p>
      <w:pPr>
        <w:spacing w:after="0" w:before="0" w:line="240" w:lineRule="auto"/>
        <w:ind w:firstLine="200"/>
        <w:jc w:val="both"/>
      </w:pPr>
      <w:r>
        <w:rPr>
          <w:rFonts w:ascii="Times New Roman" w:cs="Times New Roman" w:eastAsia="Times New Roman" w:hAnsi="Times New Roman"/>
          <w:sz w:val="20"/>
          <w:szCs w:val="20"/>
        </w:rPr>
        <w:t xml:space="preserve">This study covers screened KwaZulu-Natal adults in LCS 2014/2015. Provinces and periods differ in services, policy and reporting; administrative application, award and payment records measure other outcomes. No independent province, period or administrative sample validated the model. Transfer requires comparable populations, period-specific screening and independent discrimination/calibration checks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Synthesis of the Conceptual Framework</w:t>
      </w:r>
    </w:p>
    <w:p>
      <w:pPr>
        <w:spacing w:after="0" w:before="0" w:line="240" w:lineRule="auto"/>
        <w:ind w:firstLine="200"/>
        <w:jc w:val="both"/>
      </w:pPr>
      <w:r>
        <w:rPr>
          <w:rFonts w:ascii="Times New Roman" w:cs="Times New Roman" w:eastAsia="Times New Roman" w:hAnsi="Times New Roman"/>
          <w:sz w:val="20"/>
          <w:szCs w:val="20"/>
        </w:rPr>
        <w:t xml:space="preserve">Returning to Figure 1, screening sensitivity shows why the denominator requires explicit assumptions. Sex differences describe demographic associations without establishing burden mechanisms [3], [4]. Lower schooling accompanied receipt, contrary to the expectation that fewer information resources increase non-receipt [13]. Selection or other resources could explain this finding; neither explanation was tested. Office-distance and settlement intervals included 1, leaving compliance-cost expectations unresolved. LCS did not measure psychological costs. The artefact implements these bounded measurements through separate, traceable rules, outcomes and predictions. It supports inspection of the framework without establishing causes, statutory entitlement or participant usability.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 Limitations and Ethics</w:t>
      </w:r>
    </w:p>
    <w:p>
      <w:pPr>
        <w:spacing w:after="0" w:before="0" w:line="240" w:lineRule="auto"/>
        <w:ind w:firstLine="200"/>
        <w:jc w:val="both"/>
      </w:pPr>
      <w:r>
        <w:rPr>
          <w:rFonts w:ascii="Times New Roman" w:cs="Times New Roman" w:eastAsia="Times New Roman" w:hAnsi="Times New Roman"/>
          <w:sz w:val="20"/>
          <w:szCs w:val="20"/>
        </w:rPr>
        <w:t xml:space="preserve">The research proxy omits assets, deemed income and deductions and cannot establish statutory eligibility. Income/receipt misreporting, cross-sectional ordering, few events, unresolved screening and missing strata limit interpretation. Fixed-prediction resampling omits repeated model-development uncertainty; coefficient intervals condition on the selected specification. Household sampling excludes institutionalised older adults. Participant usability and external predictive performance remain untested.</w:t>
      </w:r>
    </w:p>
    <w:p>
      <w:pPr>
        <w:spacing w:after="0" w:before="0" w:line="240" w:lineRule="auto"/>
        <w:ind w:firstLine="200"/>
        <w:jc w:val="both"/>
      </w:pPr>
      <w:r>
        <w:rPr>
          <w:rFonts w:ascii="Times New Roman" w:cs="Times New Roman" w:eastAsia="Times New Roman" w:hAnsi="Times New Roman"/>
          <w:sz w:val="20"/>
          <w:szCs w:val="20"/>
        </w:rPr>
        <w:t xml:space="preserve">This DUT honours study uses existing LCS 2014/2015 microdata without contacting respondents. Access and disclosure conditions still apply. Public demonstrations use synthetic records; controlled reference-parity tests also used the research data. The downloadable package excludes survey records, and app displays/exports omit submitted identifiers and raw income. These controls do not establish disclosure review or release permission for historical repository files.</w:t>
      </w:r>
    </w:p>
    <w:p>
      <w:pPr>
        <w:spacing w:after="0" w:before="0" w:line="240" w:lineRule="auto"/>
        <w:ind w:firstLine="200"/>
        <w:jc w:val="both"/>
      </w:pPr>
      <w:r>
        <w:rPr>
          <w:rFonts w:ascii="Times New Roman" w:cs="Times New Roman" w:eastAsia="Times New Roman" w:hAnsi="Times New Roman"/>
          <w:sz w:val="20"/>
          <w:szCs w:val="20"/>
        </w:rPr>
        <w:t xml:space="preserve">The project record contains no DUT-IREC clearance number, faculty or departmental determination, or gatekeeper letter. The study therefore claims no approval, exemption or consent determination. Confirmation of the applicable institutional ethics route and secondary-data governance remains outstanding. These requirements are separate from the technical controls above. The application supports research analysis and does not determine grant entitlement.</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VIII. Conclusion</w:t>
      </w:r>
    </w:p>
    <w:p>
      <w:pPr>
        <w:spacing w:after="0" w:before="0" w:line="240" w:lineRule="auto"/>
        <w:ind w:firstLine="200"/>
        <w:jc w:val="both"/>
      </w:pPr>
      <w:r>
        <w:rPr>
          <w:rFonts w:ascii="Times New Roman" w:cs="Times New Roman" w:eastAsia="Times New Roman" w:hAnsi="Times New Roman"/>
          <w:sz w:val="20"/>
          <w:szCs w:val="20"/>
        </w:rPr>
        <w:t xml:space="preserve">Screened historical non-receipt was 6.6% unweighted and 7.5% person-weighted; alternatives gave 7.1%–9.1%. Grant-compatibility and partnership assumptions changed the population described. Five predictor groups/six slopes gave AUC 0.752, AP 0.203 and Brier 0.0578, supporting moderate internal ranking and a small descriptive probability-error reduction.</w:t>
      </w:r>
    </w:p>
    <w:p>
      <w:pPr>
        <w:spacing w:after="0" w:before="0" w:line="240" w:lineRule="auto"/>
        <w:ind w:firstLine="200"/>
        <w:jc w:val="both"/>
      </w:pPr>
      <w:r>
        <w:rPr>
          <w:rFonts w:ascii="Times New Roman" w:cs="Times New Roman" w:eastAsia="Times New Roman" w:hAnsi="Times New Roman"/>
          <w:sz w:val="20"/>
          <w:szCs w:val="20"/>
        </w:rPr>
        <w:t xml:space="preserve">The contribution integrates transparent screening, interpretable prediction and reproducible software for the same adults. Separate rules, unresolved cases, outcomes and scores make the path from survey measurement to displayed result inspectable. This provides a historical benchmark and an implementable analytical design, without establishing legal entitlement, causal barriers, participant usability or external validity.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References</w:t>
      </w:r>
    </w:p>
    <w:p>
      <w:pPr>
        <w:keepLines/>
        <w:spacing w:after="0" w:before="0" w:line="240" w:lineRule="auto"/>
        <w:ind w:left="260" w:hanging="260"/>
        <w:jc w:val="left"/>
      </w:pPr>
      <w:r>
        <w:rPr>
          <w:rFonts w:ascii="Times New Roman" w:cs="Times New Roman" w:eastAsia="Times New Roman" w:hAnsi="Times New Roman"/>
          <w:sz w:val="16"/>
          <w:szCs w:val="16"/>
        </w:rPr>
        <w:t xml:space="preserve">[1] T. Raniga and B. Simpson, “Poverty, HIV/AIDS and the old age pension in Bhambayi, KwaZulu-Natal, South Africa,” </w:t>
      </w:r>
      <w:r>
        <w:rPr>
          <w:rFonts w:ascii="Times New Roman" w:cs="Times New Roman" w:eastAsia="Times New Roman" w:hAnsi="Times New Roman"/>
          <w:i/>
          <w:iCs/>
          <w:sz w:val="16"/>
          <w:szCs w:val="16"/>
        </w:rPr>
        <w:t xml:space="preserve">Develop. Southern Afr.</w:t>
      </w:r>
      <w:r>
        <w:rPr>
          <w:rFonts w:ascii="Times New Roman" w:cs="Times New Roman" w:eastAsia="Times New Roman" w:hAnsi="Times New Roman"/>
          <w:sz w:val="16"/>
          <w:szCs w:val="16"/>
        </w:rPr>
        <w:t xml:space="preserve">, vol. 28, no. 1, pp. 75–85, Mar. 2011, doi: 10.1080/0376835X.2011.545171.</w:t>
      </w:r>
    </w:p>
    <w:p>
      <w:pPr>
        <w:keepLines/>
        <w:spacing w:after="0" w:before="0" w:line="240" w:lineRule="auto"/>
        <w:ind w:left="260" w:hanging="260"/>
        <w:jc w:val="left"/>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t>
      </w:r>
      <w:r>
        <w:rPr>
          <w:rFonts w:ascii="Times New Roman" w:cs="Times New Roman" w:eastAsia="Times New Roman" w:hAnsi="Times New Roman"/>
          <w:i/>
          <w:iCs/>
          <w:sz w:val="16"/>
          <w:szCs w:val="16"/>
        </w:rPr>
        <w:t xml:space="preserve">World Bank Econ. Rev.</w:t>
      </w:r>
      <w:r>
        <w:rPr>
          <w:rFonts w:ascii="Times New Roman" w:cs="Times New Roman" w:eastAsia="Times New Roman" w:hAnsi="Times New Roman"/>
          <w:sz w:val="16"/>
          <w:szCs w:val="16"/>
        </w:rPr>
        <w:t xml:space="preserve">, vol. 38, no. 2, pp. 371–393, Apr. 2024, doi: 10.1093/wber/lhad037.</w:t>
      </w:r>
    </w:p>
    <w:p>
      <w:pPr>
        <w:keepLines/>
        <w:spacing w:after="0" w:before="0" w:line="240" w:lineRule="auto"/>
        <w:ind w:left="260" w:hanging="260"/>
        <w:jc w:val="left"/>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w:t>
      </w:r>
      <w:r>
        <w:rPr>
          <w:rFonts w:ascii="Times New Roman" w:cs="Times New Roman" w:eastAsia="Times New Roman" w:hAnsi="Times New Roman"/>
          <w:i/>
          <w:iCs/>
          <w:sz w:val="16"/>
          <w:szCs w:val="16"/>
        </w:rPr>
        <w:t xml:space="preserve">Int. J. Environ. Res. Public Health</w:t>
      </w:r>
      <w:r>
        <w:rPr>
          <w:rFonts w:ascii="Times New Roman" w:cs="Times New Roman" w:eastAsia="Times New Roman" w:hAnsi="Times New Roman"/>
          <w:sz w:val="16"/>
          <w:szCs w:val="16"/>
        </w:rPr>
        <w:t xml:space="preserve">, vol. 13, no. 1, Jan. 2016, Art. no. 85, doi: 10.3390/ijerph13010085.</w:t>
      </w:r>
    </w:p>
    <w:p>
      <w:pPr>
        <w:keepLines/>
        <w:spacing w:after="0" w:before="0" w:line="240" w:lineRule="auto"/>
        <w:ind w:left="260" w:hanging="260"/>
        <w:jc w:val="left"/>
      </w:pPr>
      <w:r>
        <w:rPr>
          <w:rFonts w:ascii="Times New Roman" w:cs="Times New Roman" w:eastAsia="Times New Roman" w:hAnsi="Times New Roman"/>
          <w:sz w:val="16"/>
          <w:szCs w:val="16"/>
        </w:rPr>
        <w:t xml:space="preserve">[4] E. B. Godfrey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“Which eligible households get grants? Demographic correlates of receipt in South Africa,” </w:t>
      </w:r>
      <w:r>
        <w:rPr>
          <w:rFonts w:ascii="Times New Roman" w:cs="Times New Roman" w:eastAsia="Times New Roman" w:hAnsi="Times New Roman"/>
          <w:i/>
          <w:iCs/>
          <w:sz w:val="16"/>
          <w:szCs w:val="16"/>
        </w:rPr>
        <w:t xml:space="preserve">Develop. Southern Afr.</w:t>
      </w:r>
      <w:r>
        <w:rPr>
          <w:rFonts w:ascii="Times New Roman" w:cs="Times New Roman" w:eastAsia="Times New Roman" w:hAnsi="Times New Roman"/>
          <w:sz w:val="16"/>
          <w:szCs w:val="16"/>
        </w:rPr>
        <w:t xml:space="preserve">, vol. 33, no. 6, pp. 774–789, Nov. 2016, doi: 10.1080/0376835X.2016.1231059.</w:t>
      </w:r>
    </w:p>
    <w:p>
      <w:pPr>
        <w:keepLines/>
        <w:spacing w:after="0" w:before="0" w:line="240" w:lineRule="auto"/>
        <w:ind w:left="260" w:hanging="260"/>
        <w:jc w:val="left"/>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240" w:lineRule="auto"/>
        <w:ind w:left="260" w:hanging="260"/>
        <w:jc w:val="left"/>
      </w:pPr>
      <w:r>
        <w:rPr>
          <w:rFonts w:ascii="Times New Roman" w:cs="Times New Roman" w:eastAsia="Times New Roman" w:hAnsi="Times New Roman"/>
          <w:sz w:val="16"/>
          <w:szCs w:val="16"/>
        </w:rPr>
        <w:t xml:space="preserve">[6] A. Case, V. Hosegood, and F. Lund, “The reach and impact of Child Support Grants: Evidence from KwaZulu-Natal,” </w:t>
      </w:r>
      <w:r>
        <w:rPr>
          <w:rFonts w:ascii="Times New Roman" w:cs="Times New Roman" w:eastAsia="Times New Roman" w:hAnsi="Times New Roman"/>
          <w:i/>
          <w:iCs/>
          <w:sz w:val="16"/>
          <w:szCs w:val="16"/>
        </w:rPr>
        <w:t xml:space="preserve">Develop. Southern Afr.</w:t>
      </w:r>
      <w:r>
        <w:rPr>
          <w:rFonts w:ascii="Times New Roman" w:cs="Times New Roman" w:eastAsia="Times New Roman" w:hAnsi="Times New Roman"/>
          <w:sz w:val="16"/>
          <w:szCs w:val="16"/>
        </w:rPr>
        <w:t xml:space="preserve">, vol. 22, no. 4, pp. 467–482, Oct. 2005, doi: 10.1080/03768350500322925.</w:t>
      </w:r>
    </w:p>
    <w:p>
      <w:pPr>
        <w:keepLines/>
        <w:spacing w:after="0" w:before="0" w:line="240" w:lineRule="auto"/>
        <w:ind w:left="260" w:hanging="260"/>
        <w:jc w:val="left"/>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w:t>
      </w:r>
      <w:r>
        <w:rPr>
          <w:rFonts w:ascii="Times New Roman" w:cs="Times New Roman" w:eastAsia="Times New Roman" w:hAnsi="Times New Roman"/>
          <w:i/>
          <w:iCs/>
          <w:sz w:val="16"/>
          <w:szCs w:val="16"/>
        </w:rPr>
        <w:t xml:space="preserve">Global Health Action</w:t>
      </w:r>
      <w:r>
        <w:rPr>
          <w:rFonts w:ascii="Times New Roman" w:cs="Times New Roman" w:eastAsia="Times New Roman" w:hAnsi="Times New Roman"/>
          <w:sz w:val="16"/>
          <w:szCs w:val="16"/>
        </w:rPr>
        <w:t xml:space="preserve">, vol. 7, no. 1, Aug. 2014, Art. no. 25310, doi: 10.3402/gha.v7.25310.</w:t>
      </w:r>
    </w:p>
    <w:p>
      <w:pPr>
        <w:keepLines/>
        <w:spacing w:after="0" w:before="0" w:line="240" w:lineRule="auto"/>
        <w:ind w:left="260" w:hanging="260"/>
        <w:jc w:val="left"/>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t>
      </w:r>
      <w:r>
        <w:rPr>
          <w:rFonts w:ascii="Times New Roman" w:cs="Times New Roman" w:eastAsia="Times New Roman" w:hAnsi="Times New Roman"/>
          <w:i/>
          <w:iCs/>
          <w:sz w:val="16"/>
          <w:szCs w:val="16"/>
        </w:rPr>
        <w:t xml:space="preserve">World Develop.</w:t>
      </w:r>
      <w:r>
        <w:rPr>
          <w:rFonts w:ascii="Times New Roman" w:cs="Times New Roman" w:eastAsia="Times New Roman" w:hAnsi="Times New Roman"/>
          <w:sz w:val="16"/>
          <w:szCs w:val="16"/>
        </w:rPr>
        <w:t xml:space="preserve">, vol. 72, pp. 277–295, Aug. 2015, doi: 10.1016/j.worlddev.2015.03.015.</w:t>
      </w:r>
    </w:p>
    <w:p>
      <w:pPr>
        <w:keepLines/>
        <w:spacing w:after="0" w:before="0" w:line="240" w:lineRule="auto"/>
        <w:ind w:left="260" w:hanging="260"/>
        <w:jc w:val="left"/>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w:t>
      </w:r>
      <w:r>
        <w:rPr>
          <w:rFonts w:ascii="Times New Roman" w:cs="Times New Roman" w:eastAsia="Times New Roman" w:hAnsi="Times New Roman"/>
          <w:i/>
          <w:iCs/>
          <w:sz w:val="16"/>
          <w:szCs w:val="16"/>
        </w:rPr>
        <w:t xml:space="preserve">Global Public Health</w:t>
      </w:r>
      <w:r>
        <w:rPr>
          <w:rFonts w:ascii="Times New Roman" w:cs="Times New Roman" w:eastAsia="Times New Roman" w:hAnsi="Times New Roman"/>
          <w:sz w:val="16"/>
          <w:szCs w:val="16"/>
        </w:rPr>
        <w:t xml:space="preserve">, vol. 13, no. 12, pp. 1820–1830, Mar. 2018, doi: 10.1080/17441692.2018.1449231.</w:t>
      </w:r>
    </w:p>
    <w:p>
      <w:pPr>
        <w:keepLines/>
        <w:spacing w:after="0" w:before="0" w:line="240" w:lineRule="auto"/>
        <w:ind w:left="260" w:hanging="260"/>
        <w:jc w:val="left"/>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w:t>
      </w:r>
      <w:r>
        <w:rPr>
          <w:rFonts w:ascii="Times New Roman" w:cs="Times New Roman" w:eastAsia="Times New Roman" w:hAnsi="Times New Roman"/>
          <w:i/>
          <w:iCs/>
          <w:sz w:val="16"/>
          <w:szCs w:val="16"/>
        </w:rPr>
        <w:t xml:space="preserve">J. Social Service Res.</w:t>
      </w:r>
      <w:r>
        <w:rPr>
          <w:rFonts w:ascii="Times New Roman" w:cs="Times New Roman" w:eastAsia="Times New Roman" w:hAnsi="Times New Roman"/>
          <w:sz w:val="16"/>
          <w:szCs w:val="16"/>
        </w:rPr>
        <w:t xml:space="preserve">, vol. 51, nos. 5–6, pp. 1140–1150, May 2025, doi: 10.1080/01488376.2025.2502004.</w:t>
      </w:r>
    </w:p>
    <w:p>
      <w:pPr>
        <w:keepLines/>
        <w:spacing w:after="0" w:before="0" w:line="240" w:lineRule="auto"/>
        <w:ind w:left="260" w:hanging="260"/>
        <w:jc w:val="left"/>
      </w:pPr>
      <w:r>
        <w:rPr>
          <w:rFonts w:ascii="Times New Roman" w:cs="Times New Roman" w:eastAsia="Times New Roman" w:hAnsi="Times New Roman"/>
          <w:sz w:val="16"/>
          <w:szCs w:val="16"/>
        </w:rPr>
        <w:t xml:space="preserve">[11] J. Gazeaud, “Proxy means testing vulnerability to measurement errors?,” </w:t>
      </w:r>
      <w:r>
        <w:rPr>
          <w:rFonts w:ascii="Times New Roman" w:cs="Times New Roman" w:eastAsia="Times New Roman" w:hAnsi="Times New Roman"/>
          <w:i/>
          <w:iCs/>
          <w:sz w:val="16"/>
          <w:szCs w:val="16"/>
        </w:rPr>
        <w:t xml:space="preserve">J. Develop. Stud.</w:t>
      </w:r>
      <w:r>
        <w:rPr>
          <w:rFonts w:ascii="Times New Roman" w:cs="Times New Roman" w:eastAsia="Times New Roman" w:hAnsi="Times New Roman"/>
          <w:sz w:val="16"/>
          <w:szCs w:val="16"/>
        </w:rPr>
        <w:t xml:space="preserve">, vol. 56, no. 11, pp. 2113–2133, Jan. 2020, doi: 10.1080/00220388.2020.1715942.</w:t>
      </w:r>
    </w:p>
    <w:p>
      <w:pPr>
        <w:keepLines/>
        <w:spacing w:after="0" w:before="0" w:line="240" w:lineRule="auto"/>
        <w:ind w:left="260" w:hanging="260"/>
        <w:jc w:val="left"/>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 research report, School Social Sci., Univ. Witwatersrand, Johannesburg, South Africa, Aug. 2023. [Online]. Available: https://hdl.handle.net/10539/40003</w:t>
      </w:r>
    </w:p>
    <w:p>
      <w:pPr>
        <w:keepLines/>
        <w:spacing w:after="0" w:before="0" w:line="240" w:lineRule="auto"/>
        <w:ind w:left="260" w:hanging="260"/>
        <w:jc w:val="left"/>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w:t>
      </w:r>
      <w:r>
        <w:rPr>
          <w:rFonts w:ascii="Times New Roman" w:cs="Times New Roman" w:eastAsia="Times New Roman" w:hAnsi="Times New Roman"/>
          <w:i/>
          <w:iCs/>
          <w:sz w:val="16"/>
          <w:szCs w:val="16"/>
        </w:rPr>
        <w:t xml:space="preserve">J. Public Admin. Res. Theory</w:t>
      </w:r>
      <w:r>
        <w:rPr>
          <w:rFonts w:ascii="Times New Roman" w:cs="Times New Roman" w:eastAsia="Times New Roman" w:hAnsi="Times New Roman"/>
          <w:sz w:val="16"/>
          <w:szCs w:val="16"/>
        </w:rPr>
        <w:t xml:space="preserve">, vol. 25, no. 1, pp. 43–69, Jan. 2015, doi: 10.1093/jopart/muu009.</w:t>
      </w:r>
    </w:p>
    <w:p>
      <w:pPr>
        <w:keepLines/>
        <w:spacing w:after="0" w:before="0" w:line="240" w:lineRule="auto"/>
        <w:ind w:left="260" w:hanging="260"/>
        <w:jc w:val="left"/>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w:t>
      </w:r>
      <w:r>
        <w:rPr>
          <w:rFonts w:ascii="Times New Roman" w:cs="Times New Roman" w:eastAsia="Times New Roman" w:hAnsi="Times New Roman"/>
          <w:i/>
          <w:iCs/>
          <w:sz w:val="16"/>
          <w:szCs w:val="16"/>
        </w:rPr>
        <w:t xml:space="preserve">Southern Afr. J. Social Work Social Develop.</w:t>
      </w:r>
      <w:r>
        <w:rPr>
          <w:rFonts w:ascii="Times New Roman" w:cs="Times New Roman" w:eastAsia="Times New Roman" w:hAnsi="Times New Roman"/>
          <w:sz w:val="16"/>
          <w:szCs w:val="16"/>
        </w:rPr>
        <w:t xml:space="preserve">, vol. 34, no. 1, Apr. 2022, Art. no. 9052, doi: 10.25159/2708-9355/9052.</w:t>
      </w:r>
    </w:p>
    <w:p>
      <w:pPr>
        <w:keepLines/>
        <w:spacing w:after="0" w:before="0" w:line="240" w:lineRule="auto"/>
        <w:ind w:left="260" w:hanging="260"/>
        <w:jc w:val="left"/>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w:t>
      </w:r>
      <w:r>
        <w:rPr>
          <w:rFonts w:ascii="Times New Roman" w:cs="Times New Roman" w:eastAsia="Times New Roman" w:hAnsi="Times New Roman"/>
          <w:i/>
          <w:iCs/>
          <w:sz w:val="16"/>
          <w:szCs w:val="16"/>
        </w:rPr>
        <w:t xml:space="preserve">Procedia Comput. Sci.</w:t>
      </w:r>
      <w:r>
        <w:rPr>
          <w:rFonts w:ascii="Times New Roman" w:cs="Times New Roman" w:eastAsia="Times New Roman" w:hAnsi="Times New Roman"/>
          <w:sz w:val="16"/>
          <w:szCs w:val="16"/>
        </w:rPr>
        <w:t xml:space="preserve">, vol. 237, pp. 882–890, 2024, doi: 10.1016/j.procs.2024.05.177.</w:t>
      </w:r>
    </w:p>
    <w:p>
      <w:pPr>
        <w:keepLines/>
        <w:spacing w:after="0" w:before="0" w:line="240" w:lineRule="auto"/>
        <w:ind w:left="260" w:hanging="260"/>
        <w:jc w:val="left"/>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w:t>
      </w:r>
      <w:r>
        <w:rPr>
          <w:rFonts w:ascii="Times New Roman" w:cs="Times New Roman" w:eastAsia="Times New Roman" w:hAnsi="Times New Roman"/>
          <w:i/>
          <w:iCs/>
          <w:sz w:val="16"/>
          <w:szCs w:val="16"/>
        </w:rPr>
        <w:t xml:space="preserve">PLOS ONE</w:t>
      </w:r>
      <w:r>
        <w:rPr>
          <w:rFonts w:ascii="Times New Roman" w:cs="Times New Roman" w:eastAsia="Times New Roman" w:hAnsi="Times New Roman"/>
          <w:sz w:val="16"/>
          <w:szCs w:val="16"/>
        </w:rPr>
        <w:t xml:space="preserve">, vol. 10, no. 3, Mar. 2015, Art. no. e0118432, doi: 10.1371/journal.pone.0118432.</w:t>
      </w:r>
    </w:p>
    <w:p>
      <w:pPr>
        <w:keepLines/>
        <w:spacing w:after="0" w:before="0" w:line="240" w:lineRule="auto"/>
        <w:ind w:left="260" w:hanging="260"/>
        <w:jc w:val="left"/>
      </w:pPr>
      <w:r>
        <w:rPr>
          <w:rFonts w:ascii="Times New Roman" w:cs="Times New Roman" w:eastAsia="Times New Roman" w:hAnsi="Times New Roman"/>
          <w:sz w:val="16"/>
          <w:szCs w:val="16"/>
        </w:rPr>
        <w:t xml:space="preserve">[17] B. Van Calster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“Calibration: The Achilles heel of predictive analytics,” </w:t>
      </w:r>
      <w:r>
        <w:rPr>
          <w:rFonts w:ascii="Times New Roman" w:cs="Times New Roman" w:eastAsia="Times New Roman" w:hAnsi="Times New Roman"/>
          <w:i/>
          <w:iCs/>
          <w:sz w:val="16"/>
          <w:szCs w:val="16"/>
        </w:rPr>
        <w:t xml:space="preserve">BMC Med.</w:t>
      </w:r>
      <w:r>
        <w:rPr>
          <w:rFonts w:ascii="Times New Roman" w:cs="Times New Roman" w:eastAsia="Times New Roman" w:hAnsi="Times New Roman"/>
          <w:sz w:val="16"/>
          <w:szCs w:val="16"/>
        </w:rPr>
        <w:t xml:space="preserve">, vol. 17, no. 1, Dec. 2019, Art. no. 230, doi: 10.1186/s12916-019-1466-7.</w:t>
      </w:r>
    </w:p>
    <w:p>
      <w:pPr>
        <w:keepLines/>
        <w:spacing w:after="0" w:before="0" w:line="240" w:lineRule="auto"/>
        <w:ind w:left="260" w:hanging="260"/>
        <w:jc w:val="left"/>
      </w:pPr>
      <w:r>
        <w:rPr>
          <w:rFonts w:ascii="Times New Roman" w:cs="Times New Roman" w:eastAsia="Times New Roman" w:hAnsi="Times New Roman"/>
          <w:sz w:val="16"/>
          <w:szCs w:val="16"/>
        </w:rPr>
        <w:t xml:space="preserve">[18] R. D. Riley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“Minimum sample size for developing a multivariable prediction model: Part II—binary and time-to-event outcomes,” </w:t>
      </w:r>
      <w:r>
        <w:rPr>
          <w:rFonts w:ascii="Times New Roman" w:cs="Times New Roman" w:eastAsia="Times New Roman" w:hAnsi="Times New Roman"/>
          <w:i/>
          <w:iCs/>
          <w:sz w:val="16"/>
          <w:szCs w:val="16"/>
        </w:rPr>
        <w:t xml:space="preserve">Statist. Med.</w:t>
      </w:r>
      <w:r>
        <w:rPr>
          <w:rFonts w:ascii="Times New Roman" w:cs="Times New Roman" w:eastAsia="Times New Roman" w:hAnsi="Times New Roman"/>
          <w:sz w:val="16"/>
          <w:szCs w:val="16"/>
        </w:rPr>
        <w:t xml:space="preserve">, vol. 38, no. 7, pp. 1276–1296, Mar. 2019, doi: 10.1002/sim.7992.</w:t>
      </w:r>
    </w:p>
    <w:p>
      <w:pPr>
        <w:keepLines/>
        <w:spacing w:after="0" w:before="0" w:line="240" w:lineRule="auto"/>
        <w:ind w:left="260" w:hanging="260"/>
        <w:jc w:val="left"/>
      </w:pPr>
      <w:r>
        <w:rPr>
          <w:rFonts w:ascii="Times New Roman" w:cs="Times New Roman" w:eastAsia="Times New Roman" w:hAnsi="Times New Roman"/>
          <w:sz w:val="16"/>
          <w:szCs w:val="16"/>
        </w:rPr>
        <w:t xml:space="preserve">[19] D. R. Roberts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“Cross-validation strategies for data with temporal, spatial, hierarchical, or phylogenetic structure,” </w:t>
      </w:r>
      <w:r>
        <w:rPr>
          <w:rFonts w:ascii="Times New Roman" w:cs="Times New Roman" w:eastAsia="Times New Roman" w:hAnsi="Times New Roman"/>
          <w:i/>
          <w:iCs/>
          <w:sz w:val="16"/>
          <w:szCs w:val="16"/>
        </w:rPr>
        <w:t xml:space="preserve">Ecography</w:t>
      </w:r>
      <w:r>
        <w:rPr>
          <w:rFonts w:ascii="Times New Roman" w:cs="Times New Roman" w:eastAsia="Times New Roman" w:hAnsi="Times New Roman"/>
          <w:sz w:val="16"/>
          <w:szCs w:val="16"/>
        </w:rPr>
        <w:t xml:space="preserve">, vol. 40, no. 8, pp. 913–929, Mar. 2017, doi: 10.1111/ecog.02881.</w:t>
      </w:r>
    </w:p>
    <w:p>
      <w:pPr>
        <w:keepLines/>
        <w:spacing w:after="0" w:before="0" w:line="240" w:lineRule="auto"/>
        <w:ind w:left="260" w:hanging="260"/>
        <w:jc w:val="left"/>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w:t>
      </w:r>
      <w:r>
        <w:rPr>
          <w:rFonts w:ascii="Times New Roman" w:cs="Times New Roman" w:eastAsia="Times New Roman" w:hAnsi="Times New Roman"/>
          <w:i/>
          <w:iCs/>
          <w:sz w:val="16"/>
          <w:szCs w:val="16"/>
        </w:rPr>
        <w:t xml:space="preserve">Ann. Internal Med.</w:t>
      </w:r>
      <w:r>
        <w:rPr>
          <w:rFonts w:ascii="Times New Roman" w:cs="Times New Roman" w:eastAsia="Times New Roman" w:hAnsi="Times New Roman"/>
          <w:sz w:val="16"/>
          <w:szCs w:val="16"/>
        </w:rPr>
        <w:t xml:space="preserve">, vol. 162, no. 1, pp. 55–63, Jan. 2015, doi: 10.7326/M14-0697.</w:t>
      </w:r>
    </w:p>
    <w:p>
      <w:pPr>
        <w:keepLines/>
        <w:spacing w:after="0" w:before="0" w:line="240" w:lineRule="auto"/>
        <w:ind w:left="260" w:hanging="260"/>
        <w:jc w:val="left"/>
      </w:pPr>
      <w:r>
        <w:rPr>
          <w:rFonts w:ascii="Times New Roman" w:cs="Times New Roman" w:eastAsia="Times New Roman" w:hAnsi="Times New Roman"/>
          <w:sz w:val="16"/>
          <w:szCs w:val="16"/>
        </w:rPr>
        <w:t xml:space="preserve">[21] Statistics South Africa, “Living Conditions Survey 2014/2015: Metadata,” Pretoria, South Africa, Statistical Release P0310, 2017.</w:t>
      </w:r>
    </w:p>
    <w:p>
      <w:pPr>
        <w:keepLines/>
        <w:spacing w:after="0" w:before="0" w:line="240" w:lineRule="auto"/>
        <w:ind w:left="260" w:hanging="260"/>
        <w:jc w:val="left"/>
      </w:pPr>
      <w:r>
        <w:rPr>
          <w:rFonts w:ascii="Times New Roman" w:cs="Times New Roman" w:eastAsia="Times New Roman" w:hAnsi="Times New Roman"/>
          <w:sz w:val="16"/>
          <w:szCs w:val="16"/>
        </w:rPr>
        <w:t xml:space="preserve">[22] Statistics South Africa, “COICOP codes,” Pretoria, South Africa, Living Conditions Survey 2014/2015 code list. (n.d.).</w:t>
      </w:r>
    </w:p>
    <w:p>
      <w:pPr>
        <w:keepLines/>
        <w:spacing w:after="0" w:before="0" w:line="240" w:lineRule="auto"/>
        <w:ind w:left="260" w:hanging="260"/>
        <w:jc w:val="left"/>
      </w:pPr>
      <w:r>
        <w:rPr>
          <w:rFonts w:ascii="Times New Roman" w:cs="Times New Roman" w:eastAsia="Times New Roman" w:hAnsi="Times New Roman"/>
          <w:sz w:val="16"/>
          <w:szCs w:val="16"/>
        </w:rPr>
        <w:t xml:space="preserve">[23] Statistics South Africa, “Living Conditions Survey 2014/2015: Household questionnaire,” Pretoria, South Africa. (n.d.).</w:t>
      </w:r>
    </w:p>
    <w:p>
      <w:pPr>
        <w:keepLines/>
        <w:spacing w:after="0" w:before="0" w:line="240" w:lineRule="auto"/>
        <w:ind w:left="260" w:hanging="260"/>
        <w:jc w:val="left"/>
      </w:pPr>
      <w:r>
        <w:rPr>
          <w:rFonts w:ascii="Times New Roman" w:cs="Times New Roman" w:eastAsia="Times New Roman" w:hAnsi="Times New Roman"/>
          <w:sz w:val="16"/>
          <w:szCs w:val="16"/>
        </w:rPr>
        <w:t xml:space="preserve">[24] Dept. of Social Development, “Increase in respect of social grants,” Government Notice 211, Government Gazette 37474, p. 3,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[25] Dept. of Social Development, “Increase in respect of social grants,” Government Notice 277, Government Gazette 38647, p. 3, Mar. 30, 2015.</w:t>
      </w:r>
    </w:p>
    <w:p>
      <w:pPr>
        <w:keepLines/>
        <w:spacing w:after="0" w:before="0" w:line="240" w:lineRule="auto"/>
        <w:ind w:left="260" w:hanging="260"/>
        <w:jc w:val="left"/>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240" w:lineRule="auto"/>
        <w:ind w:left="260" w:hanging="260"/>
        <w:jc w:val="left"/>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2026-10-15T18:39:46.587Z</dcterms:created>
  <dcterms:modified xsi:type="dcterms:W3CDTF">2026-10-15T18:39:46.588Z</dcterms:modified>
</cp:coreProperties>
</file>

<file path=docProps/custom.xml><?xml version="1.0" encoding="utf-8"?>
<Properties xmlns="http://schemas.openxmlformats.org/officeDocument/2006/custom-properties" xmlns:vt="http://schemas.openxmlformats.org/officeDocument/2006/docPropsVTypes"/>
</file>