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The interface provides filters for views and exports, and summary rates retain all uploaded adults who pass with resolved receipt. Filters, labels and reports are functions of the program. They are not measurements of user experience.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Technical verification compares the program with specified expectations. The checks compared screening decisions with expected results and tested excluded predictors, links, repeated runs, reports and saved predictions. Further checks compared the command-line interface with the Streamlit interface, including invalid inputs and outdated results. These tests ask whether the software follows the stated rules and returns the same outputs. They do not ask whether a person finds the screen understandable.
</w:t>
      </w:r>
    </w:p>
    <w:p>
      <w:pPr>
        <w:spacing w:after="80" w:before="0" w:line="230"/>
        <w:jc w:val="both"/>
      </w:pPr>
      <w:r>
        <w:rPr>
          <w:rFonts w:ascii="Times New Roman" w:cs="Times New Roman" w:eastAsia="Times New Roman" w:hAnsi="Times New Roman"/>
          <w:sz w:val="20"/>
          <w:szCs w:val="20"/>
        </w:rPr>
        <w:t xml:space="preserve">The owner's Windows walkthrough belongs to that technical record. The author ran the synthetic workflow on the local installation, and the exported files were compared with expected contents. The result shows that this installation produced the specified reports. The author is not an independent participant, and the walkthrough does not measure ease, errors or acceptance by someone else.
</w:t>
      </w:r>
    </w:p>
    <w:p>
      <w:pPr>
        <w:spacing w:after="80" w:before="0" w:line="230"/>
        <w:jc w:val="both"/>
      </w:pPr>
      <w:r>
        <w:rPr>
          <w:rFonts w:ascii="Times New Roman" w:cs="Times New Roman" w:eastAsia="Times New Roman" w:hAnsi="Times New Roman"/>
          <w:sz w:val="20"/>
          <w:szCs w:val="20"/>
        </w:rPr>
        <w:t xml:space="preserve">Usability evaluation is a separate study. It would ask people other than the developer to attempt set tasks and would record completion, time taken, errors, ease and any assistance given. A protocol for three to five consenting users, restricted to synthetic records, has been written and has not been used. No participant has been recruited. No task time, error count, ease rating or acceptance result exists. Participant usability remains untested. Automated interface checks and the owner walkthrough do not fill that gap. An automated Streamlit test checks program state. It is not a session with a nontechnical participant.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People aged 60 or older equal the failed, unresolved and passed rows. Reported receipt and non-receipt divide the passed row. Households are counted inside each row, and one household can contribute to more than one row.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People aged 60 or older equal 117 + 187 + 1,013. The passed row equals 946 + 67. Adding every people cell would count the same adults more than once. Each household cell counts distinct households in that row. Those cells do not follow the people partition.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It is not a design-based confidence interval, and it does not apply to Tables V–VIII.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Table V reports no standard errors.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before filling missing values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Each cell gives the unweighted figure, then the person-weighted figure. A category cell gives an unweighted count and percentage inside that receipt group, then the weighted percentage. These percentages describe the composition of each group. They are not non-receipt rates and they are not predictions. Three recipients lack schooling. Fourteen recipients and four non-recipients lack an office-distance value. Those adults remain in the group denominators. This table has no uncertainty intervals.
</w:t>
      </w:r>
    </w:p>
    <w:p>
      <w:pPr>
        <w:spacing w:after="80" w:before="0" w:line="230"/>
        <w:jc w:val="both"/>
      </w:pPr>
      <w:r>
        <w:rPr>
          <w:rFonts w:ascii="Times New Roman" w:cs="Times New Roman" w:eastAsia="Times New Roman" w:hAnsi="Times New Roman"/>
          <w:sz w:val="20"/>
          <w:szCs w:val="20"/>
        </w:rPr>
        <w:t xml:space="preserve">In the unweighted figures, non-recipients had a lower average age and were more often men, educated to Grade 7 or above, and living in urban formal settlements. Weighting brought the average ages closer. These are descriptions of the two groups. Table V does not test the differences.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non-receipt. Slope means calibration slope in Tables VI and VIII. Compared with S0, S1b/S1d added two people/two events. S2a, S2b, S2c and S2d added 59/4, 60/2, 8/0 and 68/2 people/events. S3 added 19 people/15 events; S4b removed six people but no events. Weighted non-receipt ranged from 7.12% to 9.06%. Held-out AUC in this table runs from 0.736 to 0.763. Brier and calibration slope also change. AUC, Brier and slope are point estimates, and the table gives them no intervals. A close AUC does not make the screened groups the same population, and it does not show which rule predicts better.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Screening changes, non-receipt rates and held-out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 and Wtd. are the unweighted and person-weighted non-receipt rates. AUC, Brier and slope are unweighted out-of-fold point estimates, with no intervals in this table. Performance uses no weights. Same* is not a new result. It repeats the S0 row for the scenarios that left the sample and the measures unchanged.
</w:t>
      </w:r>
    </w:p>
    <w:p>
      <w:pPr>
        <w:spacing w:after="80" w:before="0" w:line="230"/>
        <w:jc w:val="both"/>
      </w:pPr>
      <w:r>
        <w:rPr>
          <w:rFonts w:ascii="Times New Roman" w:cs="Times New Roman" w:eastAsia="Times New Roman" w:hAnsi="Times New Roman"/>
          <w:sz w:val="20"/>
          <w:szCs w:val="20"/>
        </w:rPr>
        <w:t xml:space="preserve">S1b applies the 2015 ceiling to every interview. S1d uses the ceiling at which the formula pays nothing. The two settings are different, and the saved counts and measures match, so one row displays both. S2a screens living-together adults as couples. S2b screens them as single. S2c screens separated adults as single. S2d screens both living-together and separated adults as single. S3 retains adults who report a disability or war-veterans grant. It adds no veterans. S4b keeps social-assistance income in the resource proxy.
</w:t>
      </w:r>
    </w:p>
    <w:p>
      <w:pPr>
        <w:spacing w:after="80" w:before="0" w:line="230"/>
        <w:jc w:val="both"/>
      </w:pPr>
      <w:r>
        <w:rPr>
          <w:rFonts w:ascii="Times New Roman" w:cs="Times New Roman" w:eastAsia="Times New Roman" w:hAnsi="Times New Roman"/>
          <w:sz w:val="20"/>
          <w:szCs w:val="20"/>
        </w:rPr>
        <w:t xml:space="preserve">*S1a uses the 2014 ceiling throughout. S1c adds the age-75 supplement. S4a adjusts income for price changes and leaves the ceiling unchanged. S4c also excludes UIF (the Unemployment Insurance Fund) and similar transfers. S5 uses preceding-year receipt. S6a and S6b assign unresolved receipt to receipt or to non-receipt. No passed adult has unresolved receipt to bound, so those bounds change nothing. Each starred scenario keeps the S0 denominator, events and measures.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Predictive performance and associations
</w:t>
      </w:r>
    </w:p>
    <w:p>
      <w:pPr>
        <w:spacing w:after="80" w:before="0" w:line="230"/>
        <w:jc w:val="both"/>
      </w:pPr>
      <w:r>
        <w:rPr>
          <w:rFonts w:ascii="Times New Roman" w:cs="Times New Roman" w:eastAsia="Times New Roman" w:hAnsi="Times New Roman"/>
          <w:sz w:val="20"/>
          <w:szCs w:val="20"/>
        </w:rPr>
        <w:t xml:space="preserve">This section reports two different results. Predictive performance uses one out-of-fold probability for each adult. Associations use odds ratios from the model fitted to all 1,013 included adults. Neither result explains why an adult reported non-receipt. The study did not test a mechanism, a time order or an intervention.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resampling intervals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logistic cell is the estimate and its 95% interval. Estimates pool unweighted out-of-fold predictions from 1,013 people and 67 events. An interval is the 2.5 and 97.5 percentiles of 1,000 household resamples of those fixed predictions. Every reported interval had 1,000 valid resamples and no invalid resample. Resampling did not refit the model or the missing-value fill. These intervals are not design-based confidence intervals. They are not the survey approximation in Section V.A, and they are not the Wald intervals beside the odds ratios below. The intercept-only reference uses the training group's non-receipt rate. Its calibration-in-the-large is .0001, and no resampling interval was saved for that value. A dash means the intercept-only model does not supply that measure. A dash is not zero and is not chance performance. The ideal calibration-in-the-large is 0. The ideal slope is 1.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Table VII and Figure 4 assess the held-out probabilities. AUC summarises pairwise ranking. Average precision summarises precision-recall ranking. The Brier score summarises squared probability error. Calibration describes agreement between predicted and observed rates. These measures do not identify the separate contribution of age, sex, schooling, settlement or office distance.
</w:t>
      </w:r>
    </w:p>
    <w:p>
      <w:pPr>
        <w:spacing w:after="80" w:before="0" w:line="230"/>
        <w:jc w:val="both"/>
      </w:pPr>
      <w:r>
        <w:rPr>
          <w:rFonts w:ascii="Times New Roman" w:cs="Times New Roman" w:eastAsia="Times New Roman" w:hAnsi="Times New Roman"/>
          <w:sz w:val="20"/>
          <w:szCs w:val="20"/>
        </w:rPr>
        <w:t xml:space="preserve">The associations come from another fit. The odds ratio for women versus men was 0.39. Its Wald interval was 0.23–0.66. Schooling below Grade 7 versus Grade 7 or above gave 0.24 (0.13–0.43). The model trained on all included adults produced these estimates, with the other predictors in the same model. The intervals exponentiate that model's coefficients and standard errors. They are not the Table VII resampling intervals. An odds ratio multiplies odds. It is not a change in the probability of non-receipt, and it is not a held-out performance measure. Age, settlement and welfare-distance intervals included 1. The associations describe this fitted model. They do not establish that sex, schooling, place or office distance produced non-receipt. The predictors are proxies, the data are cross-sectional, and the screen selects the 1,013 adults.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 and validation sensitivities, as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non-receipt percentage. AUC, Brier and slope are point estimates. This table does not report intervals for them. S8–S11 keep the person-weighted non-receipt rate at 7.49%. S7 keeps adults with usable schooling and office distance. It removes 21 people and four events, so its Brier describes a smaller sample. S8 replaces office distance with a married indicator and keeps six slopes. S9 fits with person weights as frequency weights. It still fills missing values without weights and checks predictions without weights. That fit is not a full survey-design regression. S10 applies person weights to the primary out-of-fold predictions and does not refit. S11 groups the five folds by derived primary sampling unit and keeps the same adults.
</w:t>
      </w:r>
    </w:p>
    <w:p>
      <w:pPr>
        <w:spacing w:after="80" w:before="0" w:line="230"/>
        <w:jc w:val="both"/>
      </w:pPr>
      <w:r>
        <w:rPr>
          <w:rFonts w:ascii="Times New Roman" w:cs="Times New Roman" w:eastAsia="Times New Roman" w:hAnsi="Times New Roman"/>
          <w:sz w:val="20"/>
          <w:szCs w:val="20"/>
        </w:rPr>
        <w:t xml:space="preserve">In Table VIII, AUC runs from 0.750 to 0.763. The lowest Brier is the complete-case row. The highest Brier is the weighted-score row, which reuses the primary predictions. These differences have no intervals. They do not rank the specifications. The rows summarise prediction under a changed sample, predictor or calculation. They are not a second set of odds ratios, and they do not establish a cause.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Its Table VII interval, 0.687–0.814, lies above 0.5 for these fixed predictions. The interval still describes ranking, not accuracy at a cutoff. AP 0.203 summarises precision–recall ranking across cutoffs against a 6.61% event rate, not precision at one cutoff [16]. Its interval, 0.139–0.292, lies above that event rate. Brier fell from 0.0618 to 0.0578: a modest 0.0040 reduction in squared probability error. The two Brier intervals overlap, and no interval was calculated for the difference.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The Table VII intervals resample fixed out-of-fold predictions by household. They are not the survey approximation in Section V.A. They are not the Wald intervals around the full-sample odds ratios. Those odds ratios are associations in the full-sample fit. Held-out ranking, probability error and calibration do not convert them into effects of sex, schooling, settlement or office distance.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It reports point estimates only.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Technical verification, separate from usability
</w:t>
      </w:r>
    </w:p>
    <w:p>
      <w:pPr>
        <w:spacing w:after="80" w:before="0" w:line="230"/>
        <w:jc w:val="both"/>
      </w:pPr>
      <w:r>
        <w:rPr>
          <w:rFonts w:ascii="Times New Roman" w:cs="Times New Roman" w:eastAsia="Times New Roman" w:hAnsi="Times New Roman"/>
          <w:sz w:val="20"/>
          <w:szCs w:val="20"/>
        </w:rPr>
        <w:t xml:space="preserve">RQ3 asks whether the tool can repeat the analysis and clearly explain screening decisions and model results. The completed evidence concerns repetition and the presence of those explanations in the program. It does not show that an independent person finds the explanations clear.
</w:t>
      </w:r>
    </w:p>
    <w:p>
      <w:pPr>
        <w:spacing w:after="80" w:before="0" w:line="230"/>
        <w:jc w:val="both"/>
      </w:pPr>
      <w:r>
        <w:rPr>
          <w:rFonts w:ascii="Times New Roman" w:cs="Times New Roman" w:eastAsia="Times New Roman" w:hAnsi="Times New Roman"/>
          <w:sz w:val="20"/>
          <w:szCs w:val="20"/>
        </w:rPr>
        <w:t xml:space="preserve">Table IX keeps the technical checks separate from the usability row. Synthetic cases compare rule decisions with specified outcomes. Matching file contents check that a repeated run produces the same outputs. Agreement between the interface and the command checks that both paths select the same people and return the same decisions, receipt, reasons and scores. Reloading the saved model checks that stored predictions are preserved. That reload is not a new estimate of predictive accuracy. The owner walkthrough checks that the author could run the synthetic workflow locally and that the exported files matched the programmed comparisons. Saved sources and validation reports document versions, checksums and test conditions. Together, these layers support technical correctness and repeatability inside the tests that were run.
</w:t>
      </w:r>
    </w:p>
    <w:p>
      <w:pPr>
        <w:spacing w:after="80" w:before="0" w:line="230"/>
        <w:jc w:val="both"/>
      </w:pPr>
      <w:r>
        <w:rPr>
          <w:rFonts w:ascii="Times New Roman" w:cs="Times New Roman" w:eastAsia="Times New Roman" w:hAnsi="Times New Roman"/>
          <w:sz w:val="20"/>
          <w:szCs w:val="20"/>
        </w:rPr>
        <w:t xml:space="preserve">The application keeps historical out-of-fold results separate from scores for an uploaded file. An upload may overlap the training data. A matching reloaded score confirms the stored model. It does not show how the model would perform for new people, and it does not show that a user understands the distinction.
</w:t>
      </w:r>
    </w:p>
    <w:p>
      <w:pPr>
        <w:spacing w:after="80" w:before="0" w:line="230"/>
        <w:jc w:val="both"/>
      </w:pPr>
      <w:r>
        <w:rPr>
          <w:rFonts w:ascii="Times New Roman" w:cs="Times New Roman" w:eastAsia="Times New Roman" w:hAnsi="Times New Roman"/>
          <w:sz w:val="20"/>
          <w:szCs w:val="20"/>
        </w:rPr>
        <w:t xml:space="preserve">None of these checks is a usability evaluation. A usability study would recruit people other than the developer, give them the prepared tasks, and record completion, time, errors, ease and assistance. That protocol has not been used. Participant usability remains untested. The paper therefore makes no claim about user experience, ease of use, acceptance or success in ordinary work. An automated Streamlit test checks the program. The owner's own run cannot substitute for an independent participant.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2026-10-15T03:25:23.487Z</dcterms:created>
  <dcterms:modified xsi:type="dcterms:W3CDTF">2026-10-15T03:25:23.488Z</dcterms:modified>
</cp:coreProperties>
</file>

<file path=docProps/custom.xml><?xml version="1.0" encoding="utf-8"?>
<Properties xmlns="http://schemas.openxmlformats.org/officeDocument/2006/custom-properties" xmlns:vt="http://schemas.openxmlformats.org/officeDocument/2006/docPropsVTypes"/>
</file>