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Supplementary Table S5 provides the eight recorded search strings, search date and source-specific counts. The synthesis compared programme, setting, unit of analysis, outcome definition, findings and limitations; these differences prevented a pooled estimate.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released annualised nominal person income (metadata, p. 182) [21], excluding social assistance without allocating household totals. Zero required Q1.17(14)'s no-income response [23] and an absent schedule; missing applicant/spouse amounts otherwise remained unresolved. The proxy omits assets, deemed income and deductions.</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maximum at R1,350 monthly from 1 April 2014 [24]; GN 277 raised it to R1,410 from 1 April 2015 [25]. GN R211 amended Annexure A(2) to D = 1.6A − 0.4B from 1 April 2014 [26]. With annual maximum A and minimum D = R1,200 (R100 monthly; Annexure A(5)) [27], B = (1.6A − 1,200)/0.4 gives annual single/couple research ceilings of R61,800/R123,600 for October 2014–March 2015 and R64,680/R129,360 for April–October 2015. Half-joint income doubles couple boundaries; equality passed. Standard rates applied at all ages; S1c tested both notices' R20 age-75+ supplement, and S1 tested period/payment boundaries.</w:t>
      </w:r>
    </w:p>
    <w:p>
      <w:pPr>
        <w:spacing w:after="0" w:before="0" w:line="240" w:lineRule="auto"/>
        <w:ind w:firstLine="200"/>
        <w:jc w:val="both"/>
      </w:pPr>
      <w:r>
        <w:rPr>
          <w:rFonts w:ascii="Times New Roman" w:cs="Times New Roman" w:eastAsia="Times New Roman" w:hAnsi="Times New Roman"/>
          <w:sz w:val="20"/>
          <w:szCs w:val="20"/>
        </w:rPr>
        <w:t xml:space="preserve">Regulation 1 defines recognised spouses; regulations 18(2) and 19(1) require spouse income regardless of property regime and use half-joint annual income. Regulation 18(3) allows Agency-approved exclusion after at least three continuous months of desertion and unwillingness to support [27]. The July 2015 amendment left these provisions unchanged [28]. Survey responses established neither legal spouse status nor desertion approval. Never-married, widowed and divorced adults used single ceilings. Conservative research rules required resolved applicant/spouse incomes and resident, reciprocal spouse pointers for married adults, summing both incomes regardless of spouse age. Nonresident income was unavailable; separated respondents skipped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Own disability/war-veterans receipt caused FAIL (regulation 2(c)); regulation 5 permits grant-in-aid [27]. Grant-in-aid and caregiver child grants neither excluded adults nor defined OPG receipt (Q4.1b) [23]. A known failure overrode unresolved information; all reasons were retained.</w:t>
      </w:r>
    </w:p>
    <w:p>
      <w:pPr>
        <w:spacing w:after="0" w:before="0" w:line="240" w:lineRule="auto"/>
        <w:ind w:firstLine="200"/>
        <w:jc w:val="both"/>
      </w:pPr>
      <w:r>
        <w:rPr>
          <w:rFonts w:ascii="Times New Roman" w:cs="Times New Roman" w:eastAsia="Times New Roman" w:hAnsi="Times New Roman"/>
          <w:sz w:val="20"/>
          <w:szCs w:val="20"/>
        </w:rPr>
        <w:t xml:space="preserve">Among PASS adults, general-grant and OPG answers were interpreted with structural skips [23]. Consistent “no grant” with an inapplicable OPG follow-up established non-receipt; contradictory/unexplained answers remained unresolved and outside modelling. Current-receipt/prior-year OPG-income disagreements were flagged without overriding outcomes because periods differ. Rule opg-kzn-primary-v1 records these decisions; the denominator requires PASS and resolved 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contained 30 rural-formal adults and no event; its coefficient was about −21.88 and did not converge. Four of five folds converged. D-052 then merged rural formal with traditional settlement after observing this pattern, outside the training folds. The primary ordinary merged model remains exploratory; its coefficients and performance are conditional on D-052 and may be optimistic. Household hold-out does not validate the complete selection process. Confirmatory work should prespecify coding or select it within each outer training set. Supplementary Table S2 retains the failed attempt and compares ridge codings on the same household folds. Five inner household folds selected C by mean Brier score with training-only imputation and scaling; all ten outer fits converged with C = 0.1. AUC was 0.756 for merged and 0.750 for separate coding. These comparisons cannot remove outcome-informed selection or establish equivalence or superiority.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 These internal estimates do not establish performance in independent populations or survey periods.</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reported 95% bootstrap intervals are the 2.5 and 97.5 percentiles from 1,000 with-replacement household samples of fixed predictions, using seed 201415. Every selected household's adults were retained, and all samples contained both outcome classes. These intervals condition on the original split, preprocessing, fits and Decision D-052. They do not repeat model development or represent survey-design uncertainty. A separate sensitivity analysis used 20 household-grouped repetitions (seeds 201415–201434), relearning training-only imputation and refitting while keeping D-052 fixed. Each repetition pooled one held-out prediction per adult (Supplementary Table S3). Its medians, interquartile ranges and ranges describe variation across splits and refits, not 95% confidence intervals. The repetitions reuse participants and do not independently validate the coding decision.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020"/>
        <w:gridCol w:w="840"/>
        <w:gridCol w:w="1020"/>
        <w:gridCol w:w="840"/>
      </w:tblGrid>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946</w:t>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Non-recipients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67</w:t>
            </w:r>
          </w:p>
        </w:tc>
      </w:tr>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69.8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67.3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686 (72.5%)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 (49.3%)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53.4%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290 (30.7%)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49 (73.1%)</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 (0.3%)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 (0.0%)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0.0%</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284 (30.0%)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36.2%</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38 (56.7%)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 (75.8%)</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34 (50.7%)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40.3%</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14 (1.5%)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 (6.0%)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Unweighted cells show n (%) and weighted cells person-weighted percentages; age cells show means in completed years. N = 946 and N = 67 are sample sizes. Missing predictors remain in denominators. Values precede imputation; no uncertainty intervals were calculated. Supplementary Table S4 repeats these values.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identifies each screening scenario separately. Changed cohorts were refitted; unchanged cohorts reused the primary predictions.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scenarios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S5</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non-recipients; performance is unweighted. S1 changes thresholds; S2 partnership; S3 incompatible grants; S4 income; S5 receipt period; S6 unresolved receipt. Supplementary Table S1 defines each rule. S1b and S1d admitted the same two adults under different rules. S1a, S1c, S4a, S4c, S5, S6a and S6b retained the S0 cohort and reused its predictions. Matching results do not imply equivalent rules or independent fits. No PASS receipt was unresolved, so S6a/S6b changed no records.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are exploratory full-sample associations, not held-out performance or causal effects. Only 67 events supported six slopes; sparse data can destabilise coefficients and Wald intervals. The intervals also omit uncertainty from choosing the settlement coding. Across 100 overlapping training fits, the female and below-Grade-7 coefficients stayed negative, while the urban-informal coefficient changed sign. Sign consistency across these fits is not independent confirmation. Age, settlement and welfare-distance intervals included 1, indicating limited precision rather than evidence of no association. The 20 repeated splits gave 100 converged fits. AUC ranged from 0.733 to 0.773 (median 0.753) and the calibration slope from 0.738 to 0.943 (median 0.837). Supplementary Table S3 gives the median, interquartile range and range for each performance measure, and coefficient ranges. These describe sensitivity under the fixed coding, not confidence intervals.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The study analysed anonymised LCS 2014/2015 secondary data from Stats SA via DataFirst [29]. The catalogue describes version 1.1 (18 September 2017) as edited, anonymised data for public distribution with public access. The supervisor advised that formal ethical clearance was not required: this study involved no direct human participation or primary data collection. Stats SA produced the data; analyses are the author's own. Data-use and confidentiality conditions apply. Public access does not clear every historical repository file. Demonstrations use synthetic records; downloadable packages exclude survey microdata. Reports omit submitted identifiers and raw income.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The principal contribution is a reproducible, interpretable workflow linking observable screening, person-weighted description and exploratory prediction.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keepLines/>
        <w:spacing w:after="0" w:before="0" w:line="240" w:lineRule="auto"/>
        <w:ind w:left="260" w:hanging="260"/>
        <w:jc w:val="left"/>
      </w:pPr>
      <w:r>
        <w:rPr>
          <w:rFonts w:ascii="Times New Roman" w:cs="Times New Roman" w:eastAsia="Times New Roman" w:hAnsi="Times New Roman"/>
          <w:sz w:val="16"/>
          <w:szCs w:val="16"/>
        </w:rPr>
        <w:t xml:space="preserve">[29] Statistics South Africa, Living Conditions Survey 2014–2015, ver. 1.1 [dataset]. Pretoria, South Africa: Statistics South Africa, producer; Cape Town, South Africa: DataFirst, distributor, 2017, doi: 10.25828/9229-xz60.</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2026-10-26T13:29:31.020Z</dcterms:created>
  <dcterms:modified xsi:type="dcterms:W3CDTF">2026-10-26T13:29:31.021Z</dcterms:modified>
</cp:coreProperties>
</file>

<file path=docProps/custom.xml><?xml version="1.0" encoding="utf-8"?>
<Properties xmlns="http://schemas.openxmlformats.org/officeDocument/2006/custom-properties" xmlns:vt="http://schemas.openxmlformats.org/officeDocument/2006/docPropsVTypes"/>
</file>