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Supplementary Table S5 provides the eight recorded search strings, search date and source-specific counts. The synthesis compared programme, setting, unit of analysis, outcome definition, findings and limitations; these differences prevented a pooled estimate.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then contained 30 rural-formal adults and no event; its coefficient was about −21.88 and did not converge. Four of five folds converged. Decision D-052 combined rural formal with traditional settlement after that outcome pattern was known, so the retained cross-validation can be optimistic and does not show that the settings are equivalent. Supplementary Table S2 retains this failed attempt as a diagnostic. Ridge logistic regression was then applied to both codings on the same household folds. Five inner household folds selected C by mean Brier score, with training-only imputation and scaling; all ten outer fits chose C = 0.1 and converged. Held-out AUC was 0.756 for the merged coding and 0.750 for the separate coding (Supplementary Table S2). The ordinary merged model remains the reference. This comparison does not make Decision D-052 outcome-independent.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These intervals condition on seed 201415, its preprocessing and fits, and Decision D-052. They do not repeat the split, imputation or estimation, and they are not survey-design confidence intervals. Twenty household-grouped repetitions (seeds 201415–201434) repeated training-only imputation and refitting, with D-052 fixed. Metrics pooled one held-out prediction per adult within each repetition (Supplementary Table S3).</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summarises changed-cohort scenarios alongside the baseline and unchanged-scenario reference. Changed cohorts were refitted. Unchanged cohorts reused the primary predictions, so matching performance is not an independent fit.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reported non-recipients. Performance uses no weights. S1b uses the 2015 ceiling at every interview. S1d uses the income level at which the formula pays nothing; it admitted the same two adults as S1b. S2a/S2b screen living-together adults as couples/single. S2c screens separated adults as single; S2d screens both as single. S3 retains disability-grant recipients and adds no war-veterans recipient. S4b keeps social-assistance income in the proxy.</w:t>
      </w:r>
    </w:p>
    <w:p>
      <w:pPr>
        <w:spacing w:after="0" w:before="0" w:line="240" w:lineRule="auto"/>
        <w:ind w:firstLine="200"/>
        <w:jc w:val="both"/>
      </w:pPr>
      <w:r>
        <w:rPr>
          <w:rFonts w:ascii="Times New Roman" w:cs="Times New Roman" w:eastAsia="Times New Roman" w:hAnsi="Times New Roman"/>
          <w:sz w:val="20"/>
          <w:szCs w:val="20"/>
        </w:rPr>
        <w:t xml:space="preserve">*S1a, S1c, S4a, S4c, S5 and S6a/S6b keep the S0 counts and reuse its predictions. Identical counts do not make the rules equivalent. No PASS adult has unresolved receipt for S6a/S6b to bound. Definitions are in Supplementary Table S1.</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full-sample associations are not held-out performance or causes. Only 67 events supported six slopes. Across the 100 refitted training folds, the female and below-Grade-7 coefficients stayed negative, while the urban-informal coefficient changed sign. Age, settlement and welfare-distance intervals included 1. That is limited precision, not evidence of no association, and those intervals omit the settlement-coding decision. The 20 repeated splits gave 100 converged fits. AUC ranged from 0.733 to 0.773 (median 0.753) and the calibration slope from 0.738 to 0.943 (median 0.837). Supplementary Table S3 gives the median, interquartile range and range for every performance measure, and the coefficient ranges. That spread is a sensitivity summary for the fixed coding, not a confidence interval.</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Survey access/disclosure conditions apply. Public demonstrations use synthetic records; downloadable packages exclude survey microdata. Reports omit submitted identifiers and raw income. This does not clear every historical repository file for release. No DUT ethics determination is documented.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Shared rules make screening, receipt and prediction inspectable.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 Archived project copy, inspected Oct. 21, 2026. [Online]. Available: https://github.com/Oluhle1/Research-Project/blob/110d84161ffb4ca1821c2c76318a6a13b27e2643/Dataset/metadata/Living%20Conditions%20Survey%20Metadata.pdf</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 Archived project copy, inspected Oct. 21, 2026. [Online]. Available: https://github.com/Oluhle1/Research-Project/blob/110d84161ffb4ca1821c2c76318a6a13b27e2643/Dataset/metadata/Living%20Conditions%20Survey%20Coicopcodes.pdf</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 Archived project copy, inspected Oct. 21, 2026. [Online]. Available: https://github.com/Oluhle1/Research-Project/blob/110d84161ffb4ca1821c2c76318a6a13b27e2643/Dataset/metadata/Living%20Conditions%20Survey%20Questionnaire.pdf</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2026-10-21T13:01:24.597Z</dcterms:created>
  <dcterms:modified xsi:type="dcterms:W3CDTF">2026-10-21T13:01:24.598Z</dcterms:modified>
</cp:coreProperties>
</file>

<file path=docProps/custom.xml><?xml version="1.0" encoding="utf-8"?>
<Properties xmlns="http://schemas.openxmlformats.org/officeDocument/2006/custom-properties" xmlns:vt="http://schemas.openxmlformats.org/officeDocument/2006/docPropsVTypes"/>
</file>