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Solutions to Supervisor Feedback</w:t>
      </w:r>
    </w:p>
    <w:p>
      <w:pPr>
        <w:pStyle w:val="Heading2"/>
      </w:pPr>
      <w:r>
        <w:t>OPG non-receipt study • Review copy</w:t>
      </w:r>
    </w:p>
    <w:p>
      <w:r/>
      <w:r>
        <w:rPr>
          <w:b/>
        </w:rPr>
        <w:t>Oluhle Jawe | APRE402 | 21 October 2026</w:t>
      </w:r>
      <w:r/>
    </w:p>
    <w:p>
      <w:r>
        <w:t xml:space="preserve">This document responds to the seven corrections in </w:t>
      </w:r>
      <w:r>
        <w:rPr>
          <w:b/>
        </w:rPr>
        <w:t>21634436_FEEDBACK.docx</w:t>
      </w:r>
      <w:r>
        <w:t xml:space="preserve">, using </w:t>
      </w:r>
      <w:r>
        <w:rPr>
          <w:b/>
        </w:rPr>
        <w:t>Jawe_OPG_nonreceipt_KZN (5).docx</w:t>
      </w:r>
      <w:r>
        <w:t xml:space="preserve"> as the manuscript under review. It provides proposed changes and draft wording for your consideration. It does not amend the paper.</w:t>
      </w:r>
    </w:p>
    <w:p>
      <w:r>
        <w:t>Existing numerical results below come from the uploaded paper and retained aggregate project records. Proposed validation analyses have not been run. Their results must be added before the relevant methodological comments can be treated as fully resolved.</w:t>
      </w:r>
    </w:p>
    <w:p>
      <w:pPr>
        <w:pStyle w:val="Heading3"/>
      </w:pPr>
      <w:r>
        <w:t>Review guide</w:t>
      </w:r>
    </w:p>
    <w:tbl>
      <w:tblPr>
        <w:tblW w:type="auto" w:w="0"/>
        <w:jc w:val="center"/>
        <w:tblLayout w:type="fixed"/>
        <w:tblLook w:firstColumn="1" w:firstRow="1" w:lastColumn="0" w:lastRow="0" w:noHBand="0" w:noVBand="1" w:val="04A0"/>
      </w:tblPr>
      <w:tblGrid>
        <w:gridCol w:w="691"/>
        <w:gridCol w:w="2448"/>
        <w:gridCol w:w="4248"/>
        <w:gridCol w:w="2491"/>
      </w:tblGrid>
      <w:tr>
        <w:trPr>
          <w:cantSplit/>
          <w:tblHeader/>
        </w:trPr>
        <w:tc>
          <w:tcPr>
            <w:tcW w:type="dxa" w:w="691"/>
            <w:vAlign w:val="center"/>
            <w:tcMar>
              <w:top w:w="65" w:type="dxa"/>
              <w:left w:w="75" w:type="dxa"/>
              <w:bottom w:w="65" w:type="dxa"/>
              <w:right w:w="75" w:type="dxa"/>
            </w:tcMar>
            <w:shd w:fill="244D68"/>
          </w:tcPr>
          <w:p>
            <w:pPr>
              <w:keepNext w:val="0"/>
              <w:spacing w:after="0" w:before="0" w:line="245" w:lineRule="auto"/>
            </w:pPr>
            <w:r>
              <w:rPr>
                <w:b/>
                <w:color w:val="FFFFFF"/>
                <w:sz w:val="18"/>
              </w:rPr>
              <w:t>Point</w:t>
            </w:r>
          </w:p>
        </w:tc>
        <w:tc>
          <w:tcPr>
            <w:tcW w:type="dxa" w:w="2448"/>
            <w:vAlign w:val="center"/>
            <w:tcMar>
              <w:top w:w="65" w:type="dxa"/>
              <w:left w:w="75" w:type="dxa"/>
              <w:bottom w:w="65" w:type="dxa"/>
              <w:right w:w="75" w:type="dxa"/>
            </w:tcMar>
            <w:shd w:fill="244D68"/>
          </w:tcPr>
          <w:p>
            <w:pPr>
              <w:keepNext w:val="0"/>
              <w:spacing w:after="0" w:before="0" w:line="245" w:lineRule="auto"/>
            </w:pPr>
            <w:r>
              <w:rPr>
                <w:b/>
                <w:color w:val="FFFFFF"/>
                <w:sz w:val="18"/>
              </w:rPr>
              <w:t>Supervisor’s concern</w:t>
            </w:r>
          </w:p>
        </w:tc>
        <w:tc>
          <w:tcPr>
            <w:tcW w:type="dxa" w:w="4248"/>
            <w:vAlign w:val="center"/>
            <w:tcMar>
              <w:top w:w="65" w:type="dxa"/>
              <w:left w:w="75" w:type="dxa"/>
              <w:bottom w:w="65" w:type="dxa"/>
              <w:right w:w="75" w:type="dxa"/>
            </w:tcMar>
            <w:shd w:fill="244D68"/>
          </w:tcPr>
          <w:p>
            <w:pPr>
              <w:keepNext w:val="0"/>
              <w:spacing w:after="0" w:before="0" w:line="245" w:lineRule="auto"/>
            </w:pPr>
            <w:r>
              <w:rPr>
                <w:b/>
                <w:color w:val="FFFFFF"/>
                <w:sz w:val="18"/>
              </w:rPr>
              <w:t>Proposed solution</w:t>
            </w:r>
          </w:p>
        </w:tc>
        <w:tc>
          <w:tcPr>
            <w:tcW w:type="dxa" w:w="2491"/>
            <w:vAlign w:val="center"/>
            <w:tcMar>
              <w:top w:w="65" w:type="dxa"/>
              <w:left w:w="75" w:type="dxa"/>
              <w:bottom w:w="65" w:type="dxa"/>
              <w:right w:w="75" w:type="dxa"/>
            </w:tcMar>
            <w:shd w:fill="244D68"/>
          </w:tcPr>
          <w:p>
            <w:pPr>
              <w:keepNext w:val="0"/>
              <w:spacing w:after="0" w:before="0" w:line="245" w:lineRule="auto"/>
            </w:pPr>
            <w:r>
              <w:rPr>
                <w:b/>
                <w:color w:val="FFFFFF"/>
                <w:sz w:val="18"/>
              </w:rPr>
              <w:t>Work remaining</w:t>
            </w:r>
          </w:p>
        </w:tc>
      </w:tr>
      <w:tr>
        <w:trPr>
          <w:cantSplit/>
        </w:trPr>
        <w:tc>
          <w:tcPr>
            <w:tcW w:type="dxa" w:w="691"/>
            <w:vAlign w:val="center"/>
            <w:tcMar>
              <w:top w:w="65" w:type="dxa"/>
              <w:left w:w="75" w:type="dxa"/>
              <w:bottom w:w="65" w:type="dxa"/>
              <w:right w:w="75" w:type="dxa"/>
            </w:tcMar>
            <w:shd w:fill="F0F5F8"/>
          </w:tcPr>
          <w:p>
            <w:pPr>
              <w:keepNext w:val="0"/>
              <w:spacing w:after="0" w:before="0" w:line="245" w:lineRule="auto"/>
            </w:pPr>
            <w:r>
              <w:rPr>
                <w:sz w:val="18"/>
              </w:rPr>
              <w:t>1</w:t>
            </w:r>
          </w:p>
        </w:tc>
        <w:tc>
          <w:tcPr>
            <w:tcW w:type="dxa" w:w="2448"/>
            <w:vAlign w:val="center"/>
            <w:tcMar>
              <w:top w:w="65" w:type="dxa"/>
              <w:left w:w="75" w:type="dxa"/>
              <w:bottom w:w="65" w:type="dxa"/>
              <w:right w:w="75" w:type="dxa"/>
            </w:tcMar>
            <w:shd w:fill="F0F5F8"/>
          </w:tcPr>
          <w:p>
            <w:pPr>
              <w:keepNext w:val="0"/>
              <w:spacing w:after="0" w:before="0" w:line="245" w:lineRule="auto"/>
            </w:pPr>
            <w:r>
              <w:rPr>
                <w:sz w:val="18"/>
              </w:rPr>
              <w:t>Outcome-informed settlement combination</w:t>
            </w:r>
          </w:p>
        </w:tc>
        <w:tc>
          <w:tcPr>
            <w:tcW w:type="dxa" w:w="4248"/>
            <w:vAlign w:val="center"/>
            <w:tcMar>
              <w:top w:w="65" w:type="dxa"/>
              <w:left w:w="75" w:type="dxa"/>
              <w:bottom w:w="65" w:type="dxa"/>
              <w:right w:w="75" w:type="dxa"/>
            </w:tcMar>
            <w:shd w:fill="F0F5F8"/>
          </w:tcPr>
          <w:p>
            <w:pPr>
              <w:keepNext w:val="0"/>
              <w:spacing w:after="0" w:before="0" w:line="245" w:lineRule="auto"/>
            </w:pPr>
            <w:r>
              <w:rPr>
                <w:sz w:val="18"/>
              </w:rPr>
              <w:t>Explain the data-informed decision and its limits; compare settlement codings fairly.</w:t>
            </w:r>
          </w:p>
        </w:tc>
        <w:tc>
          <w:tcPr>
            <w:tcW w:type="dxa" w:w="2491"/>
            <w:vAlign w:val="center"/>
            <w:tcMar>
              <w:top w:w="65" w:type="dxa"/>
              <w:left w:w="75" w:type="dxa"/>
              <w:bottom w:w="65" w:type="dxa"/>
              <w:right w:w="75" w:type="dxa"/>
            </w:tcMar>
            <w:shd w:fill="F0F5F8"/>
          </w:tcPr>
          <w:p>
            <w:pPr>
              <w:keepNext w:val="0"/>
              <w:spacing w:after="0" w:before="0" w:line="245" w:lineRule="auto"/>
            </w:pPr>
            <w:r>
              <w:rPr>
                <w:sz w:val="18"/>
              </w:rPr>
              <w:t>Additional validation sensitivity.</w:t>
            </w:r>
          </w:p>
        </w:tc>
      </w:tr>
      <w:tr>
        <w:trPr>
          <w:cantSplit/>
        </w:trPr>
        <w:tc>
          <w:tcPr>
            <w:tcW w:type="dxa" w:w="691"/>
            <w:vAlign w:val="center"/>
            <w:tcMar>
              <w:top w:w="65" w:type="dxa"/>
              <w:left w:w="75" w:type="dxa"/>
              <w:bottom w:w="65" w:type="dxa"/>
              <w:right w:w="75" w:type="dxa"/>
            </w:tcMar>
            <w:shd w:fill="FFFFFF"/>
          </w:tcPr>
          <w:p>
            <w:pPr>
              <w:keepNext w:val="0"/>
              <w:spacing w:after="0" w:before="0" w:line="245" w:lineRule="auto"/>
            </w:pPr>
            <w:r>
              <w:rPr>
                <w:sz w:val="18"/>
              </w:rPr>
              <w:t>2</w:t>
            </w:r>
          </w:p>
        </w:tc>
        <w:tc>
          <w:tcPr>
            <w:tcW w:type="dxa" w:w="2448"/>
            <w:vAlign w:val="center"/>
            <w:tcMar>
              <w:top w:w="65" w:type="dxa"/>
              <w:left w:w="75" w:type="dxa"/>
              <w:bottom w:w="65" w:type="dxa"/>
              <w:right w:w="75" w:type="dxa"/>
            </w:tcMar>
            <w:shd w:fill="FFFFFF"/>
          </w:tcPr>
          <w:p>
            <w:pPr>
              <w:keepNext w:val="0"/>
              <w:spacing w:after="0" w:before="0" w:line="245" w:lineRule="auto"/>
            </w:pPr>
            <w:r>
              <w:rPr>
                <w:sz w:val="18"/>
              </w:rPr>
              <w:t>Model-development uncertainty</w:t>
            </w:r>
          </w:p>
        </w:tc>
        <w:tc>
          <w:tcPr>
            <w:tcW w:type="dxa" w:w="4248"/>
            <w:vAlign w:val="center"/>
            <w:tcMar>
              <w:top w:w="65" w:type="dxa"/>
              <w:left w:w="75" w:type="dxa"/>
              <w:bottom w:w="65" w:type="dxa"/>
              <w:right w:w="75" w:type="dxa"/>
            </w:tcMar>
            <w:shd w:fill="FFFFFF"/>
          </w:tcPr>
          <w:p>
            <w:pPr>
              <w:keepNext w:val="0"/>
              <w:spacing w:after="0" w:before="0" w:line="245" w:lineRule="auto"/>
            </w:pPr>
            <w:r>
              <w:rPr>
                <w:sz w:val="18"/>
              </w:rPr>
              <w:t>Qualify the current intervals; repeat grouped validation with preprocessing and model refitting.</w:t>
            </w:r>
          </w:p>
        </w:tc>
        <w:tc>
          <w:tcPr>
            <w:tcW w:type="dxa" w:w="2491"/>
            <w:vAlign w:val="center"/>
            <w:tcMar>
              <w:top w:w="65" w:type="dxa"/>
              <w:left w:w="75" w:type="dxa"/>
              <w:bottom w:w="65" w:type="dxa"/>
              <w:right w:w="75" w:type="dxa"/>
            </w:tcMar>
            <w:shd w:fill="FFFFFF"/>
          </w:tcPr>
          <w:p>
            <w:pPr>
              <w:keepNext w:val="0"/>
              <w:spacing w:after="0" w:before="0" w:line="245" w:lineRule="auto"/>
            </w:pPr>
            <w:r>
              <w:rPr>
                <w:sz w:val="18"/>
              </w:rPr>
              <w:t>Execute and report the proposed analysis.</w:t>
            </w:r>
          </w:p>
        </w:tc>
      </w:tr>
      <w:tr>
        <w:trPr>
          <w:cantSplit/>
        </w:trPr>
        <w:tc>
          <w:tcPr>
            <w:tcW w:type="dxa" w:w="691"/>
            <w:vAlign w:val="center"/>
            <w:tcMar>
              <w:top w:w="65" w:type="dxa"/>
              <w:left w:w="75" w:type="dxa"/>
              <w:bottom w:w="65" w:type="dxa"/>
              <w:right w:w="75" w:type="dxa"/>
            </w:tcMar>
            <w:shd w:fill="F0F5F8"/>
          </w:tcPr>
          <w:p>
            <w:pPr>
              <w:keepNext w:val="0"/>
              <w:spacing w:after="0" w:before="0" w:line="245" w:lineRule="auto"/>
            </w:pPr>
            <w:r>
              <w:rPr>
                <w:sz w:val="18"/>
              </w:rPr>
              <w:t>3</w:t>
            </w:r>
          </w:p>
        </w:tc>
        <w:tc>
          <w:tcPr>
            <w:tcW w:type="dxa" w:w="2448"/>
            <w:vAlign w:val="center"/>
            <w:tcMar>
              <w:top w:w="65" w:type="dxa"/>
              <w:left w:w="75" w:type="dxa"/>
              <w:bottom w:w="65" w:type="dxa"/>
              <w:right w:w="75" w:type="dxa"/>
            </w:tcMar>
            <w:shd w:fill="F0F5F8"/>
          </w:tcPr>
          <w:p>
            <w:pPr>
              <w:keepNext w:val="0"/>
              <w:spacing w:after="0" w:before="0" w:line="245" w:lineRule="auto"/>
            </w:pPr>
            <w:r>
              <w:rPr>
                <w:sz w:val="18"/>
              </w:rPr>
              <w:t>Weighted/unweighted Table V</w:t>
            </w:r>
          </w:p>
        </w:tc>
        <w:tc>
          <w:tcPr>
            <w:tcW w:type="dxa" w:w="4248"/>
            <w:vAlign w:val="center"/>
            <w:tcMar>
              <w:top w:w="65" w:type="dxa"/>
              <w:left w:w="75" w:type="dxa"/>
              <w:bottom w:w="65" w:type="dxa"/>
              <w:right w:w="75" w:type="dxa"/>
            </w:tcMar>
            <w:shd w:fill="F0F5F8"/>
          </w:tcPr>
          <w:p>
            <w:pPr>
              <w:keepNext w:val="0"/>
              <w:spacing w:after="0" w:before="0" w:line="245" w:lineRule="auto"/>
            </w:pPr>
            <w:r>
              <w:rPr>
                <w:sz w:val="18"/>
              </w:rPr>
              <w:t>Separate the summaries into clearly labelled columns and show missing values.</w:t>
            </w:r>
          </w:p>
        </w:tc>
        <w:tc>
          <w:tcPr>
            <w:tcW w:type="dxa" w:w="2491"/>
            <w:vAlign w:val="center"/>
            <w:tcMar>
              <w:top w:w="65" w:type="dxa"/>
              <w:left w:w="75" w:type="dxa"/>
              <w:bottom w:w="65" w:type="dxa"/>
              <w:right w:w="75" w:type="dxa"/>
            </w:tcMar>
            <w:shd w:fill="F0F5F8"/>
          </w:tcPr>
          <w:p>
            <w:pPr>
              <w:keepNext w:val="0"/>
              <w:spacing w:after="0" w:before="0" w:line="245" w:lineRule="auto"/>
            </w:pPr>
            <w:r>
              <w:rPr>
                <w:sz w:val="18"/>
              </w:rPr>
              <w:t>Review the proposed table.</w:t>
            </w:r>
          </w:p>
        </w:tc>
      </w:tr>
      <w:tr>
        <w:trPr>
          <w:cantSplit/>
        </w:trPr>
        <w:tc>
          <w:tcPr>
            <w:tcW w:type="dxa" w:w="691"/>
            <w:vAlign w:val="center"/>
            <w:tcMar>
              <w:top w:w="65" w:type="dxa"/>
              <w:left w:w="75" w:type="dxa"/>
              <w:bottom w:w="65" w:type="dxa"/>
              <w:right w:w="75" w:type="dxa"/>
            </w:tcMar>
            <w:shd w:fill="FFFFFF"/>
          </w:tcPr>
          <w:p>
            <w:pPr>
              <w:keepNext w:val="0"/>
              <w:spacing w:after="0" w:before="0" w:line="245" w:lineRule="auto"/>
            </w:pPr>
            <w:r>
              <w:rPr>
                <w:sz w:val="18"/>
              </w:rPr>
              <w:t>4</w:t>
            </w:r>
          </w:p>
        </w:tc>
        <w:tc>
          <w:tcPr>
            <w:tcW w:type="dxa" w:w="2448"/>
            <w:vAlign w:val="center"/>
            <w:tcMar>
              <w:top w:w="65" w:type="dxa"/>
              <w:left w:w="75" w:type="dxa"/>
              <w:bottom w:w="65" w:type="dxa"/>
              <w:right w:w="75" w:type="dxa"/>
            </w:tcMar>
            <w:shd w:fill="FFFFFF"/>
          </w:tcPr>
          <w:p>
            <w:pPr>
              <w:keepNext w:val="0"/>
              <w:spacing w:after="0" w:before="0" w:line="245" w:lineRule="auto"/>
            </w:pPr>
            <w:r>
              <w:rPr>
                <w:sz w:val="18"/>
              </w:rPr>
              <w:t>Screening sensitivity traceability</w:t>
            </w:r>
          </w:p>
        </w:tc>
        <w:tc>
          <w:tcPr>
            <w:tcW w:type="dxa" w:w="4248"/>
            <w:vAlign w:val="center"/>
            <w:tcMar>
              <w:top w:w="65" w:type="dxa"/>
              <w:left w:w="75" w:type="dxa"/>
              <w:bottom w:w="65" w:type="dxa"/>
              <w:right w:w="75" w:type="dxa"/>
            </w:tcMar>
            <w:shd w:fill="FFFFFF"/>
          </w:tcPr>
          <w:p>
            <w:pPr>
              <w:keepNext w:val="0"/>
              <w:spacing w:after="0" w:before="0" w:line="245" w:lineRule="auto"/>
            </w:pPr>
            <w:r>
              <w:rPr>
                <w:sz w:val="18"/>
              </w:rPr>
              <w:t>Give each scenario its own definition and results row in a supplement.</w:t>
            </w:r>
          </w:p>
        </w:tc>
        <w:tc>
          <w:tcPr>
            <w:tcW w:type="dxa" w:w="2491"/>
            <w:vAlign w:val="center"/>
            <w:tcMar>
              <w:top w:w="65" w:type="dxa"/>
              <w:left w:w="75" w:type="dxa"/>
              <w:bottom w:w="65" w:type="dxa"/>
              <w:right w:w="75" w:type="dxa"/>
            </w:tcMar>
            <w:shd w:fill="FFFFFF"/>
          </w:tcPr>
          <w:p>
            <w:pPr>
              <w:keepNext w:val="0"/>
              <w:spacing w:after="0" w:before="0" w:line="245" w:lineRule="auto"/>
            </w:pPr>
            <w:r>
              <w:rPr>
                <w:sz w:val="18"/>
              </w:rPr>
              <w:t>Finalise the supplementary record and cross-references.</w:t>
            </w:r>
          </w:p>
        </w:tc>
      </w:tr>
      <w:tr>
        <w:trPr>
          <w:cantSplit/>
        </w:trPr>
        <w:tc>
          <w:tcPr>
            <w:tcW w:type="dxa" w:w="691"/>
            <w:vAlign w:val="center"/>
            <w:tcMar>
              <w:top w:w="65" w:type="dxa"/>
              <w:left w:w="75" w:type="dxa"/>
              <w:bottom w:w="65" w:type="dxa"/>
              <w:right w:w="75" w:type="dxa"/>
            </w:tcMar>
            <w:shd w:fill="F0F5F8"/>
          </w:tcPr>
          <w:p>
            <w:pPr>
              <w:keepNext w:val="0"/>
              <w:spacing w:after="0" w:before="0" w:line="245" w:lineRule="auto"/>
            </w:pPr>
            <w:r>
              <w:rPr>
                <w:sz w:val="18"/>
              </w:rPr>
              <w:t>5</w:t>
            </w:r>
          </w:p>
        </w:tc>
        <w:tc>
          <w:tcPr>
            <w:tcW w:type="dxa" w:w="2448"/>
            <w:vAlign w:val="center"/>
            <w:tcMar>
              <w:top w:w="65" w:type="dxa"/>
              <w:left w:w="75" w:type="dxa"/>
              <w:bottom w:w="65" w:type="dxa"/>
              <w:right w:w="75" w:type="dxa"/>
            </w:tcMar>
            <w:shd w:fill="F0F5F8"/>
          </w:tcPr>
          <w:p>
            <w:pPr>
              <w:keepNext w:val="0"/>
              <w:spacing w:after="0" w:before="0" w:line="245" w:lineRule="auto"/>
            </w:pPr>
            <w:r>
              <w:rPr>
                <w:sz w:val="18"/>
              </w:rPr>
              <w:t>Few non-receipt events</w:t>
            </w:r>
          </w:p>
        </w:tc>
        <w:tc>
          <w:tcPr>
            <w:tcW w:type="dxa" w:w="4248"/>
            <w:vAlign w:val="center"/>
            <w:tcMar>
              <w:top w:w="65" w:type="dxa"/>
              <w:left w:w="75" w:type="dxa"/>
              <w:bottom w:w="65" w:type="dxa"/>
              <w:right w:w="75" w:type="dxa"/>
            </w:tcMar>
            <w:shd w:fill="F0F5F8"/>
          </w:tcPr>
          <w:p>
            <w:pPr>
              <w:keepNext w:val="0"/>
              <w:spacing w:after="0" w:before="0" w:line="245" w:lineRule="auto"/>
            </w:pPr>
            <w:r>
              <w:rPr>
                <w:sz w:val="18"/>
              </w:rPr>
              <w:t>Explain coefficient instability and limits of Wald intervals.</w:t>
            </w:r>
          </w:p>
        </w:tc>
        <w:tc>
          <w:tcPr>
            <w:tcW w:type="dxa" w:w="2491"/>
            <w:vAlign w:val="center"/>
            <w:tcMar>
              <w:top w:w="65" w:type="dxa"/>
              <w:left w:w="75" w:type="dxa"/>
              <w:bottom w:w="65" w:type="dxa"/>
              <w:right w:w="75" w:type="dxa"/>
            </w:tcMar>
            <w:shd w:fill="F0F5F8"/>
          </w:tcPr>
          <w:p>
            <w:pPr>
              <w:keepNext w:val="0"/>
              <w:spacing w:after="0" w:before="0" w:line="245" w:lineRule="auto"/>
            </w:pPr>
            <w:r>
              <w:rPr>
                <w:sz w:val="18"/>
              </w:rPr>
              <w:t>Review wording; add stability summaries if refitting proceeds.</w:t>
            </w:r>
          </w:p>
        </w:tc>
      </w:tr>
      <w:tr>
        <w:trPr>
          <w:cantSplit/>
        </w:trPr>
        <w:tc>
          <w:tcPr>
            <w:tcW w:type="dxa" w:w="691"/>
            <w:vAlign w:val="center"/>
            <w:tcMar>
              <w:top w:w="65" w:type="dxa"/>
              <w:left w:w="75" w:type="dxa"/>
              <w:bottom w:w="65" w:type="dxa"/>
              <w:right w:w="75" w:type="dxa"/>
            </w:tcMar>
            <w:shd w:fill="FFFFFF"/>
          </w:tcPr>
          <w:p>
            <w:pPr>
              <w:keepNext w:val="0"/>
              <w:spacing w:after="0" w:before="0" w:line="245" w:lineRule="auto"/>
            </w:pPr>
            <w:r>
              <w:rPr>
                <w:sz w:val="18"/>
              </w:rPr>
              <w:t>6</w:t>
            </w:r>
          </w:p>
        </w:tc>
        <w:tc>
          <w:tcPr>
            <w:tcW w:type="dxa" w:w="2448"/>
            <w:vAlign w:val="center"/>
            <w:tcMar>
              <w:top w:w="65" w:type="dxa"/>
              <w:left w:w="75" w:type="dxa"/>
              <w:bottom w:w="65" w:type="dxa"/>
              <w:right w:w="75" w:type="dxa"/>
            </w:tcMar>
            <w:shd w:fill="FFFFFF"/>
          </w:tcPr>
          <w:p>
            <w:pPr>
              <w:keepNext w:val="0"/>
              <w:spacing w:after="0" w:before="0" w:line="245" w:lineRule="auto"/>
            </w:pPr>
            <w:r>
              <w:rPr>
                <w:sz w:val="18"/>
              </w:rPr>
              <w:t>Future research</w:t>
            </w:r>
          </w:p>
        </w:tc>
        <w:tc>
          <w:tcPr>
            <w:tcW w:type="dxa" w:w="4248"/>
            <w:vAlign w:val="center"/>
            <w:tcMar>
              <w:top w:w="65" w:type="dxa"/>
              <w:left w:w="75" w:type="dxa"/>
              <w:bottom w:w="65" w:type="dxa"/>
              <w:right w:w="75" w:type="dxa"/>
            </w:tcMar>
            <w:shd w:fill="FFFFFF"/>
          </w:tcPr>
          <w:p>
            <w:pPr>
              <w:keepNext w:val="0"/>
              <w:spacing w:after="0" w:before="0" w:line="245" w:lineRule="auto"/>
            </w:pPr>
            <w:r>
              <w:rPr>
                <w:sz w:val="18"/>
              </w:rPr>
              <w:t>Add a short paragraph on independent validation and participant usability.</w:t>
            </w:r>
          </w:p>
        </w:tc>
        <w:tc>
          <w:tcPr>
            <w:tcW w:type="dxa" w:w="2491"/>
            <w:vAlign w:val="center"/>
            <w:tcMar>
              <w:top w:w="65" w:type="dxa"/>
              <w:left w:w="75" w:type="dxa"/>
              <w:bottom w:w="65" w:type="dxa"/>
              <w:right w:w="75" w:type="dxa"/>
            </w:tcMar>
            <w:shd w:fill="FFFFFF"/>
          </w:tcPr>
          <w:p>
            <w:pPr>
              <w:keepNext w:val="0"/>
              <w:spacing w:after="0" w:before="0" w:line="245" w:lineRule="auto"/>
            </w:pPr>
            <w:r>
              <w:rPr>
                <w:sz w:val="18"/>
              </w:rPr>
              <w:t>Review the proposed paragraph.</w:t>
            </w:r>
          </w:p>
        </w:tc>
      </w:tr>
      <w:tr>
        <w:trPr>
          <w:cantSplit/>
        </w:trPr>
        <w:tc>
          <w:tcPr>
            <w:tcW w:type="dxa" w:w="691"/>
            <w:vAlign w:val="center"/>
            <w:tcMar>
              <w:top w:w="65" w:type="dxa"/>
              <w:left w:w="75" w:type="dxa"/>
              <w:bottom w:w="65" w:type="dxa"/>
              <w:right w:w="75" w:type="dxa"/>
            </w:tcMar>
            <w:shd w:fill="F0F5F8"/>
          </w:tcPr>
          <w:p>
            <w:pPr>
              <w:keepNext w:val="0"/>
              <w:spacing w:after="0" w:before="0" w:line="245" w:lineRule="auto"/>
            </w:pPr>
            <w:r>
              <w:rPr>
                <w:sz w:val="18"/>
              </w:rPr>
              <w:t>7</w:t>
            </w:r>
          </w:p>
        </w:tc>
        <w:tc>
          <w:tcPr>
            <w:tcW w:type="dxa" w:w="2448"/>
            <w:vAlign w:val="center"/>
            <w:tcMar>
              <w:top w:w="65" w:type="dxa"/>
              <w:left w:w="75" w:type="dxa"/>
              <w:bottom w:w="65" w:type="dxa"/>
              <w:right w:w="75" w:type="dxa"/>
            </w:tcMar>
            <w:shd w:fill="F0F5F8"/>
          </w:tcPr>
          <w:p>
            <w:pPr>
              <w:keepNext w:val="0"/>
              <w:spacing w:after="0" w:before="0" w:line="245" w:lineRule="auto"/>
            </w:pPr>
            <w:r>
              <w:rPr>
                <w:sz w:val="18"/>
              </w:rPr>
              <w:t>References and formatting</w:t>
            </w:r>
          </w:p>
        </w:tc>
        <w:tc>
          <w:tcPr>
            <w:tcW w:type="dxa" w:w="4248"/>
            <w:vAlign w:val="center"/>
            <w:tcMar>
              <w:top w:w="65" w:type="dxa"/>
              <w:left w:w="75" w:type="dxa"/>
              <w:bottom w:w="65" w:type="dxa"/>
              <w:right w:w="75" w:type="dxa"/>
            </w:tcMar>
            <w:shd w:fill="F0F5F8"/>
          </w:tcPr>
          <w:p>
            <w:pPr>
              <w:keepNext w:val="0"/>
              <w:spacing w:after="0" w:before="0" w:line="245" w:lineRule="auto"/>
            </w:pPr>
            <w:r>
              <w:rPr>
                <w:sz w:val="18"/>
              </w:rPr>
              <w:t>Correct identifiable omissions; verify sources and the final IEEE export.</w:t>
            </w:r>
          </w:p>
        </w:tc>
        <w:tc>
          <w:tcPr>
            <w:tcW w:type="dxa" w:w="2491"/>
            <w:vAlign w:val="center"/>
            <w:tcMar>
              <w:top w:w="65" w:type="dxa"/>
              <w:left w:w="75" w:type="dxa"/>
              <w:bottom w:w="65" w:type="dxa"/>
              <w:right w:w="75" w:type="dxa"/>
            </w:tcMar>
            <w:shd w:fill="F0F5F8"/>
          </w:tcPr>
          <w:p>
            <w:pPr>
              <w:keepNext w:val="0"/>
              <w:spacing w:after="0" w:before="0" w:line="245" w:lineRule="auto"/>
            </w:pPr>
            <w:r>
              <w:rPr>
                <w:sz w:val="18"/>
              </w:rPr>
              <w:t>Complete external bibliographic and final layout checks.</w:t>
            </w:r>
          </w:p>
        </w:tc>
      </w:tr>
    </w:tbl>
    <w:p>
      <w:pPr>
        <w:spacing w:after="0"/>
      </w:pPr>
    </w:p>
    <w:p>
      <w:r/>
      <w:r>
        <w:rPr>
          <w:b/>
        </w:rPr>
        <w:t>Suggested order:</w:t>
      </w:r>
      <w:r>
        <w:t xml:space="preserve"> settle the analysis plan for points 1–2 first, because new findings could change the methods, results and interpretation. Points 3–6 can then be incorporated consistently. Complete point 7 after the content is stable. The eight-page limit applies to the final research paper, including references; this review document is separate.</w:t>
      </w:r>
    </w:p>
    <w:p>
      <w:r/>
      <w:r>
        <w:rPr>
          <w:b/>
        </w:rPr>
        <w:t>Citation convention:</w:t>
      </w:r>
      <w:r>
        <w:t xml:space="preserve"> bracketed reference numbers refer to the uploaded manuscript. Source paths identify existing project evidence, not new studies or newly executed tests.</w:t>
      </w:r>
    </w:p>
    <w:p>
      <w:r>
        <w:br w:type="page"/>
      </w:r>
    </w:p>
    <w:p>
      <w:pPr>
        <w:pStyle w:val="Heading1"/>
      </w:pPr>
      <w:r>
        <w:t>1. Outcome-informed settlement combination</w:t>
      </w:r>
    </w:p>
    <w:p>
      <w:r/>
      <w:r>
        <w:rPr>
          <w:b/>
        </w:rPr>
        <w:t>Location:</w:t>
      </w:r>
      <w:r>
        <w:t xml:space="preserve"> Page 4, Section III.D.</w:t>
      </w:r>
    </w:p>
    <w:p>
      <w:r/>
      <w:r>
        <w:rPr>
          <w:b/>
        </w:rPr>
        <w:t>Feedback:</w:t>
      </w:r>
      <w:r>
        <w:t xml:space="preserve"> Further justify and evaluate the outcome-informed settlement-category combination, including its influence on performance and cross-validation validity.</w:t>
      </w:r>
    </w:p>
    <w:p>
      <w:pPr>
        <w:pStyle w:val="Heading3"/>
      </w:pPr>
      <w:r>
        <w:t>Proposed solution</w:t>
      </w:r>
    </w:p>
    <w:p>
      <w:r>
        <w:t>Retain the sparse-category explanation, but state explicitly that the final coding followed examination of outcomes and validation diagnostics. Household grouping prevents overlap between training and held-out households; it does not remove information used earlier to choose the predictor coding.</w:t>
      </w:r>
    </w:p>
    <w:p>
      <w:pPr>
        <w:pStyle w:val="Heading3"/>
      </w:pPr>
      <w:r>
        <w:t>Draft replacement for the D-052 paragraph</w:t>
      </w:r>
    </w:p>
    <w:p>
      <w:r>
        <w:t>Decision D-052 combined rural formal and traditional settlement after the separate rural-formal contrast failed to converge. Rural formal contained 31 adults and one non-recipient; holding out that case left its training category without events. Combining categories supported estimation but did not establish that the settings were equivalent. Because outcome support and validation diagnostics informed this decision, the cross-validation estimates condition on a data-informed coding choice and may be optimistic. Household grouping prevents within-household overlap, but does not remove information used to choose the coding. The results therefore represent exploratory internal validation rather than an independent assessment of the complete development process.</w:t>
      </w:r>
    </w:p>
    <w:p>
      <w:pPr>
        <w:pStyle w:val="Heading3"/>
      </w:pPr>
      <w:r>
        <w:t>What the existing evidence establishes</w:t>
      </w:r>
    </w:p>
    <w:p>
      <w:r>
        <w:t>The affected training fold contained 30 rural-formal adults and no events; its coefficient was approximately −21.88 and the fit did not converge. All five retained merged-model folds converged. These records justify addressing sparse support. They do not prove that merging improved generalisable performance.</w:t>
      </w:r>
    </w:p>
    <w:tbl>
      <w:tblPr>
        <w:tblW w:type="auto" w:w="0"/>
        <w:jc w:val="center"/>
        <w:tblLayout w:type="fixed"/>
        <w:tblLook w:firstColumn="1" w:firstRow="1" w:lastColumn="0" w:lastRow="0" w:noHBand="0" w:noVBand="1" w:val="04A0"/>
      </w:tblPr>
      <w:tblGrid>
        <w:gridCol w:w="3384"/>
        <w:gridCol w:w="3240"/>
        <w:gridCol w:w="3254"/>
      </w:tblGrid>
      <w:tr>
        <w:trPr>
          <w:cantSplit/>
          <w:tblHeader/>
        </w:trPr>
        <w:tc>
          <w:tcPr>
            <w:tcW w:type="dxa" w:w="3384"/>
            <w:vAlign w:val="center"/>
            <w:tcMar>
              <w:top w:w="65" w:type="dxa"/>
              <w:left w:w="75" w:type="dxa"/>
              <w:bottom w:w="65" w:type="dxa"/>
              <w:right w:w="75" w:type="dxa"/>
            </w:tcMar>
            <w:shd w:fill="244D68"/>
          </w:tcPr>
          <w:p>
            <w:pPr>
              <w:keepNext w:val="0"/>
              <w:spacing w:after="0" w:before="0" w:line="245" w:lineRule="auto"/>
            </w:pPr>
            <w:r>
              <w:rPr>
                <w:b/>
                <w:color w:val="FFFFFF"/>
                <w:sz w:val="18"/>
              </w:rPr>
              <w:t>Existing diagnostic</w:t>
            </w:r>
          </w:p>
        </w:tc>
        <w:tc>
          <w:tcPr>
            <w:tcW w:type="dxa" w:w="3240"/>
            <w:vAlign w:val="center"/>
            <w:tcMar>
              <w:top w:w="65" w:type="dxa"/>
              <w:left w:w="75" w:type="dxa"/>
              <w:bottom w:w="65" w:type="dxa"/>
              <w:right w:w="75" w:type="dxa"/>
            </w:tcMar>
            <w:shd w:fill="244D68"/>
          </w:tcPr>
          <w:p>
            <w:pPr>
              <w:keepNext w:val="0"/>
              <w:spacing w:after="0" w:before="0" w:line="245" w:lineRule="auto"/>
            </w:pPr>
            <w:r>
              <w:rPr>
                <w:b/>
                <w:color w:val="FFFFFF"/>
                <w:sz w:val="18"/>
              </w:rPr>
              <w:t>Merged model: six slopes</w:t>
            </w:r>
          </w:p>
        </w:tc>
        <w:tc>
          <w:tcPr>
            <w:tcW w:type="dxa" w:w="3254"/>
            <w:vAlign w:val="center"/>
            <w:tcMar>
              <w:top w:w="65" w:type="dxa"/>
              <w:left w:w="75" w:type="dxa"/>
              <w:bottom w:w="65" w:type="dxa"/>
              <w:right w:w="75" w:type="dxa"/>
            </w:tcMar>
            <w:shd w:fill="244D68"/>
          </w:tcPr>
          <w:p>
            <w:pPr>
              <w:keepNext w:val="0"/>
              <w:spacing w:after="0" w:before="0" w:line="245" w:lineRule="auto"/>
            </w:pPr>
            <w:r>
              <w:rPr>
                <w:b/>
                <w:color w:val="FFFFFF"/>
                <w:sz w:val="18"/>
              </w:rPr>
              <w:t>Original attempt: seven slopes</w:t>
            </w:r>
          </w:p>
        </w:tc>
      </w:tr>
      <w:tr>
        <w:trPr>
          <w:cantSplit/>
        </w:trPr>
        <w:tc>
          <w:tcPr>
            <w:tcW w:type="dxa" w:w="3384"/>
            <w:vAlign w:val="center"/>
            <w:tcMar>
              <w:top w:w="65" w:type="dxa"/>
              <w:left w:w="75" w:type="dxa"/>
              <w:bottom w:w="65" w:type="dxa"/>
              <w:right w:w="75" w:type="dxa"/>
            </w:tcMar>
            <w:shd w:fill="F0F5F8"/>
          </w:tcPr>
          <w:p>
            <w:pPr>
              <w:keepNext w:val="0"/>
              <w:spacing w:after="0" w:before="0" w:line="245" w:lineRule="auto"/>
            </w:pPr>
            <w:r>
              <w:rPr>
                <w:sz w:val="18"/>
              </w:rPr>
              <w:t>AUC</w:t>
            </w:r>
          </w:p>
        </w:tc>
        <w:tc>
          <w:tcPr>
            <w:tcW w:type="dxa" w:w="3240"/>
            <w:vAlign w:val="center"/>
            <w:tcMar>
              <w:top w:w="65" w:type="dxa"/>
              <w:left w:w="75" w:type="dxa"/>
              <w:bottom w:w="65" w:type="dxa"/>
              <w:right w:w="75" w:type="dxa"/>
            </w:tcMar>
            <w:shd w:fill="F0F5F8"/>
          </w:tcPr>
          <w:p>
            <w:pPr>
              <w:keepNext w:val="0"/>
              <w:spacing w:after="0" w:before="0" w:line="245" w:lineRule="auto"/>
            </w:pPr>
            <w:r>
              <w:rPr>
                <w:sz w:val="18"/>
              </w:rPr>
              <w:t>0.752</w:t>
            </w:r>
          </w:p>
        </w:tc>
        <w:tc>
          <w:tcPr>
            <w:tcW w:type="dxa" w:w="3254"/>
            <w:vAlign w:val="center"/>
            <w:tcMar>
              <w:top w:w="65" w:type="dxa"/>
              <w:left w:w="75" w:type="dxa"/>
              <w:bottom w:w="65" w:type="dxa"/>
              <w:right w:w="75" w:type="dxa"/>
            </w:tcMar>
            <w:shd w:fill="F0F5F8"/>
          </w:tcPr>
          <w:p>
            <w:pPr>
              <w:keepNext w:val="0"/>
              <w:spacing w:after="0" w:before="0" w:line="245" w:lineRule="auto"/>
            </w:pPr>
            <w:r>
              <w:rPr>
                <w:sz w:val="18"/>
              </w:rPr>
              <w:t>0.739</w:t>
            </w:r>
          </w:p>
        </w:tc>
      </w:tr>
      <w:tr>
        <w:trPr>
          <w:cantSplit/>
        </w:trPr>
        <w:tc>
          <w:tcPr>
            <w:tcW w:type="dxa" w:w="3384"/>
            <w:vAlign w:val="center"/>
            <w:tcMar>
              <w:top w:w="65" w:type="dxa"/>
              <w:left w:w="75" w:type="dxa"/>
              <w:bottom w:w="65" w:type="dxa"/>
              <w:right w:w="75" w:type="dxa"/>
            </w:tcMar>
            <w:shd w:fill="FFFFFF"/>
          </w:tcPr>
          <w:p>
            <w:pPr>
              <w:keepNext w:val="0"/>
              <w:spacing w:after="0" w:before="0" w:line="245" w:lineRule="auto"/>
            </w:pPr>
            <w:r>
              <w:rPr>
                <w:sz w:val="18"/>
              </w:rPr>
              <w:t>Average precision</w:t>
            </w:r>
          </w:p>
        </w:tc>
        <w:tc>
          <w:tcPr>
            <w:tcW w:type="dxa" w:w="3240"/>
            <w:vAlign w:val="center"/>
            <w:tcMar>
              <w:top w:w="65" w:type="dxa"/>
              <w:left w:w="75" w:type="dxa"/>
              <w:bottom w:w="65" w:type="dxa"/>
              <w:right w:w="75" w:type="dxa"/>
            </w:tcMar>
            <w:shd w:fill="FFFFFF"/>
          </w:tcPr>
          <w:p>
            <w:pPr>
              <w:keepNext w:val="0"/>
              <w:spacing w:after="0" w:before="0" w:line="245" w:lineRule="auto"/>
            </w:pPr>
            <w:r>
              <w:rPr>
                <w:sz w:val="18"/>
              </w:rPr>
              <w:t>0.203</w:t>
            </w:r>
          </w:p>
        </w:tc>
        <w:tc>
          <w:tcPr>
            <w:tcW w:type="dxa" w:w="3254"/>
            <w:vAlign w:val="center"/>
            <w:tcMar>
              <w:top w:w="65" w:type="dxa"/>
              <w:left w:w="75" w:type="dxa"/>
              <w:bottom w:w="65" w:type="dxa"/>
              <w:right w:w="75" w:type="dxa"/>
            </w:tcMar>
            <w:shd w:fill="FFFFFF"/>
          </w:tcPr>
          <w:p>
            <w:pPr>
              <w:keepNext w:val="0"/>
              <w:spacing w:after="0" w:before="0" w:line="245" w:lineRule="auto"/>
            </w:pPr>
            <w:r>
              <w:rPr>
                <w:sz w:val="18"/>
              </w:rPr>
              <w:t>0.201</w:t>
            </w:r>
          </w:p>
        </w:tc>
      </w:tr>
      <w:tr>
        <w:trPr>
          <w:cantSplit/>
        </w:trPr>
        <w:tc>
          <w:tcPr>
            <w:tcW w:type="dxa" w:w="3384"/>
            <w:vAlign w:val="center"/>
            <w:tcMar>
              <w:top w:w="65" w:type="dxa"/>
              <w:left w:w="75" w:type="dxa"/>
              <w:bottom w:w="65" w:type="dxa"/>
              <w:right w:w="75" w:type="dxa"/>
            </w:tcMar>
            <w:shd w:fill="F0F5F8"/>
          </w:tcPr>
          <w:p>
            <w:pPr>
              <w:keepNext w:val="0"/>
              <w:spacing w:after="0" w:before="0" w:line="245" w:lineRule="auto"/>
            </w:pPr>
            <w:r>
              <w:rPr>
                <w:sz w:val="18"/>
              </w:rPr>
              <w:t>Brier score</w:t>
            </w:r>
          </w:p>
        </w:tc>
        <w:tc>
          <w:tcPr>
            <w:tcW w:type="dxa" w:w="3240"/>
            <w:vAlign w:val="center"/>
            <w:tcMar>
              <w:top w:w="65" w:type="dxa"/>
              <w:left w:w="75" w:type="dxa"/>
              <w:bottom w:w="65" w:type="dxa"/>
              <w:right w:w="75" w:type="dxa"/>
            </w:tcMar>
            <w:shd w:fill="F0F5F8"/>
          </w:tcPr>
          <w:p>
            <w:pPr>
              <w:keepNext w:val="0"/>
              <w:spacing w:after="0" w:before="0" w:line="245" w:lineRule="auto"/>
            </w:pPr>
            <w:r>
              <w:rPr>
                <w:sz w:val="18"/>
              </w:rPr>
              <w:t>0.0578</w:t>
            </w:r>
          </w:p>
        </w:tc>
        <w:tc>
          <w:tcPr>
            <w:tcW w:type="dxa" w:w="3254"/>
            <w:vAlign w:val="center"/>
            <w:tcMar>
              <w:top w:w="65" w:type="dxa"/>
              <w:left w:w="75" w:type="dxa"/>
              <w:bottom w:w="65" w:type="dxa"/>
              <w:right w:w="75" w:type="dxa"/>
            </w:tcMar>
            <w:shd w:fill="F0F5F8"/>
          </w:tcPr>
          <w:p>
            <w:pPr>
              <w:keepNext w:val="0"/>
              <w:spacing w:after="0" w:before="0" w:line="245" w:lineRule="auto"/>
            </w:pPr>
            <w:r>
              <w:rPr>
                <w:sz w:val="18"/>
              </w:rPr>
              <w:t>0.0579</w:t>
            </w:r>
          </w:p>
        </w:tc>
      </w:tr>
      <w:tr>
        <w:trPr>
          <w:cantSplit/>
        </w:trPr>
        <w:tc>
          <w:tcPr>
            <w:tcW w:type="dxa" w:w="3384"/>
            <w:vAlign w:val="center"/>
            <w:tcMar>
              <w:top w:w="65" w:type="dxa"/>
              <w:left w:w="75" w:type="dxa"/>
              <w:bottom w:w="65" w:type="dxa"/>
              <w:right w:w="75" w:type="dxa"/>
            </w:tcMar>
            <w:shd w:fill="FFFFFF"/>
          </w:tcPr>
          <w:p>
            <w:pPr>
              <w:keepNext w:val="0"/>
              <w:spacing w:after="0" w:before="0" w:line="245" w:lineRule="auto"/>
            </w:pPr>
            <w:r>
              <w:rPr>
                <w:sz w:val="18"/>
              </w:rPr>
              <w:t>Calibration slope</w:t>
            </w:r>
          </w:p>
        </w:tc>
        <w:tc>
          <w:tcPr>
            <w:tcW w:type="dxa" w:w="3240"/>
            <w:vAlign w:val="center"/>
            <w:tcMar>
              <w:top w:w="65" w:type="dxa"/>
              <w:left w:w="75" w:type="dxa"/>
              <w:bottom w:w="65" w:type="dxa"/>
              <w:right w:w="75" w:type="dxa"/>
            </w:tcMar>
            <w:shd w:fill="FFFFFF"/>
          </w:tcPr>
          <w:p>
            <w:pPr>
              <w:keepNext w:val="0"/>
              <w:spacing w:after="0" w:before="0" w:line="245" w:lineRule="auto"/>
            </w:pPr>
            <w:r>
              <w:rPr>
                <w:sz w:val="18"/>
              </w:rPr>
              <w:t>0.836</w:t>
            </w:r>
          </w:p>
        </w:tc>
        <w:tc>
          <w:tcPr>
            <w:tcW w:type="dxa" w:w="3254"/>
            <w:vAlign w:val="center"/>
            <w:tcMar>
              <w:top w:w="65" w:type="dxa"/>
              <w:left w:w="75" w:type="dxa"/>
              <w:bottom w:w="65" w:type="dxa"/>
              <w:right w:w="75" w:type="dxa"/>
            </w:tcMar>
            <w:shd w:fill="FFFFFF"/>
          </w:tcPr>
          <w:p>
            <w:pPr>
              <w:keepNext w:val="0"/>
              <w:spacing w:after="0" w:before="0" w:line="245" w:lineRule="auto"/>
            </w:pPr>
            <w:r>
              <w:rPr>
                <w:sz w:val="18"/>
              </w:rPr>
              <w:t>0.673</w:t>
            </w:r>
          </w:p>
        </w:tc>
      </w:tr>
      <w:tr>
        <w:trPr>
          <w:cantSplit/>
        </w:trPr>
        <w:tc>
          <w:tcPr>
            <w:tcW w:type="dxa" w:w="3384"/>
            <w:vAlign w:val="center"/>
            <w:tcMar>
              <w:top w:w="65" w:type="dxa"/>
              <w:left w:w="75" w:type="dxa"/>
              <w:bottom w:w="65" w:type="dxa"/>
              <w:right w:w="75" w:type="dxa"/>
            </w:tcMar>
            <w:shd w:fill="F0F5F8"/>
          </w:tcPr>
          <w:p>
            <w:pPr>
              <w:keepNext w:val="0"/>
              <w:spacing w:after="0" w:before="0" w:line="245" w:lineRule="auto"/>
            </w:pPr>
            <w:r>
              <w:rPr>
                <w:sz w:val="18"/>
              </w:rPr>
              <w:t>Training-fold convergence</w:t>
            </w:r>
          </w:p>
        </w:tc>
        <w:tc>
          <w:tcPr>
            <w:tcW w:type="dxa" w:w="3240"/>
            <w:vAlign w:val="center"/>
            <w:tcMar>
              <w:top w:w="65" w:type="dxa"/>
              <w:left w:w="75" w:type="dxa"/>
              <w:bottom w:w="65" w:type="dxa"/>
              <w:right w:w="75" w:type="dxa"/>
            </w:tcMar>
            <w:shd w:fill="F0F5F8"/>
          </w:tcPr>
          <w:p>
            <w:pPr>
              <w:keepNext w:val="0"/>
              <w:spacing w:after="0" w:before="0" w:line="245" w:lineRule="auto"/>
            </w:pPr>
            <w:r>
              <w:rPr>
                <w:sz w:val="18"/>
              </w:rPr>
              <w:t>5/5</w:t>
            </w:r>
          </w:p>
        </w:tc>
        <w:tc>
          <w:tcPr>
            <w:tcW w:type="dxa" w:w="3254"/>
            <w:vAlign w:val="center"/>
            <w:tcMar>
              <w:top w:w="65" w:type="dxa"/>
              <w:left w:w="75" w:type="dxa"/>
              <w:bottom w:w="65" w:type="dxa"/>
              <w:right w:w="75" w:type="dxa"/>
            </w:tcMar>
            <w:shd w:fill="F0F5F8"/>
          </w:tcPr>
          <w:p>
            <w:pPr>
              <w:keepNext w:val="0"/>
              <w:spacing w:after="0" w:before="0" w:line="245" w:lineRule="auto"/>
            </w:pPr>
            <w:r>
              <w:rPr>
                <w:sz w:val="18"/>
              </w:rPr>
              <w:t>4/5</w:t>
            </w:r>
          </w:p>
        </w:tc>
      </w:tr>
    </w:tbl>
    <w:p>
      <w:pPr>
        <w:spacing w:after="0"/>
      </w:pPr>
    </w:p>
    <w:p>
      <w:r/>
      <w:r>
        <w:rPr>
          <w:b/>
        </w:rPr>
        <w:t>Interpretation:</w:t>
      </w:r>
      <w:r>
        <w:t xml:space="preserve"> the original attempt contains a failed fit. Its metrics are diagnostic and must not support a claim that the merged model is superior.</w:t>
      </w:r>
    </w:p>
    <w:p>
      <w:pPr>
        <w:pStyle w:val="Heading3"/>
      </w:pPr>
      <w:r>
        <w:t>Additional sensitivity to propose</w:t>
      </w:r>
    </w:p>
    <w:p>
      <w:r>
        <w:t>Compare the original four-level and merged three-level settlement codings using ridge logistic regression for both. Use the same 1,013 adults, outer household folds, training-only preprocessing and inner household folds. Prespecify the penalty grid and tune only within each outer training set. Retain the ordinary merged model as the documented reference.</w:t>
      </w:r>
    </w:p>
    <w:p>
      <w:r>
        <w:t>Compare convergence, held-out AUC, AP, Brier score and calibration. Including a ridge-merged comparator separates the change in estimation method from the change in coding. If penalties differ between configurations, their comparison concerns the full configurations, not an isolated merging effect. These reused-data analyses cannot retrospectively make D-052 outcome-independent.</w:t>
      </w:r>
    </w:p>
    <w:p>
      <w:r/>
      <w:r>
        <w:rPr>
          <w:b/>
        </w:rPr>
        <w:t>Evidence:</w:t>
      </w:r>
      <w:r>
        <w:t xml:space="preserve"> docs/model_decision_record.md; output/phase5_original_7slope/metrics.csv and fold_coefficients.csv; output/runs/primary/metrics.csv. </w:t>
      </w:r>
      <w:r>
        <w:rPr>
          <w:b/>
        </w:rPr>
        <w:t>Status:</w:t>
      </w:r>
      <w:r>
        <w:t xml:space="preserve"> rationale and limitations can be clarified now; the proposed comparison remains unperformed.</w:t>
      </w:r>
    </w:p>
    <w:p>
      <w:r>
        <w:br w:type="page"/>
      </w:r>
    </w:p>
    <w:p>
      <w:pPr>
        <w:pStyle w:val="Heading1"/>
      </w:pPr>
      <w:r>
        <w:t>2. Model-development uncertainty and refitting</w:t>
      </w:r>
    </w:p>
    <w:p>
      <w:r/>
      <w:r>
        <w:rPr>
          <w:b/>
        </w:rPr>
        <w:t>Location:</w:t>
      </w:r>
      <w:r>
        <w:t xml:space="preserve"> Page 4, Section III.D.</w:t>
      </w:r>
    </w:p>
    <w:p>
      <w:r/>
      <w:r>
        <w:rPr>
          <w:b/>
        </w:rPr>
        <w:t>Feedback:</w:t>
      </w:r>
      <w:r>
        <w:t xml:space="preserve"> Strengthen the discussion of model-development uncertainty and, where feasible, add a validation sensitivity involving model refitting.</w:t>
      </w:r>
    </w:p>
    <w:p>
      <w:pPr>
        <w:pStyle w:val="Heading3"/>
      </w:pPr>
      <w:r>
        <w:t>Draft clarification of the current intervals</w:t>
      </w:r>
    </w:p>
    <w:p>
      <w:r>
        <w:t>The reported intervals resample fixed out-of-fold predictions by household. They condition on one fold allocation, its fitted preprocessing and models, and the settlement coding chosen under D-052. They reflect variation in the resampled households but do not repeat partitioning, imputation, model estimation or coding decisions. They therefore do not quantify uncertainty in the complete development process and are not survey-design confidence intervals.</w:t>
      </w:r>
    </w:p>
    <w:p>
      <w:pPr>
        <w:pStyle w:val="Heading3"/>
      </w:pPr>
      <w:r>
        <w:t>Proposed refitting sensitivity</w:t>
      </w:r>
    </w:p>
    <w:p>
      <w:r>
        <w:t xml:space="preserve">Use </w:t>
      </w:r>
      <w:r>
        <w:rPr>
          <w:b/>
        </w:rPr>
        <w:t>20 repetitions of five-fold household-grouped cross-validation</w:t>
      </w:r>
      <w:r>
        <w:t>. Prespecify the seeds and reporting procedure before examining the new results.</w:t>
      </w:r>
    </w:p>
    <w:p>
      <w:pPr>
        <w:pStyle w:val="ListNumber"/>
      </w:pPr>
      <w:r>
        <w:t>Keep the same 1,013 adults, receipt outcome and predictor definitions. Hold every household entirely within one fold; preserve household-level outcome stratification.</w:t>
      </w:r>
    </w:p>
    <w:p>
      <w:pPr>
        <w:pStyle w:val="ListNumber"/>
      </w:pPr>
      <w:r>
        <w:t>For each repetition, create a new grouped partition. Learn imputation values from each training fold and refit the model before predicting its held-out households.</w:t>
      </w:r>
    </w:p>
    <w:p>
      <w:pPr>
        <w:pStyle w:val="ListNumber"/>
      </w:pPr>
      <w:r>
        <w:t>Give each adult one held-out prediction per repetition. Compute pooled AUC, AP, Brier score, calibration-in-the-large and calibration slope separately within each repetition.</w:t>
      </w:r>
    </w:p>
    <w:p>
      <w:pPr>
        <w:pStyle w:val="ListNumber"/>
      </w:pPr>
      <w:r>
        <w:t>Report the median, interquartile range and range across repetitions. Record convergence, failed fits and undefined metrics rather than silently discarding them.</w:t>
      </w:r>
    </w:p>
    <w:p>
      <w:pPr>
        <w:pStyle w:val="ListNumber"/>
      </w:pPr>
      <w:r>
        <w:t>Use identical partitions for paired model comparisons. For the ridge comparisons in point 1, tune penalties inside the corresponding training data only.</w:t>
      </w:r>
    </w:p>
    <w:p>
      <w:pPr>
        <w:pStyle w:val="ListNumber"/>
      </w:pPr>
      <w:r>
        <w:t>Retain a reproducible record of seeds, configurations, preprocessing, convergence and aggregate results. Describe the fixed-coding analysis separately from any analysis that repeats a prespecified coding-selection rule.</w:t>
      </w:r>
    </w:p>
    <w:p>
      <w:pPr>
        <w:pStyle w:val="Heading3"/>
      </w:pPr>
      <w:r>
        <w:t>What this analysis would and would not resolve</w:t>
      </w:r>
    </w:p>
    <w:p>
      <w:r>
        <w:t>Each repetition refits the preprocessing and model, so the analysis examines sensitivity to partitioning and fitting. With D-052 fixed, it still conditions on that coding choice. It does not capture full sampling uncertainty, repeat the original human development decisions, reproduce the complete survey design or establish external validity.</w:t>
      </w:r>
    </w:p>
    <w:p>
      <w:r>
        <w:t xml:space="preserve">The repetitions share observations and training data. Their spread is a sensitivity summary, </w:t>
      </w:r>
      <w:r>
        <w:rPr>
          <w:b/>
        </w:rPr>
        <w:t>not a 95% confidence interval</w:t>
      </w:r>
      <w:r>
        <w:t>. Repeated predictions must not be stacked and treated as independent people. Keep the existing fixed-prediction intervals clearly labelled rather than replacing them with percentiles from 20 dependent repetitions.</w:t>
      </w:r>
    </w:p>
    <w:p>
      <w:pPr>
        <w:pStyle w:val="Heading3"/>
      </w:pPr>
      <w:r>
        <w:t>Results to report after execution</w:t>
      </w:r>
    </w:p>
    <w:tbl>
      <w:tblPr>
        <w:tblW w:type="auto" w:w="0"/>
        <w:jc w:val="center"/>
        <w:tblLayout w:type="fixed"/>
        <w:tblLook w:firstColumn="1" w:firstRow="1" w:lastColumn="0" w:lastRow="0" w:noHBand="0" w:noVBand="1" w:val="04A0"/>
      </w:tblPr>
      <w:tblGrid>
        <w:gridCol w:w="2376"/>
        <w:gridCol w:w="7502"/>
      </w:tblGrid>
      <w:tr>
        <w:trPr>
          <w:cantSplit/>
          <w:tblHeader/>
        </w:trPr>
        <w:tc>
          <w:tcPr>
            <w:tcW w:type="dxa" w:w="2376"/>
            <w:vAlign w:val="center"/>
            <w:tcMar>
              <w:top w:w="65" w:type="dxa"/>
              <w:left w:w="75" w:type="dxa"/>
              <w:bottom w:w="65" w:type="dxa"/>
              <w:right w:w="75" w:type="dxa"/>
            </w:tcMar>
            <w:shd w:fill="244D68"/>
          </w:tcPr>
          <w:p>
            <w:pPr>
              <w:keepNext w:val="0"/>
              <w:spacing w:after="0" w:before="0" w:line="245" w:lineRule="auto"/>
            </w:pPr>
            <w:r>
              <w:rPr>
                <w:b/>
                <w:color w:val="FFFFFF"/>
                <w:sz w:val="18"/>
              </w:rPr>
              <w:t>Output</w:t>
            </w:r>
          </w:p>
        </w:tc>
        <w:tc>
          <w:tcPr>
            <w:tcW w:type="dxa" w:w="7502"/>
            <w:vAlign w:val="center"/>
            <w:tcMar>
              <w:top w:w="65" w:type="dxa"/>
              <w:left w:w="75" w:type="dxa"/>
              <w:bottom w:w="65" w:type="dxa"/>
              <w:right w:w="75" w:type="dxa"/>
            </w:tcMar>
            <w:shd w:fill="244D68"/>
          </w:tcPr>
          <w:p>
            <w:pPr>
              <w:keepNext w:val="0"/>
              <w:spacing w:after="0" w:before="0" w:line="245" w:lineRule="auto"/>
            </w:pPr>
            <w:r>
              <w:rPr>
                <w:b/>
                <w:color w:val="FFFFFF"/>
                <w:sz w:val="18"/>
              </w:rPr>
              <w:t>Required report</w:t>
            </w:r>
          </w:p>
        </w:tc>
      </w:tr>
      <w:tr>
        <w:trPr>
          <w:cantSplit/>
        </w:trPr>
        <w:tc>
          <w:tcPr>
            <w:tcW w:type="dxa" w:w="2376"/>
            <w:vAlign w:val="center"/>
            <w:tcMar>
              <w:top w:w="65" w:type="dxa"/>
              <w:left w:w="75" w:type="dxa"/>
              <w:bottom w:w="65" w:type="dxa"/>
              <w:right w:w="75" w:type="dxa"/>
            </w:tcMar>
            <w:shd w:fill="F0F5F8"/>
          </w:tcPr>
          <w:p>
            <w:pPr>
              <w:keepNext w:val="0"/>
              <w:spacing w:after="0" w:before="0" w:line="245" w:lineRule="auto"/>
            </w:pPr>
            <w:r>
              <w:rPr>
                <w:sz w:val="18"/>
              </w:rPr>
              <w:t>Predictive measures</w:t>
            </w:r>
          </w:p>
        </w:tc>
        <w:tc>
          <w:tcPr>
            <w:tcW w:type="dxa" w:w="7502"/>
            <w:vAlign w:val="center"/>
            <w:tcMar>
              <w:top w:w="65" w:type="dxa"/>
              <w:left w:w="75" w:type="dxa"/>
              <w:bottom w:w="65" w:type="dxa"/>
              <w:right w:w="75" w:type="dxa"/>
            </w:tcMar>
            <w:shd w:fill="F0F5F8"/>
          </w:tcPr>
          <w:p>
            <w:pPr>
              <w:keepNext w:val="0"/>
              <w:spacing w:after="0" w:before="0" w:line="245" w:lineRule="auto"/>
            </w:pPr>
            <w:r>
              <w:rPr>
                <w:sz w:val="18"/>
              </w:rPr>
              <w:t>Median, interquartile range and range for each measure.</w:t>
            </w:r>
          </w:p>
        </w:tc>
      </w:tr>
      <w:tr>
        <w:trPr>
          <w:cantSplit/>
        </w:trPr>
        <w:tc>
          <w:tcPr>
            <w:tcW w:type="dxa" w:w="2376"/>
            <w:vAlign w:val="center"/>
            <w:tcMar>
              <w:top w:w="65" w:type="dxa"/>
              <w:left w:w="75" w:type="dxa"/>
              <w:bottom w:w="65" w:type="dxa"/>
              <w:right w:w="75" w:type="dxa"/>
            </w:tcMar>
            <w:shd w:fill="FFFFFF"/>
          </w:tcPr>
          <w:p>
            <w:pPr>
              <w:keepNext w:val="0"/>
              <w:spacing w:after="0" w:before="0" w:line="245" w:lineRule="auto"/>
            </w:pPr>
            <w:r>
              <w:rPr>
                <w:sz w:val="18"/>
              </w:rPr>
              <w:t>Paired comparisons</w:t>
            </w:r>
          </w:p>
        </w:tc>
        <w:tc>
          <w:tcPr>
            <w:tcW w:type="dxa" w:w="7502"/>
            <w:vAlign w:val="center"/>
            <w:tcMar>
              <w:top w:w="65" w:type="dxa"/>
              <w:left w:w="75" w:type="dxa"/>
              <w:bottom w:w="65" w:type="dxa"/>
              <w:right w:w="75" w:type="dxa"/>
            </w:tcMar>
            <w:shd w:fill="FFFFFF"/>
          </w:tcPr>
          <w:p>
            <w:pPr>
              <w:keepNext w:val="0"/>
              <w:spacing w:after="0" w:before="0" w:line="245" w:lineRule="auto"/>
            </w:pPr>
            <w:r>
              <w:rPr>
                <w:sz w:val="18"/>
              </w:rPr>
              <w:t>Within-partition differences between specified configurations.</w:t>
            </w:r>
          </w:p>
        </w:tc>
      </w:tr>
      <w:tr>
        <w:trPr>
          <w:cantSplit/>
        </w:trPr>
        <w:tc>
          <w:tcPr>
            <w:tcW w:type="dxa" w:w="2376"/>
            <w:vAlign w:val="center"/>
            <w:tcMar>
              <w:top w:w="65" w:type="dxa"/>
              <w:left w:w="75" w:type="dxa"/>
              <w:bottom w:w="65" w:type="dxa"/>
              <w:right w:w="75" w:type="dxa"/>
            </w:tcMar>
            <w:shd w:fill="F0F5F8"/>
          </w:tcPr>
          <w:p>
            <w:pPr>
              <w:keepNext w:val="0"/>
              <w:spacing w:after="0" w:before="0" w:line="245" w:lineRule="auto"/>
            </w:pPr>
            <w:r>
              <w:rPr>
                <w:sz w:val="18"/>
              </w:rPr>
              <w:t>Numerical reliability</w:t>
            </w:r>
          </w:p>
        </w:tc>
        <w:tc>
          <w:tcPr>
            <w:tcW w:type="dxa" w:w="7502"/>
            <w:vAlign w:val="center"/>
            <w:tcMar>
              <w:top w:w="65" w:type="dxa"/>
              <w:left w:w="75" w:type="dxa"/>
              <w:bottom w:w="65" w:type="dxa"/>
              <w:right w:w="75" w:type="dxa"/>
            </w:tcMar>
            <w:shd w:fill="F0F5F8"/>
          </w:tcPr>
          <w:p>
            <w:pPr>
              <w:keepNext w:val="0"/>
              <w:spacing w:after="0" w:before="0" w:line="245" w:lineRule="auto"/>
            </w:pPr>
            <w:r>
              <w:rPr>
                <w:sz w:val="18"/>
              </w:rPr>
              <w:t>Number of converged fits out of attempted fits; reasons for failures.</w:t>
            </w:r>
          </w:p>
        </w:tc>
      </w:tr>
      <w:tr>
        <w:trPr>
          <w:cantSplit/>
        </w:trPr>
        <w:tc>
          <w:tcPr>
            <w:tcW w:type="dxa" w:w="2376"/>
            <w:vAlign w:val="center"/>
            <w:tcMar>
              <w:top w:w="65" w:type="dxa"/>
              <w:left w:w="75" w:type="dxa"/>
              <w:bottom w:w="65" w:type="dxa"/>
              <w:right w:w="75" w:type="dxa"/>
            </w:tcMar>
            <w:shd w:fill="FFFFFF"/>
          </w:tcPr>
          <w:p>
            <w:pPr>
              <w:keepNext w:val="0"/>
              <w:spacing w:after="0" w:before="0" w:line="245" w:lineRule="auto"/>
            </w:pPr>
            <w:r>
              <w:rPr>
                <w:sz w:val="18"/>
              </w:rPr>
              <w:t>Interpretation</w:t>
            </w:r>
          </w:p>
        </w:tc>
        <w:tc>
          <w:tcPr>
            <w:tcW w:type="dxa" w:w="7502"/>
            <w:vAlign w:val="center"/>
            <w:tcMar>
              <w:top w:w="65" w:type="dxa"/>
              <w:left w:w="75" w:type="dxa"/>
              <w:bottom w:w="65" w:type="dxa"/>
              <w:right w:w="75" w:type="dxa"/>
            </w:tcMar>
            <w:shd w:fill="FFFFFF"/>
          </w:tcPr>
          <w:p>
            <w:pPr>
              <w:keepNext w:val="0"/>
              <w:spacing w:after="0" w:before="0" w:line="245" w:lineRule="auto"/>
            </w:pPr>
            <w:r>
              <w:rPr>
                <w:sz w:val="18"/>
              </w:rPr>
              <w:t>Whether conclusions change materially; remaining conditional uncertainty.</w:t>
            </w:r>
          </w:p>
        </w:tc>
      </w:tr>
    </w:tbl>
    <w:p>
      <w:pPr>
        <w:spacing w:after="0"/>
      </w:pPr>
    </w:p>
    <w:p>
      <w:r/>
      <w:r>
        <w:rPr>
          <w:b/>
        </w:rPr>
        <w:t>Status:</w:t>
      </w:r>
      <w:r>
        <w:t xml:space="preserve"> this is an analysis proposal, not an additional completed validation result. If it cannot be run, retain the stronger limitation and state that refitting sensitivity remains outstanding; wording alone does not complete the empirical part of the feedback.</w:t>
      </w:r>
    </w:p>
    <w:p>
      <w:r>
        <w:br w:type="page"/>
      </w:r>
    </w:p>
    <w:p>
      <w:pPr>
        <w:pStyle w:val="Heading1"/>
      </w:pPr>
      <w:r>
        <w:t>3. Clear weighted and unweighted descriptions</w:t>
      </w:r>
    </w:p>
    <w:p>
      <w:r/>
      <w:r>
        <w:rPr>
          <w:b/>
        </w:rPr>
        <w:t>Location:</w:t>
      </w:r>
      <w:r>
        <w:t xml:space="preserve"> Page 5, Table V.</w:t>
      </w:r>
    </w:p>
    <w:p>
      <w:r/>
      <w:r>
        <w:rPr>
          <w:b/>
        </w:rPr>
        <w:t>Feedback:</w:t>
      </w:r>
      <w:r>
        <w:t xml:space="preserve"> Improve clarity and consistency in the presentation of weighted and unweighted descriptive statistics.</w:t>
      </w:r>
    </w:p>
    <w:p>
      <w:pPr>
        <w:pStyle w:val="Heading3"/>
      </w:pPr>
      <w:r>
        <w:t>Proposed replacement Table V</w:t>
      </w:r>
    </w:p>
    <w:p>
      <w:r/>
      <w:r>
        <w:rPr>
          <w:b/>
        </w:rPr>
        <w:t>Caption:</w:t>
      </w:r>
      <w:r>
        <w:t xml:space="preserve"> Characteristics of adults who passed screening, by reported OPG receipt, before model imputation.</w:t>
      </w:r>
    </w:p>
    <w:tbl>
      <w:tblPr>
        <w:tblW w:type="auto" w:w="0"/>
        <w:jc w:val="center"/>
        <w:tblLayout w:type="fixed"/>
        <w:tblLook w:firstColumn="1" w:firstRow="1" w:lastColumn="0" w:lastRow="0" w:noHBand="0" w:noVBand="1" w:val="04A0"/>
      </w:tblPr>
      <w:tblGrid>
        <w:gridCol w:w="2938"/>
        <w:gridCol w:w="1742"/>
        <w:gridCol w:w="1728"/>
        <w:gridCol w:w="1742"/>
        <w:gridCol w:w="1728"/>
      </w:tblGrid>
      <w:tr>
        <w:trPr>
          <w:cantSplit/>
          <w:tblHeader/>
        </w:trPr>
        <w:tc>
          <w:tcPr>
            <w:tcW w:type="dxa" w:w="2938"/>
            <w:vAlign w:val="center"/>
            <w:tcMar>
              <w:top w:w="65" w:type="dxa"/>
              <w:left w:w="75" w:type="dxa"/>
              <w:bottom w:w="65" w:type="dxa"/>
              <w:right w:w="75" w:type="dxa"/>
            </w:tcMar>
            <w:shd w:fill="244D68"/>
          </w:tcPr>
          <w:p>
            <w:pPr>
              <w:keepNext w:val="0"/>
              <w:spacing w:after="0" w:before="0" w:line="245" w:lineRule="auto"/>
            </w:pPr>
            <w:r>
              <w:rPr>
                <w:b/>
                <w:color w:val="FFFFFF"/>
                <w:sz w:val="18"/>
              </w:rPr>
              <w:t>Characteristic</w:t>
            </w:r>
          </w:p>
        </w:tc>
        <w:tc>
          <w:tcPr>
            <w:tcW w:type="dxa" w:w="1742"/>
            <w:vAlign w:val="center"/>
            <w:tcMar>
              <w:top w:w="65" w:type="dxa"/>
              <w:left w:w="75" w:type="dxa"/>
              <w:bottom w:w="65" w:type="dxa"/>
              <w:right w:w="75" w:type="dxa"/>
            </w:tcMar>
            <w:shd w:fill="244D68"/>
          </w:tcPr>
          <w:p>
            <w:pPr>
              <w:keepNext w:val="0"/>
              <w:spacing w:after="0" w:before="0" w:line="245" w:lineRule="auto"/>
            </w:pPr>
            <w:r>
              <w:rPr>
                <w:b/>
                <w:color w:val="FFFFFF"/>
                <w:sz w:val="18"/>
              </w:rPr>
              <w:t>Recipients, N = 946: unweighted</w:t>
            </w:r>
          </w:p>
        </w:tc>
        <w:tc>
          <w:tcPr>
            <w:tcW w:type="dxa" w:w="1728"/>
            <w:vAlign w:val="center"/>
            <w:tcMar>
              <w:top w:w="65" w:type="dxa"/>
              <w:left w:w="75" w:type="dxa"/>
              <w:bottom w:w="65" w:type="dxa"/>
              <w:right w:w="75" w:type="dxa"/>
            </w:tcMar>
            <w:shd w:fill="244D68"/>
          </w:tcPr>
          <w:p>
            <w:pPr>
              <w:keepNext w:val="0"/>
              <w:spacing w:after="0" w:before="0" w:line="245" w:lineRule="auto"/>
            </w:pPr>
            <w:r>
              <w:rPr>
                <w:b/>
                <w:color w:val="FFFFFF"/>
                <w:sz w:val="18"/>
              </w:rPr>
              <w:t>Recipients: person-weighted</w:t>
            </w:r>
          </w:p>
        </w:tc>
        <w:tc>
          <w:tcPr>
            <w:tcW w:type="dxa" w:w="1742"/>
            <w:vAlign w:val="center"/>
            <w:tcMar>
              <w:top w:w="65" w:type="dxa"/>
              <w:left w:w="75" w:type="dxa"/>
              <w:bottom w:w="65" w:type="dxa"/>
              <w:right w:w="75" w:type="dxa"/>
            </w:tcMar>
            <w:shd w:fill="244D68"/>
          </w:tcPr>
          <w:p>
            <w:pPr>
              <w:keepNext w:val="0"/>
              <w:spacing w:after="0" w:before="0" w:line="245" w:lineRule="auto"/>
            </w:pPr>
            <w:r>
              <w:rPr>
                <w:b/>
                <w:color w:val="FFFFFF"/>
                <w:sz w:val="18"/>
              </w:rPr>
              <w:t>Non-recipients, N = 67: unweighted</w:t>
            </w:r>
          </w:p>
        </w:tc>
        <w:tc>
          <w:tcPr>
            <w:tcW w:type="dxa" w:w="1728"/>
            <w:vAlign w:val="center"/>
            <w:tcMar>
              <w:top w:w="65" w:type="dxa"/>
              <w:left w:w="75" w:type="dxa"/>
              <w:bottom w:w="65" w:type="dxa"/>
              <w:right w:w="75" w:type="dxa"/>
            </w:tcMar>
            <w:shd w:fill="244D68"/>
          </w:tcPr>
          <w:p>
            <w:pPr>
              <w:keepNext w:val="0"/>
              <w:spacing w:after="0" w:before="0" w:line="245" w:lineRule="auto"/>
            </w:pPr>
            <w:r>
              <w:rPr>
                <w:b/>
                <w:color w:val="FFFFFF"/>
                <w:sz w:val="18"/>
              </w:rPr>
              <w:t>Non-recipients: person-weighted</w:t>
            </w:r>
          </w:p>
        </w:tc>
      </w:tr>
      <w:tr>
        <w:trPr>
          <w:cantSplit/>
        </w:trPr>
        <w:tc>
          <w:tcPr>
            <w:tcW w:type="dxa" w:w="2938"/>
            <w:vAlign w:val="center"/>
            <w:tcMar>
              <w:top w:w="65" w:type="dxa"/>
              <w:left w:w="75" w:type="dxa"/>
              <w:bottom w:w="65" w:type="dxa"/>
              <w:right w:w="75" w:type="dxa"/>
            </w:tcMar>
            <w:shd w:fill="F0F5F8"/>
          </w:tcPr>
          <w:p>
            <w:pPr>
              <w:keepNext w:val="0"/>
              <w:spacing w:after="0" w:before="0" w:line="245" w:lineRule="auto"/>
            </w:pPr>
            <w:r>
              <w:rPr>
                <w:sz w:val="18"/>
              </w:rPr>
              <w:t>Age, mean years</w:t>
            </w:r>
          </w:p>
        </w:tc>
        <w:tc>
          <w:tcPr>
            <w:tcW w:type="dxa" w:w="1742"/>
            <w:vAlign w:val="center"/>
            <w:tcMar>
              <w:top w:w="65" w:type="dxa"/>
              <w:left w:w="75" w:type="dxa"/>
              <w:bottom w:w="65" w:type="dxa"/>
              <w:right w:w="75" w:type="dxa"/>
            </w:tcMar>
            <w:shd w:fill="F0F5F8"/>
          </w:tcPr>
          <w:p>
            <w:pPr>
              <w:keepNext w:val="0"/>
              <w:spacing w:after="0" w:before="0" w:line="245" w:lineRule="auto"/>
            </w:pPr>
            <w:r>
              <w:rPr>
                <w:sz w:val="18"/>
              </w:rPr>
              <w:t>70.4</w:t>
            </w:r>
          </w:p>
        </w:tc>
        <w:tc>
          <w:tcPr>
            <w:tcW w:type="dxa" w:w="1728"/>
            <w:vAlign w:val="center"/>
            <w:tcMar>
              <w:top w:w="65" w:type="dxa"/>
              <w:left w:w="75" w:type="dxa"/>
              <w:bottom w:w="65" w:type="dxa"/>
              <w:right w:w="75" w:type="dxa"/>
            </w:tcMar>
            <w:shd w:fill="F0F5F8"/>
          </w:tcPr>
          <w:p>
            <w:pPr>
              <w:keepNext w:val="0"/>
              <w:spacing w:after="0" w:before="0" w:line="245" w:lineRule="auto"/>
            </w:pPr>
            <w:r>
              <w:rPr>
                <w:sz w:val="18"/>
              </w:rPr>
              <w:t>69.8</w:t>
            </w:r>
          </w:p>
        </w:tc>
        <w:tc>
          <w:tcPr>
            <w:tcW w:type="dxa" w:w="1742"/>
            <w:vAlign w:val="center"/>
            <w:tcMar>
              <w:top w:w="65" w:type="dxa"/>
              <w:left w:w="75" w:type="dxa"/>
              <w:bottom w:w="65" w:type="dxa"/>
              <w:right w:w="75" w:type="dxa"/>
            </w:tcMar>
            <w:shd w:fill="F0F5F8"/>
          </w:tcPr>
          <w:p>
            <w:pPr>
              <w:keepNext w:val="0"/>
              <w:spacing w:after="0" w:before="0" w:line="245" w:lineRule="auto"/>
            </w:pPr>
            <w:r>
              <w:rPr>
                <w:sz w:val="18"/>
              </w:rPr>
              <w:t>67.3</w:t>
            </w:r>
          </w:p>
        </w:tc>
        <w:tc>
          <w:tcPr>
            <w:tcW w:type="dxa" w:w="1728"/>
            <w:vAlign w:val="center"/>
            <w:tcMar>
              <w:top w:w="65" w:type="dxa"/>
              <w:left w:w="75" w:type="dxa"/>
              <w:bottom w:w="65" w:type="dxa"/>
              <w:right w:w="75" w:type="dxa"/>
            </w:tcMar>
            <w:shd w:fill="F0F5F8"/>
          </w:tcPr>
          <w:p>
            <w:pPr>
              <w:keepNext w:val="0"/>
              <w:spacing w:after="0" w:before="0" w:line="245" w:lineRule="auto"/>
            </w:pPr>
            <w:r>
              <w:rPr>
                <w:sz w:val="18"/>
              </w:rPr>
              <w:t>68.4</w:t>
            </w:r>
          </w:p>
        </w:tc>
      </w:tr>
      <w:tr>
        <w:trPr>
          <w:cantSplit/>
        </w:trPr>
        <w:tc>
          <w:tcPr>
            <w:tcW w:type="dxa" w:w="2938"/>
            <w:vAlign w:val="center"/>
            <w:tcMar>
              <w:top w:w="65" w:type="dxa"/>
              <w:left w:w="75" w:type="dxa"/>
              <w:bottom w:w="65" w:type="dxa"/>
              <w:right w:w="75" w:type="dxa"/>
            </w:tcMar>
            <w:shd w:fill="FFFFFF"/>
          </w:tcPr>
          <w:p>
            <w:pPr>
              <w:keepNext w:val="0"/>
              <w:spacing w:after="0" w:before="0" w:line="245" w:lineRule="auto"/>
            </w:pPr>
            <w:r>
              <w:rPr>
                <w:sz w:val="18"/>
              </w:rPr>
              <w:t>Female</w:t>
            </w:r>
          </w:p>
        </w:tc>
        <w:tc>
          <w:tcPr>
            <w:tcW w:type="dxa" w:w="1742"/>
            <w:vAlign w:val="center"/>
            <w:tcMar>
              <w:top w:w="65" w:type="dxa"/>
              <w:left w:w="75" w:type="dxa"/>
              <w:bottom w:w="65" w:type="dxa"/>
              <w:right w:w="75" w:type="dxa"/>
            </w:tcMar>
            <w:shd w:fill="FFFFFF"/>
          </w:tcPr>
          <w:p>
            <w:pPr>
              <w:keepNext w:val="0"/>
              <w:spacing w:after="0" w:before="0" w:line="245" w:lineRule="auto"/>
            </w:pPr>
            <w:r>
              <w:rPr>
                <w:sz w:val="18"/>
              </w:rPr>
              <w:t>686 (72.5)</w:t>
            </w:r>
          </w:p>
        </w:tc>
        <w:tc>
          <w:tcPr>
            <w:tcW w:type="dxa" w:w="1728"/>
            <w:vAlign w:val="center"/>
            <w:tcMar>
              <w:top w:w="65" w:type="dxa"/>
              <w:left w:w="75" w:type="dxa"/>
              <w:bottom w:w="65" w:type="dxa"/>
              <w:right w:w="75" w:type="dxa"/>
            </w:tcMar>
            <w:shd w:fill="FFFFFF"/>
          </w:tcPr>
          <w:p>
            <w:pPr>
              <w:keepNext w:val="0"/>
              <w:spacing w:after="0" w:before="0" w:line="245" w:lineRule="auto"/>
            </w:pPr>
            <w:r>
              <w:rPr>
                <w:sz w:val="18"/>
              </w:rPr>
              <w:t>70.4</w:t>
            </w:r>
          </w:p>
        </w:tc>
        <w:tc>
          <w:tcPr>
            <w:tcW w:type="dxa" w:w="1742"/>
            <w:vAlign w:val="center"/>
            <w:tcMar>
              <w:top w:w="65" w:type="dxa"/>
              <w:left w:w="75" w:type="dxa"/>
              <w:bottom w:w="65" w:type="dxa"/>
              <w:right w:w="75" w:type="dxa"/>
            </w:tcMar>
            <w:shd w:fill="FFFFFF"/>
          </w:tcPr>
          <w:p>
            <w:pPr>
              <w:keepNext w:val="0"/>
              <w:spacing w:after="0" w:before="0" w:line="245" w:lineRule="auto"/>
            </w:pPr>
            <w:r>
              <w:rPr>
                <w:sz w:val="18"/>
              </w:rPr>
              <w:t>33 (49.3)</w:t>
            </w:r>
          </w:p>
        </w:tc>
        <w:tc>
          <w:tcPr>
            <w:tcW w:type="dxa" w:w="1728"/>
            <w:vAlign w:val="center"/>
            <w:tcMar>
              <w:top w:w="65" w:type="dxa"/>
              <w:left w:w="75" w:type="dxa"/>
              <w:bottom w:w="65" w:type="dxa"/>
              <w:right w:w="75" w:type="dxa"/>
            </w:tcMar>
            <w:shd w:fill="FFFFFF"/>
          </w:tcPr>
          <w:p>
            <w:pPr>
              <w:keepNext w:val="0"/>
              <w:spacing w:after="0" w:before="0" w:line="245" w:lineRule="auto"/>
            </w:pPr>
            <w:r>
              <w:rPr>
                <w:sz w:val="18"/>
              </w:rPr>
              <w:t>53.4</w:t>
            </w:r>
          </w:p>
        </w:tc>
      </w:tr>
      <w:tr>
        <w:trPr>
          <w:cantSplit/>
        </w:trPr>
        <w:tc>
          <w:tcPr>
            <w:tcW w:type="dxa" w:w="2938"/>
            <w:vAlign w:val="center"/>
            <w:tcMar>
              <w:top w:w="65" w:type="dxa"/>
              <w:left w:w="75" w:type="dxa"/>
              <w:bottom w:w="65" w:type="dxa"/>
              <w:right w:w="75" w:type="dxa"/>
            </w:tcMar>
            <w:shd w:fill="F0F5F8"/>
          </w:tcPr>
          <w:p>
            <w:pPr>
              <w:keepNext w:val="0"/>
              <w:spacing w:after="0" w:before="0" w:line="245" w:lineRule="auto"/>
            </w:pPr>
            <w:r>
              <w:rPr>
                <w:sz w:val="18"/>
              </w:rPr>
              <w:t>Schooling: Grade 7 or above</w:t>
            </w:r>
          </w:p>
        </w:tc>
        <w:tc>
          <w:tcPr>
            <w:tcW w:type="dxa" w:w="1742"/>
            <w:vAlign w:val="center"/>
            <w:tcMar>
              <w:top w:w="65" w:type="dxa"/>
              <w:left w:w="75" w:type="dxa"/>
              <w:bottom w:w="65" w:type="dxa"/>
              <w:right w:w="75" w:type="dxa"/>
            </w:tcMar>
            <w:shd w:fill="F0F5F8"/>
          </w:tcPr>
          <w:p>
            <w:pPr>
              <w:keepNext w:val="0"/>
              <w:spacing w:after="0" w:before="0" w:line="245" w:lineRule="auto"/>
            </w:pPr>
            <w:r>
              <w:rPr>
                <w:sz w:val="18"/>
              </w:rPr>
              <w:t>290 (30.7)</w:t>
            </w:r>
          </w:p>
        </w:tc>
        <w:tc>
          <w:tcPr>
            <w:tcW w:type="dxa" w:w="1728"/>
            <w:vAlign w:val="center"/>
            <w:tcMar>
              <w:top w:w="65" w:type="dxa"/>
              <w:left w:w="75" w:type="dxa"/>
              <w:bottom w:w="65" w:type="dxa"/>
              <w:right w:w="75" w:type="dxa"/>
            </w:tcMar>
            <w:shd w:fill="F0F5F8"/>
          </w:tcPr>
          <w:p>
            <w:pPr>
              <w:keepNext w:val="0"/>
              <w:spacing w:after="0" w:before="0" w:line="245" w:lineRule="auto"/>
            </w:pPr>
            <w:r>
              <w:rPr>
                <w:sz w:val="18"/>
              </w:rPr>
              <w:t>33.0</w:t>
            </w:r>
          </w:p>
        </w:tc>
        <w:tc>
          <w:tcPr>
            <w:tcW w:type="dxa" w:w="1742"/>
            <w:vAlign w:val="center"/>
            <w:tcMar>
              <w:top w:w="65" w:type="dxa"/>
              <w:left w:w="75" w:type="dxa"/>
              <w:bottom w:w="65" w:type="dxa"/>
              <w:right w:w="75" w:type="dxa"/>
            </w:tcMar>
            <w:shd w:fill="F0F5F8"/>
          </w:tcPr>
          <w:p>
            <w:pPr>
              <w:keepNext w:val="0"/>
              <w:spacing w:after="0" w:before="0" w:line="245" w:lineRule="auto"/>
            </w:pPr>
            <w:r>
              <w:rPr>
                <w:sz w:val="18"/>
              </w:rPr>
              <w:t>49 (73.1)</w:t>
            </w:r>
          </w:p>
        </w:tc>
        <w:tc>
          <w:tcPr>
            <w:tcW w:type="dxa" w:w="1728"/>
            <w:vAlign w:val="center"/>
            <w:tcMar>
              <w:top w:w="65" w:type="dxa"/>
              <w:left w:w="75" w:type="dxa"/>
              <w:bottom w:w="65" w:type="dxa"/>
              <w:right w:w="75" w:type="dxa"/>
            </w:tcMar>
            <w:shd w:fill="F0F5F8"/>
          </w:tcPr>
          <w:p>
            <w:pPr>
              <w:keepNext w:val="0"/>
              <w:spacing w:after="0" w:before="0" w:line="245" w:lineRule="auto"/>
            </w:pPr>
            <w:r>
              <w:rPr>
                <w:sz w:val="18"/>
              </w:rPr>
              <w:t>80.8</w:t>
            </w:r>
          </w:p>
        </w:tc>
      </w:tr>
      <w:tr>
        <w:trPr>
          <w:cantSplit/>
        </w:trPr>
        <w:tc>
          <w:tcPr>
            <w:tcW w:type="dxa" w:w="2938"/>
            <w:vAlign w:val="center"/>
            <w:tcMar>
              <w:top w:w="65" w:type="dxa"/>
              <w:left w:w="75" w:type="dxa"/>
              <w:bottom w:w="65" w:type="dxa"/>
              <w:right w:w="75" w:type="dxa"/>
            </w:tcMar>
            <w:shd w:fill="FFFFFF"/>
          </w:tcPr>
          <w:p>
            <w:pPr>
              <w:keepNext w:val="0"/>
              <w:spacing w:after="0" w:before="0" w:line="245" w:lineRule="auto"/>
            </w:pPr>
            <w:r>
              <w:rPr>
                <w:sz w:val="18"/>
              </w:rPr>
              <w:t>Schooling: missing/unassigned</w:t>
            </w:r>
          </w:p>
        </w:tc>
        <w:tc>
          <w:tcPr>
            <w:tcW w:type="dxa" w:w="1742"/>
            <w:vAlign w:val="center"/>
            <w:tcMar>
              <w:top w:w="65" w:type="dxa"/>
              <w:left w:w="75" w:type="dxa"/>
              <w:bottom w:w="65" w:type="dxa"/>
              <w:right w:w="75" w:type="dxa"/>
            </w:tcMar>
            <w:shd w:fill="FFFFFF"/>
          </w:tcPr>
          <w:p>
            <w:pPr>
              <w:keepNext w:val="0"/>
              <w:spacing w:after="0" w:before="0" w:line="245" w:lineRule="auto"/>
            </w:pPr>
            <w:r>
              <w:rPr>
                <w:sz w:val="18"/>
              </w:rPr>
              <w:t>3 (0.3)</w:t>
            </w:r>
          </w:p>
        </w:tc>
        <w:tc>
          <w:tcPr>
            <w:tcW w:type="dxa" w:w="1728"/>
            <w:vAlign w:val="center"/>
            <w:tcMar>
              <w:top w:w="65" w:type="dxa"/>
              <w:left w:w="75" w:type="dxa"/>
              <w:bottom w:w="65" w:type="dxa"/>
              <w:right w:w="75" w:type="dxa"/>
            </w:tcMar>
            <w:shd w:fill="FFFFFF"/>
          </w:tcPr>
          <w:p>
            <w:pPr>
              <w:keepNext w:val="0"/>
              <w:spacing w:after="0" w:before="0" w:line="245" w:lineRule="auto"/>
            </w:pPr>
            <w:r>
              <w:rPr>
                <w:sz w:val="18"/>
              </w:rPr>
              <w:t>0.4</w:t>
            </w:r>
          </w:p>
        </w:tc>
        <w:tc>
          <w:tcPr>
            <w:tcW w:type="dxa" w:w="1742"/>
            <w:vAlign w:val="center"/>
            <w:tcMar>
              <w:top w:w="65" w:type="dxa"/>
              <w:left w:w="75" w:type="dxa"/>
              <w:bottom w:w="65" w:type="dxa"/>
              <w:right w:w="75" w:type="dxa"/>
            </w:tcMar>
            <w:shd w:fill="FFFFFF"/>
          </w:tcPr>
          <w:p>
            <w:pPr>
              <w:keepNext w:val="0"/>
              <w:spacing w:after="0" w:before="0" w:line="245" w:lineRule="auto"/>
            </w:pPr>
            <w:r>
              <w:rPr>
                <w:sz w:val="18"/>
              </w:rPr>
              <w:t>0 (0.0)</w:t>
            </w:r>
          </w:p>
        </w:tc>
        <w:tc>
          <w:tcPr>
            <w:tcW w:type="dxa" w:w="1728"/>
            <w:vAlign w:val="center"/>
            <w:tcMar>
              <w:top w:w="65" w:type="dxa"/>
              <w:left w:w="75" w:type="dxa"/>
              <w:bottom w:w="65" w:type="dxa"/>
              <w:right w:w="75" w:type="dxa"/>
            </w:tcMar>
            <w:shd w:fill="FFFFFF"/>
          </w:tcPr>
          <w:p>
            <w:pPr>
              <w:keepNext w:val="0"/>
              <w:spacing w:after="0" w:before="0" w:line="245" w:lineRule="auto"/>
            </w:pPr>
            <w:r>
              <w:rPr>
                <w:sz w:val="18"/>
              </w:rPr>
              <w:t>0.0</w:t>
            </w:r>
          </w:p>
        </w:tc>
      </w:tr>
      <w:tr>
        <w:trPr>
          <w:cantSplit/>
        </w:trPr>
        <w:tc>
          <w:tcPr>
            <w:tcW w:type="dxa" w:w="2938"/>
            <w:vAlign w:val="center"/>
            <w:tcMar>
              <w:top w:w="65" w:type="dxa"/>
              <w:left w:w="75" w:type="dxa"/>
              <w:bottom w:w="65" w:type="dxa"/>
              <w:right w:w="75" w:type="dxa"/>
            </w:tcMar>
            <w:shd w:fill="F0F5F8"/>
          </w:tcPr>
          <w:p>
            <w:pPr>
              <w:keepNext w:val="0"/>
              <w:spacing w:after="0" w:before="0" w:line="245" w:lineRule="auto"/>
            </w:pPr>
            <w:r>
              <w:rPr>
                <w:sz w:val="18"/>
              </w:rPr>
              <w:t>Urban formal settlement</w:t>
            </w:r>
          </w:p>
        </w:tc>
        <w:tc>
          <w:tcPr>
            <w:tcW w:type="dxa" w:w="1742"/>
            <w:vAlign w:val="center"/>
            <w:tcMar>
              <w:top w:w="65" w:type="dxa"/>
              <w:left w:w="75" w:type="dxa"/>
              <w:bottom w:w="65" w:type="dxa"/>
              <w:right w:w="75" w:type="dxa"/>
            </w:tcMar>
            <w:shd w:fill="F0F5F8"/>
          </w:tcPr>
          <w:p>
            <w:pPr>
              <w:keepNext w:val="0"/>
              <w:spacing w:after="0" w:before="0" w:line="245" w:lineRule="auto"/>
            </w:pPr>
            <w:r>
              <w:rPr>
                <w:sz w:val="18"/>
              </w:rPr>
              <w:t>284 (30.0)</w:t>
            </w:r>
          </w:p>
        </w:tc>
        <w:tc>
          <w:tcPr>
            <w:tcW w:type="dxa" w:w="1728"/>
            <w:vAlign w:val="center"/>
            <w:tcMar>
              <w:top w:w="65" w:type="dxa"/>
              <w:left w:w="75" w:type="dxa"/>
              <w:bottom w:w="65" w:type="dxa"/>
              <w:right w:w="75" w:type="dxa"/>
            </w:tcMar>
            <w:shd w:fill="F0F5F8"/>
          </w:tcPr>
          <w:p>
            <w:pPr>
              <w:keepNext w:val="0"/>
              <w:spacing w:after="0" w:before="0" w:line="245" w:lineRule="auto"/>
            </w:pPr>
            <w:r>
              <w:rPr>
                <w:sz w:val="18"/>
              </w:rPr>
              <w:t>36.2</w:t>
            </w:r>
          </w:p>
        </w:tc>
        <w:tc>
          <w:tcPr>
            <w:tcW w:type="dxa" w:w="1742"/>
            <w:vAlign w:val="center"/>
            <w:tcMar>
              <w:top w:w="65" w:type="dxa"/>
              <w:left w:w="75" w:type="dxa"/>
              <w:bottom w:w="65" w:type="dxa"/>
              <w:right w:w="75" w:type="dxa"/>
            </w:tcMar>
            <w:shd w:fill="F0F5F8"/>
          </w:tcPr>
          <w:p>
            <w:pPr>
              <w:keepNext w:val="0"/>
              <w:spacing w:after="0" w:before="0" w:line="245" w:lineRule="auto"/>
            </w:pPr>
            <w:r>
              <w:rPr>
                <w:sz w:val="18"/>
              </w:rPr>
              <w:t>38 (56.7)</w:t>
            </w:r>
          </w:p>
        </w:tc>
        <w:tc>
          <w:tcPr>
            <w:tcW w:type="dxa" w:w="1728"/>
            <w:vAlign w:val="center"/>
            <w:tcMar>
              <w:top w:w="65" w:type="dxa"/>
              <w:left w:w="75" w:type="dxa"/>
              <w:bottom w:w="65" w:type="dxa"/>
              <w:right w:w="75" w:type="dxa"/>
            </w:tcMar>
            <w:shd w:fill="F0F5F8"/>
          </w:tcPr>
          <w:p>
            <w:pPr>
              <w:keepNext w:val="0"/>
              <w:spacing w:after="0" w:before="0" w:line="245" w:lineRule="auto"/>
            </w:pPr>
            <w:r>
              <w:rPr>
                <w:sz w:val="18"/>
              </w:rPr>
              <w:t>66.2</w:t>
            </w:r>
          </w:p>
        </w:tc>
      </w:tr>
      <w:tr>
        <w:trPr>
          <w:cantSplit/>
        </w:trPr>
        <w:tc>
          <w:tcPr>
            <w:tcW w:type="dxa" w:w="2938"/>
            <w:vAlign w:val="center"/>
            <w:tcMar>
              <w:top w:w="65" w:type="dxa"/>
              <w:left w:w="75" w:type="dxa"/>
              <w:bottom w:w="65" w:type="dxa"/>
              <w:right w:w="75" w:type="dxa"/>
            </w:tcMar>
            <w:shd w:fill="FFFFFF"/>
          </w:tcPr>
          <w:p>
            <w:pPr>
              <w:keepNext w:val="0"/>
              <w:spacing w:after="0" w:before="0" w:line="245" w:lineRule="auto"/>
            </w:pPr>
            <w:r>
              <w:rPr>
                <w:sz w:val="18"/>
              </w:rPr>
              <w:t>Welfare office ≥5 km away or unavailable</w:t>
            </w:r>
          </w:p>
        </w:tc>
        <w:tc>
          <w:tcPr>
            <w:tcW w:type="dxa" w:w="1742"/>
            <w:vAlign w:val="center"/>
            <w:tcMar>
              <w:top w:w="65" w:type="dxa"/>
              <w:left w:w="75" w:type="dxa"/>
              <w:bottom w:w="65" w:type="dxa"/>
              <w:right w:w="75" w:type="dxa"/>
            </w:tcMar>
            <w:shd w:fill="FFFFFF"/>
          </w:tcPr>
          <w:p>
            <w:pPr>
              <w:keepNext w:val="0"/>
              <w:spacing w:after="0" w:before="0" w:line="245" w:lineRule="auto"/>
            </w:pPr>
            <w:r>
              <w:rPr>
                <w:sz w:val="18"/>
              </w:rPr>
              <w:t>717 (75.8)</w:t>
            </w:r>
          </w:p>
        </w:tc>
        <w:tc>
          <w:tcPr>
            <w:tcW w:type="dxa" w:w="1728"/>
            <w:vAlign w:val="center"/>
            <w:tcMar>
              <w:top w:w="65" w:type="dxa"/>
              <w:left w:w="75" w:type="dxa"/>
              <w:bottom w:w="65" w:type="dxa"/>
              <w:right w:w="75" w:type="dxa"/>
            </w:tcMar>
            <w:shd w:fill="FFFFFF"/>
          </w:tcPr>
          <w:p>
            <w:pPr>
              <w:keepNext w:val="0"/>
              <w:spacing w:after="0" w:before="0" w:line="245" w:lineRule="auto"/>
            </w:pPr>
            <w:r>
              <w:rPr>
                <w:sz w:val="18"/>
              </w:rPr>
              <w:t>72.0</w:t>
            </w:r>
          </w:p>
        </w:tc>
        <w:tc>
          <w:tcPr>
            <w:tcW w:type="dxa" w:w="1742"/>
            <w:vAlign w:val="center"/>
            <w:tcMar>
              <w:top w:w="65" w:type="dxa"/>
              <w:left w:w="75" w:type="dxa"/>
              <w:bottom w:w="65" w:type="dxa"/>
              <w:right w:w="75" w:type="dxa"/>
            </w:tcMar>
            <w:shd w:fill="FFFFFF"/>
          </w:tcPr>
          <w:p>
            <w:pPr>
              <w:keepNext w:val="0"/>
              <w:spacing w:after="0" w:before="0" w:line="245" w:lineRule="auto"/>
            </w:pPr>
            <w:r>
              <w:rPr>
                <w:sz w:val="18"/>
              </w:rPr>
              <w:t>34 (50.7)</w:t>
            </w:r>
          </w:p>
        </w:tc>
        <w:tc>
          <w:tcPr>
            <w:tcW w:type="dxa" w:w="1728"/>
            <w:vAlign w:val="center"/>
            <w:tcMar>
              <w:top w:w="65" w:type="dxa"/>
              <w:left w:w="75" w:type="dxa"/>
              <w:bottom w:w="65" w:type="dxa"/>
              <w:right w:w="75" w:type="dxa"/>
            </w:tcMar>
            <w:shd w:fill="FFFFFF"/>
          </w:tcPr>
          <w:p>
            <w:pPr>
              <w:keepNext w:val="0"/>
              <w:spacing w:after="0" w:before="0" w:line="245" w:lineRule="auto"/>
            </w:pPr>
            <w:r>
              <w:rPr>
                <w:sz w:val="18"/>
              </w:rPr>
              <w:t>40.3</w:t>
            </w:r>
          </w:p>
        </w:tc>
      </w:tr>
      <w:tr>
        <w:trPr>
          <w:cantSplit/>
        </w:trPr>
        <w:tc>
          <w:tcPr>
            <w:tcW w:type="dxa" w:w="2938"/>
            <w:vAlign w:val="center"/>
            <w:tcMar>
              <w:top w:w="65" w:type="dxa"/>
              <w:left w:w="75" w:type="dxa"/>
              <w:bottom w:w="65" w:type="dxa"/>
              <w:right w:w="75" w:type="dxa"/>
            </w:tcMar>
            <w:shd w:fill="F0F5F8"/>
          </w:tcPr>
          <w:p>
            <w:pPr>
              <w:keepNext w:val="0"/>
              <w:spacing w:after="0" w:before="0" w:line="245" w:lineRule="auto"/>
            </w:pPr>
            <w:r>
              <w:rPr>
                <w:sz w:val="18"/>
              </w:rPr>
              <w:t>Welfare-office access: missing</w:t>
            </w:r>
          </w:p>
        </w:tc>
        <w:tc>
          <w:tcPr>
            <w:tcW w:type="dxa" w:w="1742"/>
            <w:vAlign w:val="center"/>
            <w:tcMar>
              <w:top w:w="65" w:type="dxa"/>
              <w:left w:w="75" w:type="dxa"/>
              <w:bottom w:w="65" w:type="dxa"/>
              <w:right w:w="75" w:type="dxa"/>
            </w:tcMar>
            <w:shd w:fill="F0F5F8"/>
          </w:tcPr>
          <w:p>
            <w:pPr>
              <w:keepNext w:val="0"/>
              <w:spacing w:after="0" w:before="0" w:line="245" w:lineRule="auto"/>
            </w:pPr>
            <w:r>
              <w:rPr>
                <w:sz w:val="18"/>
              </w:rPr>
              <w:t>14 (1.5)</w:t>
            </w:r>
          </w:p>
        </w:tc>
        <w:tc>
          <w:tcPr>
            <w:tcW w:type="dxa" w:w="1728"/>
            <w:vAlign w:val="center"/>
            <w:tcMar>
              <w:top w:w="65" w:type="dxa"/>
              <w:left w:w="75" w:type="dxa"/>
              <w:bottom w:w="65" w:type="dxa"/>
              <w:right w:w="75" w:type="dxa"/>
            </w:tcMar>
            <w:shd w:fill="F0F5F8"/>
          </w:tcPr>
          <w:p>
            <w:pPr>
              <w:keepNext w:val="0"/>
              <w:spacing w:after="0" w:before="0" w:line="245" w:lineRule="auto"/>
            </w:pPr>
            <w:r>
              <w:rPr>
                <w:sz w:val="18"/>
              </w:rPr>
              <w:t>1.8</w:t>
            </w:r>
          </w:p>
        </w:tc>
        <w:tc>
          <w:tcPr>
            <w:tcW w:type="dxa" w:w="1742"/>
            <w:vAlign w:val="center"/>
            <w:tcMar>
              <w:top w:w="65" w:type="dxa"/>
              <w:left w:w="75" w:type="dxa"/>
              <w:bottom w:w="65" w:type="dxa"/>
              <w:right w:w="75" w:type="dxa"/>
            </w:tcMar>
            <w:shd w:fill="F0F5F8"/>
          </w:tcPr>
          <w:p>
            <w:pPr>
              <w:keepNext w:val="0"/>
              <w:spacing w:after="0" w:before="0" w:line="245" w:lineRule="auto"/>
            </w:pPr>
            <w:r>
              <w:rPr>
                <w:sz w:val="18"/>
              </w:rPr>
              <w:t>4 (6.0)</w:t>
            </w:r>
          </w:p>
        </w:tc>
        <w:tc>
          <w:tcPr>
            <w:tcW w:type="dxa" w:w="1728"/>
            <w:vAlign w:val="center"/>
            <w:tcMar>
              <w:top w:w="65" w:type="dxa"/>
              <w:left w:w="75" w:type="dxa"/>
              <w:bottom w:w="65" w:type="dxa"/>
              <w:right w:w="75" w:type="dxa"/>
            </w:tcMar>
            <w:shd w:fill="F0F5F8"/>
          </w:tcPr>
          <w:p>
            <w:pPr>
              <w:keepNext w:val="0"/>
              <w:spacing w:after="0" w:before="0" w:line="245" w:lineRule="auto"/>
            </w:pPr>
            <w:r>
              <w:rPr>
                <w:sz w:val="18"/>
              </w:rPr>
              <w:t>7.2</w:t>
            </w:r>
          </w:p>
        </w:tc>
      </w:tr>
    </w:tbl>
    <w:p>
      <w:pPr>
        <w:spacing w:after="0"/>
      </w:pPr>
    </w:p>
    <w:p>
      <w:r/>
      <w:r>
        <w:rPr>
          <w:b/>
        </w:rPr>
        <w:t>Table note:</w:t>
      </w:r>
      <w:r>
        <w:t xml:space="preserve"> Except for age means, unweighted entries are n (%) and person-weighted entries are percentages. N is the observed sample size, not a weighted population count. Percentages describe receipt-group composition, not non-receipt rates. Unweighted denominators are all 946 recipients or all 67 non-recipients; weighted denominators are the total person weights within the corresponding full group. Missing predictors remain in those denominators and are shown separately. A recorded “unavailable” office differs from a missing response. The table shows selected categories before model imputation and provides no uncertainty intervals.</w:t>
      </w:r>
    </w:p>
    <w:p>
      <w:pPr>
        <w:pStyle w:val="Heading3"/>
      </w:pPr>
      <w:r>
        <w:t>Suggested accompanying text</w:t>
      </w:r>
    </w:p>
    <w:p>
      <w:r>
        <w:t>Table V separates observed sample summaries from person-weighted summaries. Among non-recipients, the person-weighted share with Grade 7 or above was 80.8%, compared with 33.0% among recipients. These within-group descriptions are not adjusted effects or predicted probabilities of non-receipt.</w:t>
      </w:r>
    </w:p>
    <w:p>
      <w:pPr>
        <w:pStyle w:val="Heading3"/>
      </w:pPr>
      <w:r>
        <w:t>Presentation choices to retain</w:t>
      </w:r>
    </w:p>
    <w:p>
      <w:r>
        <w:t>Use one decimal place for ages and descriptive percentages, and integer sample counts. Do not mix means with count notation. Keep the receipt-group denominators visible in the column headings. Use a full-width table in the IEEE paper if needed; do not reduce its text below the template’s readable size.</w:t>
      </w:r>
    </w:p>
    <w:p>
      <w:r>
        <w:t>The substantive values above reproduce the uploaded table. Missing-category summaries come from the retained descriptive CSV. No weighted counts, standard deviations, p-values or confidence intervals have been invented. Additional precision estimates would require a separately specified analysis.</w:t>
      </w:r>
    </w:p>
    <w:p>
      <w:r/>
      <w:r>
        <w:rPr>
          <w:b/>
        </w:rPr>
        <w:t>Evidence:</w:t>
      </w:r>
      <w:r>
        <w:t xml:space="preserve"> uploaded Table V; output/runs/primary/rq1_characteristics.csv, also retained in output/phase4/rq1_characteristics.csv. </w:t>
      </w:r>
      <w:r>
        <w:rPr>
          <w:b/>
        </w:rPr>
        <w:t>Status:</w:t>
      </w:r>
      <w:r>
        <w:t xml:space="preserve"> a presentation change using existing results; ready for your review.</w:t>
      </w:r>
    </w:p>
    <w:p>
      <w:r>
        <w:br w:type="page"/>
      </w:r>
    </w:p>
    <w:p>
      <w:pPr>
        <w:pStyle w:val="Heading1"/>
      </w:pPr>
      <w:r>
        <w:t>4. Traceable screening sensitivities</w:t>
      </w:r>
    </w:p>
    <w:p>
      <w:r/>
      <w:r>
        <w:rPr>
          <w:b/>
        </w:rPr>
        <w:t>Location:</w:t>
      </w:r>
      <w:r>
        <w:t xml:space="preserve"> Page 6, Table VI.</w:t>
      </w:r>
    </w:p>
    <w:p>
      <w:r/>
      <w:r>
        <w:rPr>
          <w:b/>
        </w:rPr>
        <w:t>Feedback:</w:t>
      </w:r>
      <w:r>
        <w:t xml:space="preserve"> Present screening sensitivity scenarios in more detail, preferably in supplementary material.</w:t>
      </w:r>
    </w:p>
    <w:p>
      <w:pPr>
        <w:pStyle w:val="Heading3"/>
      </w:pPr>
      <w:r>
        <w:t>Proposed solution</w:t>
      </w:r>
    </w:p>
    <w:p>
      <w:r>
        <w:t xml:space="preserve">Keep the main-paper summary concise and add </w:t>
      </w:r>
      <w:r>
        <w:rPr>
          <w:b/>
        </w:rPr>
        <w:t>Supplementary Table S1</w:t>
      </w:r>
      <w:r>
        <w:t xml:space="preserve"> with linked panels for rule definitions and results. Give every scenario its own row. Separate S1b from S1d and unpack the “Same*” row: identical observed outputs do not make different rules equivalent.</w:t>
      </w:r>
    </w:p>
    <w:p>
      <w:r/>
      <w:r>
        <w:rPr>
          <w:b/>
        </w:rPr>
        <w:t>Proposed Supplementary Table S1, Panel A — Rule definitions</w:t>
      </w:r>
      <w:r/>
    </w:p>
    <w:tbl>
      <w:tblPr>
        <w:tblW w:type="auto" w:w="0"/>
        <w:jc w:val="center"/>
        <w:tblLayout w:type="fixed"/>
        <w:tblLook w:firstColumn="1" w:firstRow="1" w:lastColumn="0" w:lastRow="0" w:noHBand="0" w:noVBand="1" w:val="04A0"/>
      </w:tblPr>
      <w:tblGrid>
        <w:gridCol w:w="749"/>
        <w:gridCol w:w="9130"/>
      </w:tblGrid>
      <w:tr>
        <w:trPr>
          <w:cantSplit/>
          <w:tblHeader/>
        </w:trPr>
        <w:tc>
          <w:tcPr>
            <w:tcW w:type="dxa" w:w="749"/>
            <w:vAlign w:val="center"/>
            <w:tcMar>
              <w:top w:w="65" w:type="dxa"/>
              <w:left w:w="75" w:type="dxa"/>
              <w:bottom w:w="65" w:type="dxa"/>
              <w:right w:w="75" w:type="dxa"/>
            </w:tcMar>
            <w:shd w:fill="244D68"/>
          </w:tcPr>
          <w:p>
            <w:pPr>
              <w:keepNext w:val="0"/>
              <w:spacing w:after="0" w:before="0" w:line="245" w:lineRule="auto"/>
            </w:pPr>
            <w:r>
              <w:rPr>
                <w:b/>
                <w:color w:val="FFFFFF"/>
                <w:sz w:val="18"/>
              </w:rPr>
              <w:t>ID</w:t>
            </w:r>
          </w:p>
        </w:tc>
        <w:tc>
          <w:tcPr>
            <w:tcW w:type="dxa" w:w="9130"/>
            <w:vAlign w:val="center"/>
            <w:tcMar>
              <w:top w:w="65" w:type="dxa"/>
              <w:left w:w="75" w:type="dxa"/>
              <w:bottom w:w="65" w:type="dxa"/>
              <w:right w:w="75" w:type="dxa"/>
            </w:tcMar>
            <w:shd w:fill="244D68"/>
          </w:tcPr>
          <w:p>
            <w:pPr>
              <w:keepNext w:val="0"/>
              <w:spacing w:after="0" w:before="0" w:line="245" w:lineRule="auto"/>
            </w:pPr>
            <w:r>
              <w:rPr>
                <w:b/>
                <w:color w:val="FFFFFF"/>
                <w:sz w:val="18"/>
              </w:rPr>
              <w:t>Change from the primary screen</w:t>
            </w:r>
          </w:p>
        </w:tc>
      </w:tr>
      <w:tr>
        <w:trPr>
          <w:cantSplit/>
        </w:trPr>
        <w:tc>
          <w:tcPr>
            <w:tcW w:type="dxa" w:w="749"/>
            <w:vAlign w:val="center"/>
            <w:tcMar>
              <w:top w:w="65" w:type="dxa"/>
              <w:left w:w="75" w:type="dxa"/>
              <w:bottom w:w="65" w:type="dxa"/>
              <w:right w:w="75" w:type="dxa"/>
            </w:tcMar>
            <w:shd w:fill="F0F5F8"/>
          </w:tcPr>
          <w:p>
            <w:pPr>
              <w:keepNext w:val="0"/>
              <w:spacing w:after="0" w:before="0" w:line="245" w:lineRule="auto"/>
            </w:pPr>
            <w:r>
              <w:rPr>
                <w:sz w:val="18"/>
              </w:rPr>
              <w:t>S0</w:t>
            </w:r>
          </w:p>
        </w:tc>
        <w:tc>
          <w:tcPr>
            <w:tcW w:type="dxa" w:w="9130"/>
            <w:vAlign w:val="center"/>
            <w:tcMar>
              <w:top w:w="65" w:type="dxa"/>
              <w:left w:w="75" w:type="dxa"/>
              <w:bottom w:w="65" w:type="dxa"/>
              <w:right w:w="75" w:type="dxa"/>
            </w:tcMar>
            <w:shd w:fill="F0F5F8"/>
          </w:tcPr>
          <w:p>
            <w:pPr>
              <w:keepNext w:val="0"/>
              <w:spacing w:after="0" w:before="0" w:line="245" w:lineRule="auto"/>
            </w:pPr>
            <w:r>
              <w:rPr>
                <w:sz w:val="18"/>
              </w:rPr>
              <w:t>Interview-month income ceilings; private-income proxy excludes social assistance; conservative spouse linkage; own disability/war-veterans receipt fails; resolved current OPG receipt defines the outcome.</w:t>
            </w:r>
          </w:p>
        </w:tc>
      </w:tr>
      <w:tr>
        <w:trPr>
          <w:cantSplit/>
        </w:trPr>
        <w:tc>
          <w:tcPr>
            <w:tcW w:type="dxa" w:w="749"/>
            <w:vAlign w:val="center"/>
            <w:tcMar>
              <w:top w:w="65" w:type="dxa"/>
              <w:left w:w="75" w:type="dxa"/>
              <w:bottom w:w="65" w:type="dxa"/>
              <w:right w:w="75" w:type="dxa"/>
            </w:tcMar>
            <w:shd w:fill="FFFFFF"/>
          </w:tcPr>
          <w:p>
            <w:pPr>
              <w:keepNext w:val="0"/>
              <w:spacing w:after="0" w:before="0" w:line="245" w:lineRule="auto"/>
            </w:pPr>
            <w:r>
              <w:rPr>
                <w:sz w:val="18"/>
              </w:rPr>
              <w:t>S1a</w:t>
            </w:r>
          </w:p>
        </w:tc>
        <w:tc>
          <w:tcPr>
            <w:tcW w:type="dxa" w:w="9130"/>
            <w:vAlign w:val="center"/>
            <w:tcMar>
              <w:top w:w="65" w:type="dxa"/>
              <w:left w:w="75" w:type="dxa"/>
              <w:bottom w:w="65" w:type="dxa"/>
              <w:right w:w="75" w:type="dxa"/>
            </w:tcMar>
            <w:shd w:fill="FFFFFF"/>
          </w:tcPr>
          <w:p>
            <w:pPr>
              <w:keepNext w:val="0"/>
              <w:spacing w:after="0" w:before="0" w:line="245" w:lineRule="auto"/>
            </w:pPr>
            <w:r>
              <w:rPr>
                <w:sz w:val="18"/>
              </w:rPr>
              <w:t>Apply R61,800/R123,600 at every interview.</w:t>
            </w:r>
          </w:p>
        </w:tc>
      </w:tr>
      <w:tr>
        <w:trPr>
          <w:cantSplit/>
        </w:trPr>
        <w:tc>
          <w:tcPr>
            <w:tcW w:type="dxa" w:w="749"/>
            <w:vAlign w:val="center"/>
            <w:tcMar>
              <w:top w:w="65" w:type="dxa"/>
              <w:left w:w="75" w:type="dxa"/>
              <w:bottom w:w="65" w:type="dxa"/>
              <w:right w:w="75" w:type="dxa"/>
            </w:tcMar>
            <w:shd w:fill="F0F5F8"/>
          </w:tcPr>
          <w:p>
            <w:pPr>
              <w:keepNext w:val="0"/>
              <w:spacing w:after="0" w:before="0" w:line="245" w:lineRule="auto"/>
            </w:pPr>
            <w:r>
              <w:rPr>
                <w:sz w:val="18"/>
              </w:rPr>
              <w:t>S1b</w:t>
            </w:r>
          </w:p>
        </w:tc>
        <w:tc>
          <w:tcPr>
            <w:tcW w:type="dxa" w:w="9130"/>
            <w:vAlign w:val="center"/>
            <w:tcMar>
              <w:top w:w="65" w:type="dxa"/>
              <w:left w:w="75" w:type="dxa"/>
              <w:bottom w:w="65" w:type="dxa"/>
              <w:right w:w="75" w:type="dxa"/>
            </w:tcMar>
            <w:shd w:fill="F0F5F8"/>
          </w:tcPr>
          <w:p>
            <w:pPr>
              <w:keepNext w:val="0"/>
              <w:spacing w:after="0" w:before="0" w:line="245" w:lineRule="auto"/>
            </w:pPr>
            <w:r>
              <w:rPr>
                <w:sz w:val="18"/>
              </w:rPr>
              <w:t>Apply R64,680/R129,360 at every interview.</w:t>
            </w:r>
          </w:p>
        </w:tc>
      </w:tr>
      <w:tr>
        <w:trPr>
          <w:cantSplit/>
        </w:trPr>
        <w:tc>
          <w:tcPr>
            <w:tcW w:type="dxa" w:w="749"/>
            <w:vAlign w:val="center"/>
            <w:tcMar>
              <w:top w:w="65" w:type="dxa"/>
              <w:left w:w="75" w:type="dxa"/>
              <w:bottom w:w="65" w:type="dxa"/>
              <w:right w:w="75" w:type="dxa"/>
            </w:tcMar>
            <w:shd w:fill="FFFFFF"/>
          </w:tcPr>
          <w:p>
            <w:pPr>
              <w:keepNext w:val="0"/>
              <w:spacing w:after="0" w:before="0" w:line="245" w:lineRule="auto"/>
            </w:pPr>
            <w:r>
              <w:rPr>
                <w:sz w:val="18"/>
              </w:rPr>
              <w:t>S1c</w:t>
            </w:r>
          </w:p>
        </w:tc>
        <w:tc>
          <w:tcPr>
            <w:tcW w:type="dxa" w:w="9130"/>
            <w:vAlign w:val="center"/>
            <w:tcMar>
              <w:top w:w="65" w:type="dxa"/>
              <w:left w:w="75" w:type="dxa"/>
              <w:bottom w:w="65" w:type="dxa"/>
              <w:right w:w="75" w:type="dxa"/>
            </w:tcMar>
            <w:shd w:fill="FFFFFF"/>
          </w:tcPr>
          <w:p>
            <w:pPr>
              <w:keepNext w:val="0"/>
              <w:spacing w:after="0" w:before="0" w:line="245" w:lineRule="auto"/>
            </w:pPr>
            <w:r>
              <w:rPr>
                <w:sz w:val="18"/>
              </w:rPr>
              <w:t>For an applicant aged 75+, add R960 to the single ceiling and double that resulting ceiling for couples (+R1,920). This is an applicant-age research simplification, not complete spouse-specific age treatment.</w:t>
            </w:r>
          </w:p>
        </w:tc>
      </w:tr>
      <w:tr>
        <w:trPr>
          <w:cantSplit/>
        </w:trPr>
        <w:tc>
          <w:tcPr>
            <w:tcW w:type="dxa" w:w="749"/>
            <w:vAlign w:val="center"/>
            <w:tcMar>
              <w:top w:w="65" w:type="dxa"/>
              <w:left w:w="75" w:type="dxa"/>
              <w:bottom w:w="65" w:type="dxa"/>
              <w:right w:w="75" w:type="dxa"/>
            </w:tcMar>
            <w:shd w:fill="F0F5F8"/>
          </w:tcPr>
          <w:p>
            <w:pPr>
              <w:keepNext w:val="0"/>
              <w:spacing w:after="0" w:before="0" w:line="245" w:lineRule="auto"/>
            </w:pPr>
            <w:r>
              <w:rPr>
                <w:sz w:val="18"/>
              </w:rPr>
              <w:t>S1d</w:t>
            </w:r>
          </w:p>
        </w:tc>
        <w:tc>
          <w:tcPr>
            <w:tcW w:type="dxa" w:w="9130"/>
            <w:vAlign w:val="center"/>
            <w:tcMar>
              <w:top w:w="65" w:type="dxa"/>
              <w:left w:w="75" w:type="dxa"/>
              <w:bottom w:w="65" w:type="dxa"/>
              <w:right w:w="75" w:type="dxa"/>
            </w:tcMar>
            <w:shd w:fill="F0F5F8"/>
          </w:tcPr>
          <w:p>
            <w:pPr>
              <w:keepNext w:val="0"/>
              <w:spacing w:after="0" w:before="0" w:line="245" w:lineRule="auto"/>
            </w:pPr>
            <w:r>
              <w:rPr>
                <w:sz w:val="18"/>
              </w:rPr>
              <w:t>Use zero-payment ceilings: R64,800/R129,600 before April 2015; R67,680/R135,360 from April 2015. Equality fails. S0 instead uses the R1,200 annual minimum-payment boundary.</w:t>
            </w:r>
          </w:p>
        </w:tc>
      </w:tr>
      <w:tr>
        <w:trPr>
          <w:cantSplit/>
        </w:trPr>
        <w:tc>
          <w:tcPr>
            <w:tcW w:type="dxa" w:w="749"/>
            <w:vAlign w:val="center"/>
            <w:tcMar>
              <w:top w:w="65" w:type="dxa"/>
              <w:left w:w="75" w:type="dxa"/>
              <w:bottom w:w="65" w:type="dxa"/>
              <w:right w:w="75" w:type="dxa"/>
            </w:tcMar>
            <w:shd w:fill="FFFFFF"/>
          </w:tcPr>
          <w:p>
            <w:pPr>
              <w:keepNext w:val="0"/>
              <w:spacing w:after="0" w:before="0" w:line="245" w:lineRule="auto"/>
            </w:pPr>
            <w:r>
              <w:rPr>
                <w:sz w:val="18"/>
              </w:rPr>
              <w:t>S2a</w:t>
            </w:r>
          </w:p>
        </w:tc>
        <w:tc>
          <w:tcPr>
            <w:tcW w:type="dxa" w:w="9130"/>
            <w:vAlign w:val="center"/>
            <w:tcMar>
              <w:top w:w="65" w:type="dxa"/>
              <w:left w:w="75" w:type="dxa"/>
              <w:bottom w:w="65" w:type="dxa"/>
              <w:right w:w="75" w:type="dxa"/>
            </w:tcMar>
            <w:shd w:fill="FFFFFF"/>
          </w:tcPr>
          <w:p>
            <w:pPr>
              <w:keepNext w:val="0"/>
              <w:spacing w:after="0" w:before="0" w:line="245" w:lineRule="auto"/>
            </w:pPr>
            <w:r>
              <w:rPr>
                <w:sz w:val="18"/>
              </w:rPr>
              <w:t>Screen reported living together as a couple where a resident partner can be linked, retaining the linkage and income checks.</w:t>
            </w:r>
          </w:p>
        </w:tc>
      </w:tr>
      <w:tr>
        <w:trPr>
          <w:cantSplit/>
        </w:trPr>
        <w:tc>
          <w:tcPr>
            <w:tcW w:type="dxa" w:w="749"/>
            <w:vAlign w:val="center"/>
            <w:tcMar>
              <w:top w:w="65" w:type="dxa"/>
              <w:left w:w="75" w:type="dxa"/>
              <w:bottom w:w="65" w:type="dxa"/>
              <w:right w:w="75" w:type="dxa"/>
            </w:tcMar>
            <w:shd w:fill="F0F5F8"/>
          </w:tcPr>
          <w:p>
            <w:pPr>
              <w:keepNext w:val="0"/>
              <w:spacing w:after="0" w:before="0" w:line="245" w:lineRule="auto"/>
            </w:pPr>
            <w:r>
              <w:rPr>
                <w:sz w:val="18"/>
              </w:rPr>
              <w:t>S2b</w:t>
            </w:r>
          </w:p>
        </w:tc>
        <w:tc>
          <w:tcPr>
            <w:tcW w:type="dxa" w:w="9130"/>
            <w:vAlign w:val="center"/>
            <w:tcMar>
              <w:top w:w="65" w:type="dxa"/>
              <w:left w:w="75" w:type="dxa"/>
              <w:bottom w:w="65" w:type="dxa"/>
              <w:right w:w="75" w:type="dxa"/>
            </w:tcMar>
            <w:shd w:fill="F0F5F8"/>
          </w:tcPr>
          <w:p>
            <w:pPr>
              <w:keepNext w:val="0"/>
              <w:spacing w:after="0" w:before="0" w:line="245" w:lineRule="auto"/>
            </w:pPr>
            <w:r>
              <w:rPr>
                <w:sz w:val="18"/>
              </w:rPr>
              <w:t>Screen reported living together as single.</w:t>
            </w:r>
          </w:p>
        </w:tc>
      </w:tr>
      <w:tr>
        <w:trPr>
          <w:cantSplit/>
        </w:trPr>
        <w:tc>
          <w:tcPr>
            <w:tcW w:type="dxa" w:w="749"/>
            <w:vAlign w:val="center"/>
            <w:tcMar>
              <w:top w:w="65" w:type="dxa"/>
              <w:left w:w="75" w:type="dxa"/>
              <w:bottom w:w="65" w:type="dxa"/>
              <w:right w:w="75" w:type="dxa"/>
            </w:tcMar>
            <w:shd w:fill="FFFFFF"/>
          </w:tcPr>
          <w:p>
            <w:pPr>
              <w:keepNext w:val="0"/>
              <w:spacing w:after="0" w:before="0" w:line="245" w:lineRule="auto"/>
            </w:pPr>
            <w:r>
              <w:rPr>
                <w:sz w:val="18"/>
              </w:rPr>
              <w:t>S2c</w:t>
            </w:r>
          </w:p>
        </w:tc>
        <w:tc>
          <w:tcPr>
            <w:tcW w:type="dxa" w:w="9130"/>
            <w:vAlign w:val="center"/>
            <w:tcMar>
              <w:top w:w="65" w:type="dxa"/>
              <w:left w:w="75" w:type="dxa"/>
              <w:bottom w:w="65" w:type="dxa"/>
              <w:right w:w="75" w:type="dxa"/>
            </w:tcMar>
            <w:shd w:fill="FFFFFF"/>
          </w:tcPr>
          <w:p>
            <w:pPr>
              <w:keepNext w:val="0"/>
              <w:spacing w:after="0" w:before="0" w:line="245" w:lineRule="auto"/>
            </w:pPr>
            <w:r>
              <w:rPr>
                <w:sz w:val="18"/>
              </w:rPr>
              <w:t>Screen reported separated as single.</w:t>
            </w:r>
          </w:p>
        </w:tc>
      </w:tr>
      <w:tr>
        <w:trPr>
          <w:cantSplit/>
        </w:trPr>
        <w:tc>
          <w:tcPr>
            <w:tcW w:type="dxa" w:w="749"/>
            <w:vAlign w:val="center"/>
            <w:tcMar>
              <w:top w:w="65" w:type="dxa"/>
              <w:left w:w="75" w:type="dxa"/>
              <w:bottom w:w="65" w:type="dxa"/>
              <w:right w:w="75" w:type="dxa"/>
            </w:tcMar>
            <w:shd w:fill="F0F5F8"/>
          </w:tcPr>
          <w:p>
            <w:pPr>
              <w:keepNext w:val="0"/>
              <w:spacing w:after="0" w:before="0" w:line="245" w:lineRule="auto"/>
            </w:pPr>
            <w:r>
              <w:rPr>
                <w:sz w:val="18"/>
              </w:rPr>
              <w:t>S2d</w:t>
            </w:r>
          </w:p>
        </w:tc>
        <w:tc>
          <w:tcPr>
            <w:tcW w:type="dxa" w:w="9130"/>
            <w:vAlign w:val="center"/>
            <w:tcMar>
              <w:top w:w="65" w:type="dxa"/>
              <w:left w:w="75" w:type="dxa"/>
              <w:bottom w:w="65" w:type="dxa"/>
              <w:right w:w="75" w:type="dxa"/>
            </w:tcMar>
            <w:shd w:fill="F0F5F8"/>
          </w:tcPr>
          <w:p>
            <w:pPr>
              <w:keepNext w:val="0"/>
              <w:spacing w:after="0" w:before="0" w:line="245" w:lineRule="auto"/>
            </w:pPr>
            <w:r>
              <w:rPr>
                <w:sz w:val="18"/>
              </w:rPr>
              <w:t>Screen both living together and separated as single.</w:t>
            </w:r>
          </w:p>
        </w:tc>
      </w:tr>
      <w:tr>
        <w:trPr>
          <w:cantSplit/>
        </w:trPr>
        <w:tc>
          <w:tcPr>
            <w:tcW w:type="dxa" w:w="749"/>
            <w:vAlign w:val="center"/>
            <w:tcMar>
              <w:top w:w="65" w:type="dxa"/>
              <w:left w:w="75" w:type="dxa"/>
              <w:bottom w:w="65" w:type="dxa"/>
              <w:right w:w="75" w:type="dxa"/>
            </w:tcMar>
            <w:shd w:fill="FFFFFF"/>
          </w:tcPr>
          <w:p>
            <w:pPr>
              <w:keepNext w:val="0"/>
              <w:spacing w:after="0" w:before="0" w:line="245" w:lineRule="auto"/>
            </w:pPr>
            <w:r>
              <w:rPr>
                <w:sz w:val="18"/>
              </w:rPr>
              <w:t>S3</w:t>
            </w:r>
          </w:p>
        </w:tc>
        <w:tc>
          <w:tcPr>
            <w:tcW w:type="dxa" w:w="9130"/>
            <w:vAlign w:val="center"/>
            <w:tcMar>
              <w:top w:w="65" w:type="dxa"/>
              <w:left w:w="75" w:type="dxa"/>
              <w:bottom w:w="65" w:type="dxa"/>
              <w:right w:w="75" w:type="dxa"/>
            </w:tcMar>
            <w:shd w:fill="FFFFFF"/>
          </w:tcPr>
          <w:p>
            <w:pPr>
              <w:keepNext w:val="0"/>
              <w:spacing w:after="0" w:before="0" w:line="245" w:lineRule="auto"/>
            </w:pPr>
            <w:r>
              <w:rPr>
                <w:sz w:val="18"/>
              </w:rPr>
              <w:t>Retain own disability/war-veterans grant recipients, keeping other rules. No war-veterans recipient was added in these data.</w:t>
            </w:r>
          </w:p>
        </w:tc>
      </w:tr>
      <w:tr>
        <w:trPr>
          <w:cantSplit/>
        </w:trPr>
        <w:tc>
          <w:tcPr>
            <w:tcW w:type="dxa" w:w="749"/>
            <w:vAlign w:val="center"/>
            <w:tcMar>
              <w:top w:w="65" w:type="dxa"/>
              <w:left w:w="75" w:type="dxa"/>
              <w:bottom w:w="65" w:type="dxa"/>
              <w:right w:w="75" w:type="dxa"/>
            </w:tcMar>
            <w:shd w:fill="F0F5F8"/>
          </w:tcPr>
          <w:p>
            <w:pPr>
              <w:keepNext w:val="0"/>
              <w:spacing w:after="0" w:before="0" w:line="245" w:lineRule="auto"/>
            </w:pPr>
            <w:r>
              <w:rPr>
                <w:sz w:val="18"/>
              </w:rPr>
              <w:t>S4a</w:t>
            </w:r>
          </w:p>
        </w:tc>
        <w:tc>
          <w:tcPr>
            <w:tcW w:type="dxa" w:w="9130"/>
            <w:vAlign w:val="center"/>
            <w:tcMar>
              <w:top w:w="65" w:type="dxa"/>
              <w:left w:w="75" w:type="dxa"/>
              <w:bottom w:w="65" w:type="dxa"/>
              <w:right w:w="75" w:type="dxa"/>
            </w:tcMar>
            <w:shd w:fill="F0F5F8"/>
          </w:tcPr>
          <w:p>
            <w:pPr>
              <w:keepNext w:val="0"/>
              <w:spacing w:after="0" w:before="0" w:line="245" w:lineRule="auto"/>
            </w:pPr>
            <w:r>
              <w:rPr>
                <w:sz w:val="18"/>
              </w:rPr>
              <w:t>Compare released CPI-adjusted annualised income with nominal ceilings. This is a price-base mismatch diagnostic, not a preferred means-test specification.</w:t>
            </w:r>
          </w:p>
        </w:tc>
      </w:tr>
      <w:tr>
        <w:trPr>
          <w:cantSplit/>
        </w:trPr>
        <w:tc>
          <w:tcPr>
            <w:tcW w:type="dxa" w:w="749"/>
            <w:vAlign w:val="center"/>
            <w:tcMar>
              <w:top w:w="65" w:type="dxa"/>
              <w:left w:w="75" w:type="dxa"/>
              <w:bottom w:w="65" w:type="dxa"/>
              <w:right w:w="75" w:type="dxa"/>
            </w:tcMar>
            <w:shd w:fill="FFFFFF"/>
          </w:tcPr>
          <w:p>
            <w:pPr>
              <w:keepNext w:val="0"/>
              <w:spacing w:after="0" w:before="0" w:line="245" w:lineRule="auto"/>
            </w:pPr>
            <w:r>
              <w:rPr>
                <w:sz w:val="18"/>
              </w:rPr>
              <w:t>S4b</w:t>
            </w:r>
          </w:p>
        </w:tc>
        <w:tc>
          <w:tcPr>
            <w:tcW w:type="dxa" w:w="9130"/>
            <w:vAlign w:val="center"/>
            <w:tcMar>
              <w:top w:w="65" w:type="dxa"/>
              <w:left w:w="75" w:type="dxa"/>
              <w:bottom w:w="65" w:type="dxa"/>
              <w:right w:w="75" w:type="dxa"/>
            </w:tcMar>
            <w:shd w:fill="FFFFFF"/>
          </w:tcPr>
          <w:p>
            <w:pPr>
              <w:keepNext w:val="0"/>
              <w:spacing w:after="0" w:before="0" w:line="245" w:lineRule="auto"/>
            </w:pPr>
            <w:r>
              <w:rPr>
                <w:sz w:val="18"/>
              </w:rPr>
              <w:t>Retain social-assistance income in the resource proxy.</w:t>
            </w:r>
          </w:p>
        </w:tc>
      </w:tr>
      <w:tr>
        <w:trPr>
          <w:cantSplit/>
        </w:trPr>
        <w:tc>
          <w:tcPr>
            <w:tcW w:type="dxa" w:w="749"/>
            <w:vAlign w:val="center"/>
            <w:tcMar>
              <w:top w:w="65" w:type="dxa"/>
              <w:left w:w="75" w:type="dxa"/>
              <w:bottom w:w="65" w:type="dxa"/>
              <w:right w:w="75" w:type="dxa"/>
            </w:tcMar>
            <w:shd w:fill="F0F5F8"/>
          </w:tcPr>
          <w:p>
            <w:pPr>
              <w:keepNext w:val="0"/>
              <w:spacing w:after="0" w:before="0" w:line="245" w:lineRule="auto"/>
            </w:pPr>
            <w:r>
              <w:rPr>
                <w:sz w:val="18"/>
              </w:rPr>
              <w:t>S4c</w:t>
            </w:r>
          </w:p>
        </w:tc>
        <w:tc>
          <w:tcPr>
            <w:tcW w:type="dxa" w:w="9130"/>
            <w:vAlign w:val="center"/>
            <w:tcMar>
              <w:top w:w="65" w:type="dxa"/>
              <w:left w:w="75" w:type="dxa"/>
              <w:bottom w:w="65" w:type="dxa"/>
              <w:right w:w="75" w:type="dxa"/>
            </w:tcMar>
            <w:shd w:fill="F0F5F8"/>
          </w:tcPr>
          <w:p>
            <w:pPr>
              <w:keepNext w:val="0"/>
              <w:spacing w:after="0" w:before="0" w:line="245" w:lineRule="auto"/>
            </w:pPr>
            <w:r>
              <w:rPr>
                <w:sz w:val="18"/>
              </w:rPr>
              <w:t>Also exclude workmen’s compensation, UIF and similar-fund income, COICOP 50333600.</w:t>
            </w:r>
          </w:p>
        </w:tc>
      </w:tr>
      <w:tr>
        <w:trPr>
          <w:cantSplit/>
        </w:trPr>
        <w:tc>
          <w:tcPr>
            <w:tcW w:type="dxa" w:w="749"/>
            <w:vAlign w:val="center"/>
            <w:tcMar>
              <w:top w:w="65" w:type="dxa"/>
              <w:left w:w="75" w:type="dxa"/>
              <w:bottom w:w="65" w:type="dxa"/>
              <w:right w:w="75" w:type="dxa"/>
            </w:tcMar>
            <w:shd w:fill="FFFFFF"/>
          </w:tcPr>
          <w:p>
            <w:pPr>
              <w:keepNext w:val="0"/>
              <w:spacing w:after="0" w:before="0" w:line="245" w:lineRule="auto"/>
            </w:pPr>
            <w:r>
              <w:rPr>
                <w:sz w:val="18"/>
              </w:rPr>
              <w:t>S5</w:t>
            </w:r>
          </w:p>
        </w:tc>
        <w:tc>
          <w:tcPr>
            <w:tcW w:type="dxa" w:w="9130"/>
            <w:vAlign w:val="center"/>
            <w:tcMar>
              <w:top w:w="65" w:type="dxa"/>
              <w:left w:w="75" w:type="dxa"/>
              <w:bottom w:w="65" w:type="dxa"/>
              <w:right w:w="75" w:type="dxa"/>
            </w:tcMar>
            <w:shd w:fill="FFFFFF"/>
          </w:tcPr>
          <w:p>
            <w:pPr>
              <w:keepNext w:val="0"/>
              <w:spacing w:after="0" w:before="0" w:line="245" w:lineRule="auto"/>
            </w:pPr>
            <w:r>
              <w:rPr>
                <w:sz w:val="18"/>
              </w:rPr>
              <w:t>Use preceding-year OPG income to resolve current-versus-prior-period receipt disagreements; keep the eligibility screen fixed.</w:t>
            </w:r>
          </w:p>
        </w:tc>
      </w:tr>
      <w:tr>
        <w:trPr>
          <w:cantSplit/>
        </w:trPr>
        <w:tc>
          <w:tcPr>
            <w:tcW w:type="dxa" w:w="749"/>
            <w:vAlign w:val="center"/>
            <w:tcMar>
              <w:top w:w="65" w:type="dxa"/>
              <w:left w:w="75" w:type="dxa"/>
              <w:bottom w:w="65" w:type="dxa"/>
              <w:right w:w="75" w:type="dxa"/>
            </w:tcMar>
            <w:shd w:fill="F0F5F8"/>
          </w:tcPr>
          <w:p>
            <w:pPr>
              <w:keepNext w:val="0"/>
              <w:spacing w:after="0" w:before="0" w:line="245" w:lineRule="auto"/>
            </w:pPr>
            <w:r>
              <w:rPr>
                <w:sz w:val="18"/>
              </w:rPr>
              <w:t>S6a</w:t>
            </w:r>
          </w:p>
        </w:tc>
        <w:tc>
          <w:tcPr>
            <w:tcW w:type="dxa" w:w="9130"/>
            <w:vAlign w:val="center"/>
            <w:tcMar>
              <w:top w:w="65" w:type="dxa"/>
              <w:left w:w="75" w:type="dxa"/>
              <w:bottom w:w="65" w:type="dxa"/>
              <w:right w:w="75" w:type="dxa"/>
            </w:tcMar>
            <w:shd w:fill="F0F5F8"/>
          </w:tcPr>
          <w:p>
            <w:pPr>
              <w:keepNext w:val="0"/>
              <w:spacing w:after="0" w:before="0" w:line="245" w:lineRule="auto"/>
            </w:pPr>
            <w:r>
              <w:rPr>
                <w:sz w:val="18"/>
              </w:rPr>
              <w:t>Assign unresolved receipt among PASS adults to receipt.</w:t>
            </w:r>
          </w:p>
        </w:tc>
      </w:tr>
      <w:tr>
        <w:trPr>
          <w:cantSplit/>
        </w:trPr>
        <w:tc>
          <w:tcPr>
            <w:tcW w:type="dxa" w:w="749"/>
            <w:vAlign w:val="center"/>
            <w:tcMar>
              <w:top w:w="65" w:type="dxa"/>
              <w:left w:w="75" w:type="dxa"/>
              <w:bottom w:w="65" w:type="dxa"/>
              <w:right w:w="75" w:type="dxa"/>
            </w:tcMar>
            <w:shd w:fill="FFFFFF"/>
          </w:tcPr>
          <w:p>
            <w:pPr>
              <w:keepNext w:val="0"/>
              <w:spacing w:after="0" w:before="0" w:line="245" w:lineRule="auto"/>
            </w:pPr>
            <w:r>
              <w:rPr>
                <w:sz w:val="18"/>
              </w:rPr>
              <w:t>S6b</w:t>
            </w:r>
          </w:p>
        </w:tc>
        <w:tc>
          <w:tcPr>
            <w:tcW w:type="dxa" w:w="9130"/>
            <w:vAlign w:val="center"/>
            <w:tcMar>
              <w:top w:w="65" w:type="dxa"/>
              <w:left w:w="75" w:type="dxa"/>
              <w:bottom w:w="65" w:type="dxa"/>
              <w:right w:w="75" w:type="dxa"/>
            </w:tcMar>
            <w:shd w:fill="FFFFFF"/>
          </w:tcPr>
          <w:p>
            <w:pPr>
              <w:keepNext w:val="0"/>
              <w:spacing w:after="0" w:before="0" w:line="245" w:lineRule="auto"/>
            </w:pPr>
            <w:r>
              <w:rPr>
                <w:sz w:val="18"/>
              </w:rPr>
              <w:t>Assign unresolved receipt among PASS adults to non-receipt.</w:t>
            </w:r>
          </w:p>
        </w:tc>
      </w:tr>
    </w:tbl>
    <w:p>
      <w:pPr>
        <w:spacing w:after="0"/>
      </w:pPr>
    </w:p>
    <w:p>
      <w:r/>
      <w:r>
        <w:rPr>
          <w:b/>
        </w:rPr>
        <w:t>Interpretive safeguards:</w:t>
      </w:r>
      <w:r>
        <w:t xml:space="preserve"> S1c is a coding simplification; S4a deliberately compares different price bases. S6a/S6b concern unresolved receipt after PASS. They do not bound the 187 adults whose eligibility remained unresolved.</w:t>
      </w:r>
    </w:p>
    <w:p>
      <w:r>
        <w:br w:type="page"/>
      </w:r>
    </w:p>
    <w:p>
      <w:pPr>
        <w:pStyle w:val="Heading1"/>
      </w:pPr>
      <w:r>
        <w:t>4. Screening sensitivities — results and traceability</w:t>
      </w:r>
    </w:p>
    <w:p>
      <w:r/>
      <w:r>
        <w:rPr>
          <w:b/>
        </w:rPr>
        <w:t>Proposed Supplementary Table S1, Panel B — Existing descriptive results</w:t>
      </w:r>
      <w:r/>
    </w:p>
    <w:tbl>
      <w:tblPr>
        <w:tblW w:type="auto" w:w="0"/>
        <w:jc w:val="center"/>
        <w:tblLayout w:type="fixed"/>
        <w:tblLook w:firstColumn="1" w:firstRow="1" w:lastColumn="0" w:lastRow="0" w:noHBand="0" w:noVBand="1" w:val="04A0"/>
      </w:tblPr>
      <w:tblGrid>
        <w:gridCol w:w="864"/>
        <w:gridCol w:w="1224"/>
        <w:gridCol w:w="1008"/>
        <w:gridCol w:w="1008"/>
        <w:gridCol w:w="1152"/>
        <w:gridCol w:w="2160"/>
        <w:gridCol w:w="2462"/>
      </w:tblGrid>
      <w:tr>
        <w:trPr>
          <w:cantSplit/>
          <w:tblHeader/>
        </w:trPr>
        <w:tc>
          <w:tcPr>
            <w:tcW w:type="dxa" w:w="864"/>
            <w:vAlign w:val="center"/>
            <w:tcMar>
              <w:top w:w="65" w:type="dxa"/>
              <w:left w:w="75" w:type="dxa"/>
              <w:bottom w:w="65" w:type="dxa"/>
              <w:right w:w="75" w:type="dxa"/>
            </w:tcMar>
            <w:shd w:fill="244D68"/>
          </w:tcPr>
          <w:p>
            <w:pPr>
              <w:keepNext w:val="0"/>
              <w:spacing w:after="0" w:before="0" w:line="245" w:lineRule="auto"/>
            </w:pPr>
            <w:r>
              <w:rPr>
                <w:b/>
                <w:color w:val="FFFFFF"/>
                <w:sz w:val="18"/>
              </w:rPr>
              <w:t>ID</w:t>
            </w:r>
          </w:p>
        </w:tc>
        <w:tc>
          <w:tcPr>
            <w:tcW w:type="dxa" w:w="1224"/>
            <w:vAlign w:val="center"/>
            <w:tcMar>
              <w:top w:w="65" w:type="dxa"/>
              <w:left w:w="75" w:type="dxa"/>
              <w:bottom w:w="65" w:type="dxa"/>
              <w:right w:w="75" w:type="dxa"/>
            </w:tcMar>
            <w:shd w:fill="244D68"/>
          </w:tcPr>
          <w:p>
            <w:pPr>
              <w:keepNext w:val="0"/>
              <w:spacing w:after="0" w:before="0" w:line="245" w:lineRule="auto"/>
            </w:pPr>
            <w:r>
              <w:rPr>
                <w:b/>
                <w:color w:val="FFFFFF"/>
                <w:sz w:val="18"/>
              </w:rPr>
              <w:t>Adults N</w:t>
            </w:r>
          </w:p>
        </w:tc>
        <w:tc>
          <w:tcPr>
            <w:tcW w:type="dxa" w:w="1008"/>
            <w:vAlign w:val="center"/>
            <w:tcMar>
              <w:top w:w="65" w:type="dxa"/>
              <w:left w:w="75" w:type="dxa"/>
              <w:bottom w:w="65" w:type="dxa"/>
              <w:right w:w="75" w:type="dxa"/>
            </w:tcMar>
            <w:shd w:fill="244D68"/>
          </w:tcPr>
          <w:p>
            <w:pPr>
              <w:keepNext w:val="0"/>
              <w:spacing w:after="0" w:before="0" w:line="245" w:lineRule="auto"/>
            </w:pPr>
            <w:r>
              <w:rPr>
                <w:b/>
                <w:color w:val="FFFFFF"/>
                <w:sz w:val="18"/>
              </w:rPr>
              <w:t>Events</w:t>
            </w:r>
          </w:p>
        </w:tc>
        <w:tc>
          <w:tcPr>
            <w:tcW w:type="dxa" w:w="1008"/>
            <w:vAlign w:val="center"/>
            <w:tcMar>
              <w:top w:w="65" w:type="dxa"/>
              <w:left w:w="75" w:type="dxa"/>
              <w:bottom w:w="65" w:type="dxa"/>
              <w:right w:w="75" w:type="dxa"/>
            </w:tcMar>
            <w:shd w:fill="244D68"/>
          </w:tcPr>
          <w:p>
            <w:pPr>
              <w:keepNext w:val="0"/>
              <w:spacing w:after="0" w:before="0" w:line="245" w:lineRule="auto"/>
            </w:pPr>
            <w:r>
              <w:rPr>
                <w:b/>
                <w:color w:val="FFFFFF"/>
                <w:sz w:val="18"/>
              </w:rPr>
              <w:t>ΔN</w:t>
            </w:r>
          </w:p>
        </w:tc>
        <w:tc>
          <w:tcPr>
            <w:tcW w:type="dxa" w:w="1152"/>
            <w:vAlign w:val="center"/>
            <w:tcMar>
              <w:top w:w="65" w:type="dxa"/>
              <w:left w:w="75" w:type="dxa"/>
              <w:bottom w:w="65" w:type="dxa"/>
              <w:right w:w="75" w:type="dxa"/>
            </w:tcMar>
            <w:shd w:fill="244D68"/>
          </w:tcPr>
          <w:p>
            <w:pPr>
              <w:keepNext w:val="0"/>
              <w:spacing w:after="0" w:before="0" w:line="245" w:lineRule="auto"/>
            </w:pPr>
            <w:r>
              <w:rPr>
                <w:b/>
                <w:color w:val="FFFFFF"/>
                <w:sz w:val="18"/>
              </w:rPr>
              <w:t>Δevents</w:t>
            </w:r>
          </w:p>
        </w:tc>
        <w:tc>
          <w:tcPr>
            <w:tcW w:type="dxa" w:w="2160"/>
            <w:vAlign w:val="center"/>
            <w:tcMar>
              <w:top w:w="65" w:type="dxa"/>
              <w:left w:w="75" w:type="dxa"/>
              <w:bottom w:w="65" w:type="dxa"/>
              <w:right w:w="75" w:type="dxa"/>
            </w:tcMar>
            <w:shd w:fill="244D68"/>
          </w:tcPr>
          <w:p>
            <w:pPr>
              <w:keepNext w:val="0"/>
              <w:spacing w:after="0" w:before="0" w:line="245" w:lineRule="auto"/>
            </w:pPr>
            <w:r>
              <w:rPr>
                <w:b/>
                <w:color w:val="FFFFFF"/>
                <w:sz w:val="18"/>
              </w:rPr>
              <w:t>Unweighted %</w:t>
            </w:r>
          </w:p>
        </w:tc>
        <w:tc>
          <w:tcPr>
            <w:tcW w:type="dxa" w:w="2462"/>
            <w:vAlign w:val="center"/>
            <w:tcMar>
              <w:top w:w="65" w:type="dxa"/>
              <w:left w:w="75" w:type="dxa"/>
              <w:bottom w:w="65" w:type="dxa"/>
              <w:right w:w="75" w:type="dxa"/>
            </w:tcMar>
            <w:shd w:fill="244D68"/>
          </w:tcPr>
          <w:p>
            <w:pPr>
              <w:keepNext w:val="0"/>
              <w:spacing w:after="0" w:before="0" w:line="245" w:lineRule="auto"/>
            </w:pPr>
            <w:r>
              <w:rPr>
                <w:b/>
                <w:color w:val="FFFFFF"/>
                <w:sz w:val="18"/>
              </w:rPr>
              <w:t>Person-weighted %</w:t>
            </w:r>
          </w:p>
        </w:tc>
      </w:tr>
      <w:tr>
        <w:trPr>
          <w:cantSplit/>
        </w:trPr>
        <w:tc>
          <w:tcPr>
            <w:tcW w:type="dxa" w:w="864"/>
            <w:vAlign w:val="center"/>
            <w:tcMar>
              <w:top w:w="65" w:type="dxa"/>
              <w:left w:w="75" w:type="dxa"/>
              <w:bottom w:w="65" w:type="dxa"/>
              <w:right w:w="75" w:type="dxa"/>
            </w:tcMar>
            <w:shd w:fill="F0F5F8"/>
          </w:tcPr>
          <w:p>
            <w:pPr>
              <w:keepNext w:val="0"/>
              <w:spacing w:after="0" w:before="0" w:line="245" w:lineRule="auto"/>
              <w:jc w:val="left"/>
            </w:pPr>
            <w:r>
              <w:rPr>
                <w:sz w:val="18"/>
              </w:rPr>
              <w:t>S0</w:t>
            </w:r>
          </w:p>
        </w:tc>
        <w:tc>
          <w:tcPr>
            <w:tcW w:type="dxa" w:w="1224"/>
            <w:vAlign w:val="center"/>
            <w:tcMar>
              <w:top w:w="65" w:type="dxa"/>
              <w:left w:w="75" w:type="dxa"/>
              <w:bottom w:w="65" w:type="dxa"/>
              <w:right w:w="75" w:type="dxa"/>
            </w:tcMar>
            <w:shd w:fill="F0F5F8"/>
          </w:tcPr>
          <w:p>
            <w:pPr>
              <w:keepNext w:val="0"/>
              <w:spacing w:after="0" w:before="0" w:line="245" w:lineRule="auto"/>
              <w:jc w:val="right"/>
            </w:pPr>
            <w:r>
              <w:rPr>
                <w:sz w:val="18"/>
              </w:rPr>
              <w:t>1,013</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0</w:t>
            </w:r>
          </w:p>
        </w:tc>
        <w:tc>
          <w:tcPr>
            <w:tcW w:type="dxa" w:w="1152"/>
            <w:vAlign w:val="center"/>
            <w:tcMar>
              <w:top w:w="65" w:type="dxa"/>
              <w:left w:w="75" w:type="dxa"/>
              <w:bottom w:w="65" w:type="dxa"/>
              <w:right w:w="75" w:type="dxa"/>
            </w:tcMar>
            <w:shd w:fill="F0F5F8"/>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0F5F8"/>
          </w:tcPr>
          <w:p>
            <w:pPr>
              <w:keepNext w:val="0"/>
              <w:spacing w:after="0" w:before="0" w:line="245" w:lineRule="auto"/>
              <w:jc w:val="right"/>
            </w:pPr>
            <w:r>
              <w:rPr>
                <w:sz w:val="18"/>
              </w:rPr>
              <w:t>6.61</w:t>
            </w:r>
          </w:p>
        </w:tc>
        <w:tc>
          <w:tcPr>
            <w:tcW w:type="dxa" w:w="2462"/>
            <w:vAlign w:val="center"/>
            <w:tcMar>
              <w:top w:w="65" w:type="dxa"/>
              <w:left w:w="75" w:type="dxa"/>
              <w:bottom w:w="65" w:type="dxa"/>
              <w:right w:w="75" w:type="dxa"/>
            </w:tcMar>
            <w:shd w:fill="F0F5F8"/>
          </w:tcPr>
          <w:p>
            <w:pPr>
              <w:keepNext w:val="0"/>
              <w:spacing w:after="0" w:before="0" w:line="245" w:lineRule="auto"/>
              <w:jc w:val="right"/>
            </w:pPr>
            <w:r>
              <w:rPr>
                <w:sz w:val="18"/>
              </w:rPr>
              <w:t>7.49</w:t>
            </w:r>
          </w:p>
        </w:tc>
      </w:tr>
      <w:tr>
        <w:trPr>
          <w:cantSplit/>
        </w:trPr>
        <w:tc>
          <w:tcPr>
            <w:tcW w:type="dxa" w:w="864"/>
            <w:vAlign w:val="center"/>
            <w:tcMar>
              <w:top w:w="65" w:type="dxa"/>
              <w:left w:w="75" w:type="dxa"/>
              <w:bottom w:w="65" w:type="dxa"/>
              <w:right w:w="75" w:type="dxa"/>
            </w:tcMar>
            <w:shd w:fill="FFFFFF"/>
          </w:tcPr>
          <w:p>
            <w:pPr>
              <w:keepNext w:val="0"/>
              <w:spacing w:after="0" w:before="0" w:line="245" w:lineRule="auto"/>
              <w:jc w:val="left"/>
            </w:pPr>
            <w:r>
              <w:rPr>
                <w:sz w:val="18"/>
              </w:rPr>
              <w:t>S1a</w:t>
            </w:r>
          </w:p>
        </w:tc>
        <w:tc>
          <w:tcPr>
            <w:tcW w:type="dxa" w:w="1224"/>
            <w:vAlign w:val="center"/>
            <w:tcMar>
              <w:top w:w="65" w:type="dxa"/>
              <w:left w:w="75" w:type="dxa"/>
              <w:bottom w:w="65" w:type="dxa"/>
              <w:right w:w="75" w:type="dxa"/>
            </w:tcMar>
            <w:shd w:fill="FFFFFF"/>
          </w:tcPr>
          <w:p>
            <w:pPr>
              <w:keepNext w:val="0"/>
              <w:spacing w:after="0" w:before="0" w:line="245" w:lineRule="auto"/>
              <w:jc w:val="right"/>
            </w:pPr>
            <w:r>
              <w:rPr>
                <w:sz w:val="18"/>
              </w:rPr>
              <w:t>1,013</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1152"/>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FFFFF"/>
          </w:tcPr>
          <w:p>
            <w:pPr>
              <w:keepNext w:val="0"/>
              <w:spacing w:after="0" w:before="0" w:line="245" w:lineRule="auto"/>
              <w:jc w:val="right"/>
            </w:pPr>
            <w:r>
              <w:rPr>
                <w:sz w:val="18"/>
              </w:rPr>
              <w:t>6.61</w:t>
            </w:r>
          </w:p>
        </w:tc>
        <w:tc>
          <w:tcPr>
            <w:tcW w:type="dxa" w:w="2462"/>
            <w:vAlign w:val="center"/>
            <w:tcMar>
              <w:top w:w="65" w:type="dxa"/>
              <w:left w:w="75" w:type="dxa"/>
              <w:bottom w:w="65" w:type="dxa"/>
              <w:right w:w="75" w:type="dxa"/>
            </w:tcMar>
            <w:shd w:fill="FFFFFF"/>
          </w:tcPr>
          <w:p>
            <w:pPr>
              <w:keepNext w:val="0"/>
              <w:spacing w:after="0" w:before="0" w:line="245" w:lineRule="auto"/>
              <w:jc w:val="right"/>
            </w:pPr>
            <w:r>
              <w:rPr>
                <w:sz w:val="18"/>
              </w:rPr>
              <w:t>7.49</w:t>
            </w:r>
          </w:p>
        </w:tc>
      </w:tr>
      <w:tr>
        <w:trPr>
          <w:cantSplit/>
        </w:trPr>
        <w:tc>
          <w:tcPr>
            <w:tcW w:type="dxa" w:w="864"/>
            <w:vAlign w:val="center"/>
            <w:tcMar>
              <w:top w:w="65" w:type="dxa"/>
              <w:left w:w="75" w:type="dxa"/>
              <w:bottom w:w="65" w:type="dxa"/>
              <w:right w:w="75" w:type="dxa"/>
            </w:tcMar>
            <w:shd w:fill="F0F5F8"/>
          </w:tcPr>
          <w:p>
            <w:pPr>
              <w:keepNext w:val="0"/>
              <w:spacing w:after="0" w:before="0" w:line="245" w:lineRule="auto"/>
              <w:jc w:val="left"/>
            </w:pPr>
            <w:r>
              <w:rPr>
                <w:sz w:val="18"/>
              </w:rPr>
              <w:t>S1b</w:t>
            </w:r>
          </w:p>
        </w:tc>
        <w:tc>
          <w:tcPr>
            <w:tcW w:type="dxa" w:w="1224"/>
            <w:vAlign w:val="center"/>
            <w:tcMar>
              <w:top w:w="65" w:type="dxa"/>
              <w:left w:w="75" w:type="dxa"/>
              <w:bottom w:w="65" w:type="dxa"/>
              <w:right w:w="75" w:type="dxa"/>
            </w:tcMar>
            <w:shd w:fill="F0F5F8"/>
          </w:tcPr>
          <w:p>
            <w:pPr>
              <w:keepNext w:val="0"/>
              <w:spacing w:after="0" w:before="0" w:line="245" w:lineRule="auto"/>
              <w:jc w:val="right"/>
            </w:pPr>
            <w:r>
              <w:rPr>
                <w:sz w:val="18"/>
              </w:rPr>
              <w:t>1,015</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69</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+2</w:t>
            </w:r>
          </w:p>
        </w:tc>
        <w:tc>
          <w:tcPr>
            <w:tcW w:type="dxa" w:w="1152"/>
            <w:vAlign w:val="center"/>
            <w:tcMar>
              <w:top w:w="65" w:type="dxa"/>
              <w:left w:w="75" w:type="dxa"/>
              <w:bottom w:w="65" w:type="dxa"/>
              <w:right w:w="75" w:type="dxa"/>
            </w:tcMar>
            <w:shd w:fill="F0F5F8"/>
          </w:tcPr>
          <w:p>
            <w:pPr>
              <w:keepNext w:val="0"/>
              <w:spacing w:after="0" w:before="0" w:line="245" w:lineRule="auto"/>
              <w:jc w:val="right"/>
            </w:pPr>
            <w:r>
              <w:rPr>
                <w:sz w:val="18"/>
              </w:rPr>
              <w:t>+2</w:t>
            </w:r>
          </w:p>
        </w:tc>
        <w:tc>
          <w:tcPr>
            <w:tcW w:type="dxa" w:w="2160"/>
            <w:vAlign w:val="center"/>
            <w:tcMar>
              <w:top w:w="65" w:type="dxa"/>
              <w:left w:w="75" w:type="dxa"/>
              <w:bottom w:w="65" w:type="dxa"/>
              <w:right w:w="75" w:type="dxa"/>
            </w:tcMar>
            <w:shd w:fill="F0F5F8"/>
          </w:tcPr>
          <w:p>
            <w:pPr>
              <w:keepNext w:val="0"/>
              <w:spacing w:after="0" w:before="0" w:line="245" w:lineRule="auto"/>
              <w:jc w:val="right"/>
            </w:pPr>
            <w:r>
              <w:rPr>
                <w:sz w:val="18"/>
              </w:rPr>
              <w:t>6.80</w:t>
            </w:r>
          </w:p>
        </w:tc>
        <w:tc>
          <w:tcPr>
            <w:tcW w:type="dxa" w:w="2462"/>
            <w:vAlign w:val="center"/>
            <w:tcMar>
              <w:top w:w="65" w:type="dxa"/>
              <w:left w:w="75" w:type="dxa"/>
              <w:bottom w:w="65" w:type="dxa"/>
              <w:right w:w="75" w:type="dxa"/>
            </w:tcMar>
            <w:shd w:fill="F0F5F8"/>
          </w:tcPr>
          <w:p>
            <w:pPr>
              <w:keepNext w:val="0"/>
              <w:spacing w:after="0" w:before="0" w:line="245" w:lineRule="auto"/>
              <w:jc w:val="right"/>
            </w:pPr>
            <w:r>
              <w:rPr>
                <w:sz w:val="18"/>
              </w:rPr>
              <w:t>7.68</w:t>
            </w:r>
          </w:p>
        </w:tc>
      </w:tr>
      <w:tr>
        <w:trPr>
          <w:cantSplit/>
        </w:trPr>
        <w:tc>
          <w:tcPr>
            <w:tcW w:type="dxa" w:w="864"/>
            <w:vAlign w:val="center"/>
            <w:tcMar>
              <w:top w:w="65" w:type="dxa"/>
              <w:left w:w="75" w:type="dxa"/>
              <w:bottom w:w="65" w:type="dxa"/>
              <w:right w:w="75" w:type="dxa"/>
            </w:tcMar>
            <w:shd w:fill="FFFFFF"/>
          </w:tcPr>
          <w:p>
            <w:pPr>
              <w:keepNext w:val="0"/>
              <w:spacing w:after="0" w:before="0" w:line="245" w:lineRule="auto"/>
              <w:jc w:val="left"/>
            </w:pPr>
            <w:r>
              <w:rPr>
                <w:sz w:val="18"/>
              </w:rPr>
              <w:t>S1c</w:t>
            </w:r>
          </w:p>
        </w:tc>
        <w:tc>
          <w:tcPr>
            <w:tcW w:type="dxa" w:w="1224"/>
            <w:vAlign w:val="center"/>
            <w:tcMar>
              <w:top w:w="65" w:type="dxa"/>
              <w:left w:w="75" w:type="dxa"/>
              <w:bottom w:w="65" w:type="dxa"/>
              <w:right w:w="75" w:type="dxa"/>
            </w:tcMar>
            <w:shd w:fill="FFFFFF"/>
          </w:tcPr>
          <w:p>
            <w:pPr>
              <w:keepNext w:val="0"/>
              <w:spacing w:after="0" w:before="0" w:line="245" w:lineRule="auto"/>
              <w:jc w:val="right"/>
            </w:pPr>
            <w:r>
              <w:rPr>
                <w:sz w:val="18"/>
              </w:rPr>
              <w:t>1,013</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1152"/>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FFFFF"/>
          </w:tcPr>
          <w:p>
            <w:pPr>
              <w:keepNext w:val="0"/>
              <w:spacing w:after="0" w:before="0" w:line="245" w:lineRule="auto"/>
              <w:jc w:val="right"/>
            </w:pPr>
            <w:r>
              <w:rPr>
                <w:sz w:val="18"/>
              </w:rPr>
              <w:t>6.61</w:t>
            </w:r>
          </w:p>
        </w:tc>
        <w:tc>
          <w:tcPr>
            <w:tcW w:type="dxa" w:w="2462"/>
            <w:vAlign w:val="center"/>
            <w:tcMar>
              <w:top w:w="65" w:type="dxa"/>
              <w:left w:w="75" w:type="dxa"/>
              <w:bottom w:w="65" w:type="dxa"/>
              <w:right w:w="75" w:type="dxa"/>
            </w:tcMar>
            <w:shd w:fill="FFFFFF"/>
          </w:tcPr>
          <w:p>
            <w:pPr>
              <w:keepNext w:val="0"/>
              <w:spacing w:after="0" w:before="0" w:line="245" w:lineRule="auto"/>
              <w:jc w:val="right"/>
            </w:pPr>
            <w:r>
              <w:rPr>
                <w:sz w:val="18"/>
              </w:rPr>
              <w:t>7.49</w:t>
            </w:r>
          </w:p>
        </w:tc>
      </w:tr>
      <w:tr>
        <w:trPr>
          <w:cantSplit/>
        </w:trPr>
        <w:tc>
          <w:tcPr>
            <w:tcW w:type="dxa" w:w="864"/>
            <w:vAlign w:val="center"/>
            <w:tcMar>
              <w:top w:w="65" w:type="dxa"/>
              <w:left w:w="75" w:type="dxa"/>
              <w:bottom w:w="65" w:type="dxa"/>
              <w:right w:w="75" w:type="dxa"/>
            </w:tcMar>
            <w:shd w:fill="F0F5F8"/>
          </w:tcPr>
          <w:p>
            <w:pPr>
              <w:keepNext w:val="0"/>
              <w:spacing w:after="0" w:before="0" w:line="245" w:lineRule="auto"/>
              <w:jc w:val="left"/>
            </w:pPr>
            <w:r>
              <w:rPr>
                <w:sz w:val="18"/>
              </w:rPr>
              <w:t>S1d</w:t>
            </w:r>
          </w:p>
        </w:tc>
        <w:tc>
          <w:tcPr>
            <w:tcW w:type="dxa" w:w="1224"/>
            <w:vAlign w:val="center"/>
            <w:tcMar>
              <w:top w:w="65" w:type="dxa"/>
              <w:left w:w="75" w:type="dxa"/>
              <w:bottom w:w="65" w:type="dxa"/>
              <w:right w:w="75" w:type="dxa"/>
            </w:tcMar>
            <w:shd w:fill="F0F5F8"/>
          </w:tcPr>
          <w:p>
            <w:pPr>
              <w:keepNext w:val="0"/>
              <w:spacing w:after="0" w:before="0" w:line="245" w:lineRule="auto"/>
              <w:jc w:val="right"/>
            </w:pPr>
            <w:r>
              <w:rPr>
                <w:sz w:val="18"/>
              </w:rPr>
              <w:t>1,015</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69</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+2</w:t>
            </w:r>
          </w:p>
        </w:tc>
        <w:tc>
          <w:tcPr>
            <w:tcW w:type="dxa" w:w="1152"/>
            <w:vAlign w:val="center"/>
            <w:tcMar>
              <w:top w:w="65" w:type="dxa"/>
              <w:left w:w="75" w:type="dxa"/>
              <w:bottom w:w="65" w:type="dxa"/>
              <w:right w:w="75" w:type="dxa"/>
            </w:tcMar>
            <w:shd w:fill="F0F5F8"/>
          </w:tcPr>
          <w:p>
            <w:pPr>
              <w:keepNext w:val="0"/>
              <w:spacing w:after="0" w:before="0" w:line="245" w:lineRule="auto"/>
              <w:jc w:val="right"/>
            </w:pPr>
            <w:r>
              <w:rPr>
                <w:sz w:val="18"/>
              </w:rPr>
              <w:t>+2</w:t>
            </w:r>
          </w:p>
        </w:tc>
        <w:tc>
          <w:tcPr>
            <w:tcW w:type="dxa" w:w="2160"/>
            <w:vAlign w:val="center"/>
            <w:tcMar>
              <w:top w:w="65" w:type="dxa"/>
              <w:left w:w="75" w:type="dxa"/>
              <w:bottom w:w="65" w:type="dxa"/>
              <w:right w:w="75" w:type="dxa"/>
            </w:tcMar>
            <w:shd w:fill="F0F5F8"/>
          </w:tcPr>
          <w:p>
            <w:pPr>
              <w:keepNext w:val="0"/>
              <w:spacing w:after="0" w:before="0" w:line="245" w:lineRule="auto"/>
              <w:jc w:val="right"/>
            </w:pPr>
            <w:r>
              <w:rPr>
                <w:sz w:val="18"/>
              </w:rPr>
              <w:t>6.80</w:t>
            </w:r>
          </w:p>
        </w:tc>
        <w:tc>
          <w:tcPr>
            <w:tcW w:type="dxa" w:w="2462"/>
            <w:vAlign w:val="center"/>
            <w:tcMar>
              <w:top w:w="65" w:type="dxa"/>
              <w:left w:w="75" w:type="dxa"/>
              <w:bottom w:w="65" w:type="dxa"/>
              <w:right w:w="75" w:type="dxa"/>
            </w:tcMar>
            <w:shd w:fill="F0F5F8"/>
          </w:tcPr>
          <w:p>
            <w:pPr>
              <w:keepNext w:val="0"/>
              <w:spacing w:after="0" w:before="0" w:line="245" w:lineRule="auto"/>
              <w:jc w:val="right"/>
            </w:pPr>
            <w:r>
              <w:rPr>
                <w:sz w:val="18"/>
              </w:rPr>
              <w:t>7.68</w:t>
            </w:r>
          </w:p>
        </w:tc>
      </w:tr>
      <w:tr>
        <w:trPr>
          <w:cantSplit/>
        </w:trPr>
        <w:tc>
          <w:tcPr>
            <w:tcW w:type="dxa" w:w="864"/>
            <w:vAlign w:val="center"/>
            <w:tcMar>
              <w:top w:w="65" w:type="dxa"/>
              <w:left w:w="75" w:type="dxa"/>
              <w:bottom w:w="65" w:type="dxa"/>
              <w:right w:w="75" w:type="dxa"/>
            </w:tcMar>
            <w:shd w:fill="FFFFFF"/>
          </w:tcPr>
          <w:p>
            <w:pPr>
              <w:keepNext w:val="0"/>
              <w:spacing w:after="0" w:before="0" w:line="245" w:lineRule="auto"/>
              <w:jc w:val="left"/>
            </w:pPr>
            <w:r>
              <w:rPr>
                <w:sz w:val="18"/>
              </w:rPr>
              <w:t>S2a</w:t>
            </w:r>
          </w:p>
        </w:tc>
        <w:tc>
          <w:tcPr>
            <w:tcW w:type="dxa" w:w="1224"/>
            <w:vAlign w:val="center"/>
            <w:tcMar>
              <w:top w:w="65" w:type="dxa"/>
              <w:left w:w="75" w:type="dxa"/>
              <w:bottom w:w="65" w:type="dxa"/>
              <w:right w:w="75" w:type="dxa"/>
            </w:tcMar>
            <w:shd w:fill="FFFFFF"/>
          </w:tcPr>
          <w:p>
            <w:pPr>
              <w:keepNext w:val="0"/>
              <w:spacing w:after="0" w:before="0" w:line="245" w:lineRule="auto"/>
              <w:jc w:val="right"/>
            </w:pPr>
            <w:r>
              <w:rPr>
                <w:sz w:val="18"/>
              </w:rPr>
              <w:t>1,072</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71</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+59</w:t>
            </w:r>
          </w:p>
        </w:tc>
        <w:tc>
          <w:tcPr>
            <w:tcW w:type="dxa" w:w="1152"/>
            <w:vAlign w:val="center"/>
            <w:tcMar>
              <w:top w:w="65" w:type="dxa"/>
              <w:left w:w="75" w:type="dxa"/>
              <w:bottom w:w="65" w:type="dxa"/>
              <w:right w:w="75" w:type="dxa"/>
            </w:tcMar>
            <w:shd w:fill="FFFFFF"/>
          </w:tcPr>
          <w:p>
            <w:pPr>
              <w:keepNext w:val="0"/>
              <w:spacing w:after="0" w:before="0" w:line="245" w:lineRule="auto"/>
              <w:jc w:val="right"/>
            </w:pPr>
            <w:r>
              <w:rPr>
                <w:sz w:val="18"/>
              </w:rPr>
              <w:t>+4</w:t>
            </w:r>
          </w:p>
        </w:tc>
        <w:tc>
          <w:tcPr>
            <w:tcW w:type="dxa" w:w="2160"/>
            <w:vAlign w:val="center"/>
            <w:tcMar>
              <w:top w:w="65" w:type="dxa"/>
              <w:left w:w="75" w:type="dxa"/>
              <w:bottom w:w="65" w:type="dxa"/>
              <w:right w:w="75" w:type="dxa"/>
            </w:tcMar>
            <w:shd w:fill="FFFFFF"/>
          </w:tcPr>
          <w:p>
            <w:pPr>
              <w:keepNext w:val="0"/>
              <w:spacing w:after="0" w:before="0" w:line="245" w:lineRule="auto"/>
              <w:jc w:val="right"/>
            </w:pPr>
            <w:r>
              <w:rPr>
                <w:sz w:val="18"/>
              </w:rPr>
              <w:t>6.62</w:t>
            </w:r>
          </w:p>
        </w:tc>
        <w:tc>
          <w:tcPr>
            <w:tcW w:type="dxa" w:w="2462"/>
            <w:vAlign w:val="center"/>
            <w:tcMar>
              <w:top w:w="65" w:type="dxa"/>
              <w:left w:w="75" w:type="dxa"/>
              <w:bottom w:w="65" w:type="dxa"/>
              <w:right w:w="75" w:type="dxa"/>
            </w:tcMar>
            <w:shd w:fill="FFFFFF"/>
          </w:tcPr>
          <w:p>
            <w:pPr>
              <w:keepNext w:val="0"/>
              <w:spacing w:after="0" w:before="0" w:line="245" w:lineRule="auto"/>
              <w:jc w:val="right"/>
            </w:pPr>
            <w:r>
              <w:rPr>
                <w:sz w:val="18"/>
              </w:rPr>
              <w:t>7.42</w:t>
            </w:r>
          </w:p>
        </w:tc>
      </w:tr>
      <w:tr>
        <w:trPr>
          <w:cantSplit/>
        </w:trPr>
        <w:tc>
          <w:tcPr>
            <w:tcW w:type="dxa" w:w="864"/>
            <w:vAlign w:val="center"/>
            <w:tcMar>
              <w:top w:w="65" w:type="dxa"/>
              <w:left w:w="75" w:type="dxa"/>
              <w:bottom w:w="65" w:type="dxa"/>
              <w:right w:w="75" w:type="dxa"/>
            </w:tcMar>
            <w:shd w:fill="F0F5F8"/>
          </w:tcPr>
          <w:p>
            <w:pPr>
              <w:keepNext w:val="0"/>
              <w:spacing w:after="0" w:before="0" w:line="245" w:lineRule="auto"/>
              <w:jc w:val="left"/>
            </w:pPr>
            <w:r>
              <w:rPr>
                <w:sz w:val="18"/>
              </w:rPr>
              <w:t>S2b</w:t>
            </w:r>
          </w:p>
        </w:tc>
        <w:tc>
          <w:tcPr>
            <w:tcW w:type="dxa" w:w="1224"/>
            <w:vAlign w:val="center"/>
            <w:tcMar>
              <w:top w:w="65" w:type="dxa"/>
              <w:left w:w="75" w:type="dxa"/>
              <w:bottom w:w="65" w:type="dxa"/>
              <w:right w:w="75" w:type="dxa"/>
            </w:tcMar>
            <w:shd w:fill="F0F5F8"/>
          </w:tcPr>
          <w:p>
            <w:pPr>
              <w:keepNext w:val="0"/>
              <w:spacing w:after="0" w:before="0" w:line="245" w:lineRule="auto"/>
              <w:jc w:val="right"/>
            </w:pPr>
            <w:r>
              <w:rPr>
                <w:sz w:val="18"/>
              </w:rPr>
              <w:t>1,073</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69</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+60</w:t>
            </w:r>
          </w:p>
        </w:tc>
        <w:tc>
          <w:tcPr>
            <w:tcW w:type="dxa" w:w="1152"/>
            <w:vAlign w:val="center"/>
            <w:tcMar>
              <w:top w:w="65" w:type="dxa"/>
              <w:left w:w="75" w:type="dxa"/>
              <w:bottom w:w="65" w:type="dxa"/>
              <w:right w:w="75" w:type="dxa"/>
            </w:tcMar>
            <w:shd w:fill="F0F5F8"/>
          </w:tcPr>
          <w:p>
            <w:pPr>
              <w:keepNext w:val="0"/>
              <w:spacing w:after="0" w:before="0" w:line="245" w:lineRule="auto"/>
              <w:jc w:val="right"/>
            </w:pPr>
            <w:r>
              <w:rPr>
                <w:sz w:val="18"/>
              </w:rPr>
              <w:t>+2</w:t>
            </w:r>
          </w:p>
        </w:tc>
        <w:tc>
          <w:tcPr>
            <w:tcW w:type="dxa" w:w="2160"/>
            <w:vAlign w:val="center"/>
            <w:tcMar>
              <w:top w:w="65" w:type="dxa"/>
              <w:left w:w="75" w:type="dxa"/>
              <w:bottom w:w="65" w:type="dxa"/>
              <w:right w:w="75" w:type="dxa"/>
            </w:tcMar>
            <w:shd w:fill="F0F5F8"/>
          </w:tcPr>
          <w:p>
            <w:pPr>
              <w:keepNext w:val="0"/>
              <w:spacing w:after="0" w:before="0" w:line="245" w:lineRule="auto"/>
              <w:jc w:val="right"/>
            </w:pPr>
            <w:r>
              <w:rPr>
                <w:sz w:val="18"/>
              </w:rPr>
              <w:t>6.43</w:t>
            </w:r>
          </w:p>
        </w:tc>
        <w:tc>
          <w:tcPr>
            <w:tcW w:type="dxa" w:w="2462"/>
            <w:vAlign w:val="center"/>
            <w:tcMar>
              <w:top w:w="65" w:type="dxa"/>
              <w:left w:w="75" w:type="dxa"/>
              <w:bottom w:w="65" w:type="dxa"/>
              <w:right w:w="75" w:type="dxa"/>
            </w:tcMar>
            <w:shd w:fill="F0F5F8"/>
          </w:tcPr>
          <w:p>
            <w:pPr>
              <w:keepNext w:val="0"/>
              <w:spacing w:after="0" w:before="0" w:line="245" w:lineRule="auto"/>
              <w:jc w:val="right"/>
            </w:pPr>
            <w:r>
              <w:rPr>
                <w:sz w:val="18"/>
              </w:rPr>
              <w:t>7.17</w:t>
            </w:r>
          </w:p>
        </w:tc>
      </w:tr>
      <w:tr>
        <w:trPr>
          <w:cantSplit/>
        </w:trPr>
        <w:tc>
          <w:tcPr>
            <w:tcW w:type="dxa" w:w="864"/>
            <w:vAlign w:val="center"/>
            <w:tcMar>
              <w:top w:w="65" w:type="dxa"/>
              <w:left w:w="75" w:type="dxa"/>
              <w:bottom w:w="65" w:type="dxa"/>
              <w:right w:w="75" w:type="dxa"/>
            </w:tcMar>
            <w:shd w:fill="FFFFFF"/>
          </w:tcPr>
          <w:p>
            <w:pPr>
              <w:keepNext w:val="0"/>
              <w:spacing w:after="0" w:before="0" w:line="245" w:lineRule="auto"/>
              <w:jc w:val="left"/>
            </w:pPr>
            <w:r>
              <w:rPr>
                <w:sz w:val="18"/>
              </w:rPr>
              <w:t>S2c</w:t>
            </w:r>
          </w:p>
        </w:tc>
        <w:tc>
          <w:tcPr>
            <w:tcW w:type="dxa" w:w="1224"/>
            <w:vAlign w:val="center"/>
            <w:tcMar>
              <w:top w:w="65" w:type="dxa"/>
              <w:left w:w="75" w:type="dxa"/>
              <w:bottom w:w="65" w:type="dxa"/>
              <w:right w:w="75" w:type="dxa"/>
            </w:tcMar>
            <w:shd w:fill="FFFFFF"/>
          </w:tcPr>
          <w:p>
            <w:pPr>
              <w:keepNext w:val="0"/>
              <w:spacing w:after="0" w:before="0" w:line="245" w:lineRule="auto"/>
              <w:jc w:val="right"/>
            </w:pPr>
            <w:r>
              <w:rPr>
                <w:sz w:val="18"/>
              </w:rPr>
              <w:t>1,021</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+8</w:t>
            </w:r>
          </w:p>
        </w:tc>
        <w:tc>
          <w:tcPr>
            <w:tcW w:type="dxa" w:w="1152"/>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FFFFF"/>
          </w:tcPr>
          <w:p>
            <w:pPr>
              <w:keepNext w:val="0"/>
              <w:spacing w:after="0" w:before="0" w:line="245" w:lineRule="auto"/>
              <w:jc w:val="right"/>
            </w:pPr>
            <w:r>
              <w:rPr>
                <w:sz w:val="18"/>
              </w:rPr>
              <w:t>6.56</w:t>
            </w:r>
          </w:p>
        </w:tc>
        <w:tc>
          <w:tcPr>
            <w:tcW w:type="dxa" w:w="2462"/>
            <w:vAlign w:val="center"/>
            <w:tcMar>
              <w:top w:w="65" w:type="dxa"/>
              <w:left w:w="75" w:type="dxa"/>
              <w:bottom w:w="65" w:type="dxa"/>
              <w:right w:w="75" w:type="dxa"/>
            </w:tcMar>
            <w:shd w:fill="FFFFFF"/>
          </w:tcPr>
          <w:p>
            <w:pPr>
              <w:keepNext w:val="0"/>
              <w:spacing w:after="0" w:before="0" w:line="245" w:lineRule="auto"/>
              <w:jc w:val="right"/>
            </w:pPr>
            <w:r>
              <w:rPr>
                <w:sz w:val="18"/>
              </w:rPr>
              <w:t>7.43</w:t>
            </w:r>
          </w:p>
        </w:tc>
      </w:tr>
      <w:tr>
        <w:trPr>
          <w:cantSplit/>
        </w:trPr>
        <w:tc>
          <w:tcPr>
            <w:tcW w:type="dxa" w:w="864"/>
            <w:vAlign w:val="center"/>
            <w:tcMar>
              <w:top w:w="65" w:type="dxa"/>
              <w:left w:w="75" w:type="dxa"/>
              <w:bottom w:w="65" w:type="dxa"/>
              <w:right w:w="75" w:type="dxa"/>
            </w:tcMar>
            <w:shd w:fill="F0F5F8"/>
          </w:tcPr>
          <w:p>
            <w:pPr>
              <w:keepNext w:val="0"/>
              <w:spacing w:after="0" w:before="0" w:line="245" w:lineRule="auto"/>
              <w:jc w:val="left"/>
            </w:pPr>
            <w:r>
              <w:rPr>
                <w:sz w:val="18"/>
              </w:rPr>
              <w:t>S2d</w:t>
            </w:r>
          </w:p>
        </w:tc>
        <w:tc>
          <w:tcPr>
            <w:tcW w:type="dxa" w:w="1224"/>
            <w:vAlign w:val="center"/>
            <w:tcMar>
              <w:top w:w="65" w:type="dxa"/>
              <w:left w:w="75" w:type="dxa"/>
              <w:bottom w:w="65" w:type="dxa"/>
              <w:right w:w="75" w:type="dxa"/>
            </w:tcMar>
            <w:shd w:fill="F0F5F8"/>
          </w:tcPr>
          <w:p>
            <w:pPr>
              <w:keepNext w:val="0"/>
              <w:spacing w:after="0" w:before="0" w:line="245" w:lineRule="auto"/>
              <w:jc w:val="right"/>
            </w:pPr>
            <w:r>
              <w:rPr>
                <w:sz w:val="18"/>
              </w:rPr>
              <w:t>1,081</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69</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+68</w:t>
            </w:r>
          </w:p>
        </w:tc>
        <w:tc>
          <w:tcPr>
            <w:tcW w:type="dxa" w:w="1152"/>
            <w:vAlign w:val="center"/>
            <w:tcMar>
              <w:top w:w="65" w:type="dxa"/>
              <w:left w:w="75" w:type="dxa"/>
              <w:bottom w:w="65" w:type="dxa"/>
              <w:right w:w="75" w:type="dxa"/>
            </w:tcMar>
            <w:shd w:fill="F0F5F8"/>
          </w:tcPr>
          <w:p>
            <w:pPr>
              <w:keepNext w:val="0"/>
              <w:spacing w:after="0" w:before="0" w:line="245" w:lineRule="auto"/>
              <w:jc w:val="right"/>
            </w:pPr>
            <w:r>
              <w:rPr>
                <w:sz w:val="18"/>
              </w:rPr>
              <w:t>+2</w:t>
            </w:r>
          </w:p>
        </w:tc>
        <w:tc>
          <w:tcPr>
            <w:tcW w:type="dxa" w:w="2160"/>
            <w:vAlign w:val="center"/>
            <w:tcMar>
              <w:top w:w="65" w:type="dxa"/>
              <w:left w:w="75" w:type="dxa"/>
              <w:bottom w:w="65" w:type="dxa"/>
              <w:right w:w="75" w:type="dxa"/>
            </w:tcMar>
            <w:shd w:fill="F0F5F8"/>
          </w:tcPr>
          <w:p>
            <w:pPr>
              <w:keepNext w:val="0"/>
              <w:spacing w:after="0" w:before="0" w:line="245" w:lineRule="auto"/>
              <w:jc w:val="right"/>
            </w:pPr>
            <w:r>
              <w:rPr>
                <w:sz w:val="18"/>
              </w:rPr>
              <w:t>6.38</w:t>
            </w:r>
          </w:p>
        </w:tc>
        <w:tc>
          <w:tcPr>
            <w:tcW w:type="dxa" w:w="2462"/>
            <w:vAlign w:val="center"/>
            <w:tcMar>
              <w:top w:w="65" w:type="dxa"/>
              <w:left w:w="75" w:type="dxa"/>
              <w:bottom w:w="65" w:type="dxa"/>
              <w:right w:w="75" w:type="dxa"/>
            </w:tcMar>
            <w:shd w:fill="F0F5F8"/>
          </w:tcPr>
          <w:p>
            <w:pPr>
              <w:keepNext w:val="0"/>
              <w:spacing w:after="0" w:before="0" w:line="245" w:lineRule="auto"/>
              <w:jc w:val="right"/>
            </w:pPr>
            <w:r>
              <w:rPr>
                <w:sz w:val="18"/>
              </w:rPr>
              <w:t>7.12</w:t>
            </w:r>
          </w:p>
        </w:tc>
      </w:tr>
      <w:tr>
        <w:trPr>
          <w:cantSplit/>
        </w:trPr>
        <w:tc>
          <w:tcPr>
            <w:tcW w:type="dxa" w:w="864"/>
            <w:vAlign w:val="center"/>
            <w:tcMar>
              <w:top w:w="65" w:type="dxa"/>
              <w:left w:w="75" w:type="dxa"/>
              <w:bottom w:w="65" w:type="dxa"/>
              <w:right w:w="75" w:type="dxa"/>
            </w:tcMar>
            <w:shd w:fill="FFFFFF"/>
          </w:tcPr>
          <w:p>
            <w:pPr>
              <w:keepNext w:val="0"/>
              <w:spacing w:after="0" w:before="0" w:line="245" w:lineRule="auto"/>
              <w:jc w:val="left"/>
            </w:pPr>
            <w:r>
              <w:rPr>
                <w:sz w:val="18"/>
              </w:rPr>
              <w:t>S3</w:t>
            </w:r>
          </w:p>
        </w:tc>
        <w:tc>
          <w:tcPr>
            <w:tcW w:type="dxa" w:w="1224"/>
            <w:vAlign w:val="center"/>
            <w:tcMar>
              <w:top w:w="65" w:type="dxa"/>
              <w:left w:w="75" w:type="dxa"/>
              <w:bottom w:w="65" w:type="dxa"/>
              <w:right w:w="75" w:type="dxa"/>
            </w:tcMar>
            <w:shd w:fill="FFFFFF"/>
          </w:tcPr>
          <w:p>
            <w:pPr>
              <w:keepNext w:val="0"/>
              <w:spacing w:after="0" w:before="0" w:line="245" w:lineRule="auto"/>
              <w:jc w:val="right"/>
            </w:pPr>
            <w:r>
              <w:rPr>
                <w:sz w:val="18"/>
              </w:rPr>
              <w:t>1,032</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82</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+19</w:t>
            </w:r>
          </w:p>
        </w:tc>
        <w:tc>
          <w:tcPr>
            <w:tcW w:type="dxa" w:w="1152"/>
            <w:vAlign w:val="center"/>
            <w:tcMar>
              <w:top w:w="65" w:type="dxa"/>
              <w:left w:w="75" w:type="dxa"/>
              <w:bottom w:w="65" w:type="dxa"/>
              <w:right w:w="75" w:type="dxa"/>
            </w:tcMar>
            <w:shd w:fill="FFFFFF"/>
          </w:tcPr>
          <w:p>
            <w:pPr>
              <w:keepNext w:val="0"/>
              <w:spacing w:after="0" w:before="0" w:line="245" w:lineRule="auto"/>
              <w:jc w:val="right"/>
            </w:pPr>
            <w:r>
              <w:rPr>
                <w:sz w:val="18"/>
              </w:rPr>
              <w:t>+15</w:t>
            </w:r>
          </w:p>
        </w:tc>
        <w:tc>
          <w:tcPr>
            <w:tcW w:type="dxa" w:w="2160"/>
            <w:vAlign w:val="center"/>
            <w:tcMar>
              <w:top w:w="65" w:type="dxa"/>
              <w:left w:w="75" w:type="dxa"/>
              <w:bottom w:w="65" w:type="dxa"/>
              <w:right w:w="75" w:type="dxa"/>
            </w:tcMar>
            <w:shd w:fill="FFFFFF"/>
          </w:tcPr>
          <w:p>
            <w:pPr>
              <w:keepNext w:val="0"/>
              <w:spacing w:after="0" w:before="0" w:line="245" w:lineRule="auto"/>
              <w:jc w:val="right"/>
            </w:pPr>
            <w:r>
              <w:rPr>
                <w:sz w:val="18"/>
              </w:rPr>
              <w:t>7.95</w:t>
            </w:r>
          </w:p>
        </w:tc>
        <w:tc>
          <w:tcPr>
            <w:tcW w:type="dxa" w:w="2462"/>
            <w:vAlign w:val="center"/>
            <w:tcMar>
              <w:top w:w="65" w:type="dxa"/>
              <w:left w:w="75" w:type="dxa"/>
              <w:bottom w:w="65" w:type="dxa"/>
              <w:right w:w="75" w:type="dxa"/>
            </w:tcMar>
            <w:shd w:fill="FFFFFF"/>
          </w:tcPr>
          <w:p>
            <w:pPr>
              <w:keepNext w:val="0"/>
              <w:spacing w:after="0" w:before="0" w:line="245" w:lineRule="auto"/>
              <w:jc w:val="right"/>
            </w:pPr>
            <w:r>
              <w:rPr>
                <w:sz w:val="18"/>
              </w:rPr>
              <w:t>9.06</w:t>
            </w:r>
          </w:p>
        </w:tc>
      </w:tr>
      <w:tr>
        <w:trPr>
          <w:cantSplit/>
        </w:trPr>
        <w:tc>
          <w:tcPr>
            <w:tcW w:type="dxa" w:w="864"/>
            <w:vAlign w:val="center"/>
            <w:tcMar>
              <w:top w:w="65" w:type="dxa"/>
              <w:left w:w="75" w:type="dxa"/>
              <w:bottom w:w="65" w:type="dxa"/>
              <w:right w:w="75" w:type="dxa"/>
            </w:tcMar>
            <w:shd w:fill="F0F5F8"/>
          </w:tcPr>
          <w:p>
            <w:pPr>
              <w:keepNext w:val="0"/>
              <w:spacing w:after="0" w:before="0" w:line="245" w:lineRule="auto"/>
              <w:jc w:val="left"/>
            </w:pPr>
            <w:r>
              <w:rPr>
                <w:sz w:val="18"/>
              </w:rPr>
              <w:t>S4a</w:t>
            </w:r>
          </w:p>
        </w:tc>
        <w:tc>
          <w:tcPr>
            <w:tcW w:type="dxa" w:w="1224"/>
            <w:vAlign w:val="center"/>
            <w:tcMar>
              <w:top w:w="65" w:type="dxa"/>
              <w:left w:w="75" w:type="dxa"/>
              <w:bottom w:w="65" w:type="dxa"/>
              <w:right w:w="75" w:type="dxa"/>
            </w:tcMar>
            <w:shd w:fill="F0F5F8"/>
          </w:tcPr>
          <w:p>
            <w:pPr>
              <w:keepNext w:val="0"/>
              <w:spacing w:after="0" w:before="0" w:line="245" w:lineRule="auto"/>
              <w:jc w:val="right"/>
            </w:pPr>
            <w:r>
              <w:rPr>
                <w:sz w:val="18"/>
              </w:rPr>
              <w:t>1,013</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0</w:t>
            </w:r>
          </w:p>
        </w:tc>
        <w:tc>
          <w:tcPr>
            <w:tcW w:type="dxa" w:w="1152"/>
            <w:vAlign w:val="center"/>
            <w:tcMar>
              <w:top w:w="65" w:type="dxa"/>
              <w:left w:w="75" w:type="dxa"/>
              <w:bottom w:w="65" w:type="dxa"/>
              <w:right w:w="75" w:type="dxa"/>
            </w:tcMar>
            <w:shd w:fill="F0F5F8"/>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0F5F8"/>
          </w:tcPr>
          <w:p>
            <w:pPr>
              <w:keepNext w:val="0"/>
              <w:spacing w:after="0" w:before="0" w:line="245" w:lineRule="auto"/>
              <w:jc w:val="right"/>
            </w:pPr>
            <w:r>
              <w:rPr>
                <w:sz w:val="18"/>
              </w:rPr>
              <w:t>6.61</w:t>
            </w:r>
          </w:p>
        </w:tc>
        <w:tc>
          <w:tcPr>
            <w:tcW w:type="dxa" w:w="2462"/>
            <w:vAlign w:val="center"/>
            <w:tcMar>
              <w:top w:w="65" w:type="dxa"/>
              <w:left w:w="75" w:type="dxa"/>
              <w:bottom w:w="65" w:type="dxa"/>
              <w:right w:w="75" w:type="dxa"/>
            </w:tcMar>
            <w:shd w:fill="F0F5F8"/>
          </w:tcPr>
          <w:p>
            <w:pPr>
              <w:keepNext w:val="0"/>
              <w:spacing w:after="0" w:before="0" w:line="245" w:lineRule="auto"/>
              <w:jc w:val="right"/>
            </w:pPr>
            <w:r>
              <w:rPr>
                <w:sz w:val="18"/>
              </w:rPr>
              <w:t>7.49</w:t>
            </w:r>
          </w:p>
        </w:tc>
      </w:tr>
      <w:tr>
        <w:trPr>
          <w:cantSplit/>
        </w:trPr>
        <w:tc>
          <w:tcPr>
            <w:tcW w:type="dxa" w:w="864"/>
            <w:vAlign w:val="center"/>
            <w:tcMar>
              <w:top w:w="65" w:type="dxa"/>
              <w:left w:w="75" w:type="dxa"/>
              <w:bottom w:w="65" w:type="dxa"/>
              <w:right w:w="75" w:type="dxa"/>
            </w:tcMar>
            <w:shd w:fill="FFFFFF"/>
          </w:tcPr>
          <w:p>
            <w:pPr>
              <w:keepNext w:val="0"/>
              <w:spacing w:after="0" w:before="0" w:line="245" w:lineRule="auto"/>
              <w:jc w:val="left"/>
            </w:pPr>
            <w:r>
              <w:rPr>
                <w:sz w:val="18"/>
              </w:rPr>
              <w:t>S4b</w:t>
            </w:r>
          </w:p>
        </w:tc>
        <w:tc>
          <w:tcPr>
            <w:tcW w:type="dxa" w:w="1224"/>
            <w:vAlign w:val="center"/>
            <w:tcMar>
              <w:top w:w="65" w:type="dxa"/>
              <w:left w:w="75" w:type="dxa"/>
              <w:bottom w:w="65" w:type="dxa"/>
              <w:right w:w="75" w:type="dxa"/>
            </w:tcMar>
            <w:shd w:fill="FFFFFF"/>
          </w:tcPr>
          <w:p>
            <w:pPr>
              <w:keepNext w:val="0"/>
              <w:spacing w:after="0" w:before="0" w:line="245" w:lineRule="auto"/>
              <w:jc w:val="right"/>
            </w:pPr>
            <w:r>
              <w:rPr>
                <w:sz w:val="18"/>
              </w:rPr>
              <w:t>1,007</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−6</w:t>
            </w:r>
          </w:p>
        </w:tc>
        <w:tc>
          <w:tcPr>
            <w:tcW w:type="dxa" w:w="1152"/>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FFFFF"/>
          </w:tcPr>
          <w:p>
            <w:pPr>
              <w:keepNext w:val="0"/>
              <w:spacing w:after="0" w:before="0" w:line="245" w:lineRule="auto"/>
              <w:jc w:val="right"/>
            </w:pPr>
            <w:r>
              <w:rPr>
                <w:sz w:val="18"/>
              </w:rPr>
              <w:t>6.65</w:t>
            </w:r>
          </w:p>
        </w:tc>
        <w:tc>
          <w:tcPr>
            <w:tcW w:type="dxa" w:w="2462"/>
            <w:vAlign w:val="center"/>
            <w:tcMar>
              <w:top w:w="65" w:type="dxa"/>
              <w:left w:w="75" w:type="dxa"/>
              <w:bottom w:w="65" w:type="dxa"/>
              <w:right w:w="75" w:type="dxa"/>
            </w:tcMar>
            <w:shd w:fill="FFFFFF"/>
          </w:tcPr>
          <w:p>
            <w:pPr>
              <w:keepNext w:val="0"/>
              <w:spacing w:after="0" w:before="0" w:line="245" w:lineRule="auto"/>
              <w:jc w:val="right"/>
            </w:pPr>
            <w:r>
              <w:rPr>
                <w:sz w:val="18"/>
              </w:rPr>
              <w:t>7.55</w:t>
            </w:r>
          </w:p>
        </w:tc>
      </w:tr>
      <w:tr>
        <w:trPr>
          <w:cantSplit/>
        </w:trPr>
        <w:tc>
          <w:tcPr>
            <w:tcW w:type="dxa" w:w="864"/>
            <w:vAlign w:val="center"/>
            <w:tcMar>
              <w:top w:w="65" w:type="dxa"/>
              <w:left w:w="75" w:type="dxa"/>
              <w:bottom w:w="65" w:type="dxa"/>
              <w:right w:w="75" w:type="dxa"/>
            </w:tcMar>
            <w:shd w:fill="F0F5F8"/>
          </w:tcPr>
          <w:p>
            <w:pPr>
              <w:keepNext w:val="0"/>
              <w:spacing w:after="0" w:before="0" w:line="245" w:lineRule="auto"/>
              <w:jc w:val="left"/>
            </w:pPr>
            <w:r>
              <w:rPr>
                <w:sz w:val="18"/>
              </w:rPr>
              <w:t>S4c</w:t>
            </w:r>
          </w:p>
        </w:tc>
        <w:tc>
          <w:tcPr>
            <w:tcW w:type="dxa" w:w="1224"/>
            <w:vAlign w:val="center"/>
            <w:tcMar>
              <w:top w:w="65" w:type="dxa"/>
              <w:left w:w="75" w:type="dxa"/>
              <w:bottom w:w="65" w:type="dxa"/>
              <w:right w:w="75" w:type="dxa"/>
            </w:tcMar>
            <w:shd w:fill="F0F5F8"/>
          </w:tcPr>
          <w:p>
            <w:pPr>
              <w:keepNext w:val="0"/>
              <w:spacing w:after="0" w:before="0" w:line="245" w:lineRule="auto"/>
              <w:jc w:val="right"/>
            </w:pPr>
            <w:r>
              <w:rPr>
                <w:sz w:val="18"/>
              </w:rPr>
              <w:t>1,013</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0</w:t>
            </w:r>
          </w:p>
        </w:tc>
        <w:tc>
          <w:tcPr>
            <w:tcW w:type="dxa" w:w="1152"/>
            <w:vAlign w:val="center"/>
            <w:tcMar>
              <w:top w:w="65" w:type="dxa"/>
              <w:left w:w="75" w:type="dxa"/>
              <w:bottom w:w="65" w:type="dxa"/>
              <w:right w:w="75" w:type="dxa"/>
            </w:tcMar>
            <w:shd w:fill="F0F5F8"/>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0F5F8"/>
          </w:tcPr>
          <w:p>
            <w:pPr>
              <w:keepNext w:val="0"/>
              <w:spacing w:after="0" w:before="0" w:line="245" w:lineRule="auto"/>
              <w:jc w:val="right"/>
            </w:pPr>
            <w:r>
              <w:rPr>
                <w:sz w:val="18"/>
              </w:rPr>
              <w:t>6.61</w:t>
            </w:r>
          </w:p>
        </w:tc>
        <w:tc>
          <w:tcPr>
            <w:tcW w:type="dxa" w:w="2462"/>
            <w:vAlign w:val="center"/>
            <w:tcMar>
              <w:top w:w="65" w:type="dxa"/>
              <w:left w:w="75" w:type="dxa"/>
              <w:bottom w:w="65" w:type="dxa"/>
              <w:right w:w="75" w:type="dxa"/>
            </w:tcMar>
            <w:shd w:fill="F0F5F8"/>
          </w:tcPr>
          <w:p>
            <w:pPr>
              <w:keepNext w:val="0"/>
              <w:spacing w:after="0" w:before="0" w:line="245" w:lineRule="auto"/>
              <w:jc w:val="right"/>
            </w:pPr>
            <w:r>
              <w:rPr>
                <w:sz w:val="18"/>
              </w:rPr>
              <w:t>7.49</w:t>
            </w:r>
          </w:p>
        </w:tc>
      </w:tr>
      <w:tr>
        <w:trPr>
          <w:cantSplit/>
        </w:trPr>
        <w:tc>
          <w:tcPr>
            <w:tcW w:type="dxa" w:w="864"/>
            <w:vAlign w:val="center"/>
            <w:tcMar>
              <w:top w:w="65" w:type="dxa"/>
              <w:left w:w="75" w:type="dxa"/>
              <w:bottom w:w="65" w:type="dxa"/>
              <w:right w:w="75" w:type="dxa"/>
            </w:tcMar>
            <w:shd w:fill="FFFFFF"/>
          </w:tcPr>
          <w:p>
            <w:pPr>
              <w:keepNext w:val="0"/>
              <w:spacing w:after="0" w:before="0" w:line="245" w:lineRule="auto"/>
              <w:jc w:val="left"/>
            </w:pPr>
            <w:r>
              <w:rPr>
                <w:sz w:val="18"/>
              </w:rPr>
              <w:t>S5</w:t>
            </w:r>
          </w:p>
        </w:tc>
        <w:tc>
          <w:tcPr>
            <w:tcW w:type="dxa" w:w="1224"/>
            <w:vAlign w:val="center"/>
            <w:tcMar>
              <w:top w:w="65" w:type="dxa"/>
              <w:left w:w="75" w:type="dxa"/>
              <w:bottom w:w="65" w:type="dxa"/>
              <w:right w:w="75" w:type="dxa"/>
            </w:tcMar>
            <w:shd w:fill="FFFFFF"/>
          </w:tcPr>
          <w:p>
            <w:pPr>
              <w:keepNext w:val="0"/>
              <w:spacing w:after="0" w:before="0" w:line="245" w:lineRule="auto"/>
              <w:jc w:val="right"/>
            </w:pPr>
            <w:r>
              <w:rPr>
                <w:sz w:val="18"/>
              </w:rPr>
              <w:t>1,013</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1152"/>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FFFFF"/>
          </w:tcPr>
          <w:p>
            <w:pPr>
              <w:keepNext w:val="0"/>
              <w:spacing w:after="0" w:before="0" w:line="245" w:lineRule="auto"/>
              <w:jc w:val="right"/>
            </w:pPr>
            <w:r>
              <w:rPr>
                <w:sz w:val="18"/>
              </w:rPr>
              <w:t>6.61</w:t>
            </w:r>
          </w:p>
        </w:tc>
        <w:tc>
          <w:tcPr>
            <w:tcW w:type="dxa" w:w="2462"/>
            <w:vAlign w:val="center"/>
            <w:tcMar>
              <w:top w:w="65" w:type="dxa"/>
              <w:left w:w="75" w:type="dxa"/>
              <w:bottom w:w="65" w:type="dxa"/>
              <w:right w:w="75" w:type="dxa"/>
            </w:tcMar>
            <w:shd w:fill="FFFFFF"/>
          </w:tcPr>
          <w:p>
            <w:pPr>
              <w:keepNext w:val="0"/>
              <w:spacing w:after="0" w:before="0" w:line="245" w:lineRule="auto"/>
              <w:jc w:val="right"/>
            </w:pPr>
            <w:r>
              <w:rPr>
                <w:sz w:val="18"/>
              </w:rPr>
              <w:t>7.49</w:t>
            </w:r>
          </w:p>
        </w:tc>
      </w:tr>
      <w:tr>
        <w:trPr>
          <w:cantSplit/>
        </w:trPr>
        <w:tc>
          <w:tcPr>
            <w:tcW w:type="dxa" w:w="864"/>
            <w:vAlign w:val="center"/>
            <w:tcMar>
              <w:top w:w="65" w:type="dxa"/>
              <w:left w:w="75" w:type="dxa"/>
              <w:bottom w:w="65" w:type="dxa"/>
              <w:right w:w="75" w:type="dxa"/>
            </w:tcMar>
            <w:shd w:fill="F0F5F8"/>
          </w:tcPr>
          <w:p>
            <w:pPr>
              <w:keepNext w:val="0"/>
              <w:spacing w:after="0" w:before="0" w:line="245" w:lineRule="auto"/>
              <w:jc w:val="left"/>
            </w:pPr>
            <w:r>
              <w:rPr>
                <w:sz w:val="18"/>
              </w:rPr>
              <w:t>S6a</w:t>
            </w:r>
          </w:p>
        </w:tc>
        <w:tc>
          <w:tcPr>
            <w:tcW w:type="dxa" w:w="1224"/>
            <w:vAlign w:val="center"/>
            <w:tcMar>
              <w:top w:w="65" w:type="dxa"/>
              <w:left w:w="75" w:type="dxa"/>
              <w:bottom w:w="65" w:type="dxa"/>
              <w:right w:w="75" w:type="dxa"/>
            </w:tcMar>
            <w:shd w:fill="F0F5F8"/>
          </w:tcPr>
          <w:p>
            <w:pPr>
              <w:keepNext w:val="0"/>
              <w:spacing w:after="0" w:before="0" w:line="245" w:lineRule="auto"/>
              <w:jc w:val="right"/>
            </w:pPr>
            <w:r>
              <w:rPr>
                <w:sz w:val="18"/>
              </w:rPr>
              <w:t>1,013</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0F5F8"/>
          </w:tcPr>
          <w:p>
            <w:pPr>
              <w:keepNext w:val="0"/>
              <w:spacing w:after="0" w:before="0" w:line="245" w:lineRule="auto"/>
              <w:jc w:val="right"/>
            </w:pPr>
            <w:r>
              <w:rPr>
                <w:sz w:val="18"/>
              </w:rPr>
              <w:t>0</w:t>
            </w:r>
          </w:p>
        </w:tc>
        <w:tc>
          <w:tcPr>
            <w:tcW w:type="dxa" w:w="1152"/>
            <w:vAlign w:val="center"/>
            <w:tcMar>
              <w:top w:w="65" w:type="dxa"/>
              <w:left w:w="75" w:type="dxa"/>
              <w:bottom w:w="65" w:type="dxa"/>
              <w:right w:w="75" w:type="dxa"/>
            </w:tcMar>
            <w:shd w:fill="F0F5F8"/>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0F5F8"/>
          </w:tcPr>
          <w:p>
            <w:pPr>
              <w:keepNext w:val="0"/>
              <w:spacing w:after="0" w:before="0" w:line="245" w:lineRule="auto"/>
              <w:jc w:val="right"/>
            </w:pPr>
            <w:r>
              <w:rPr>
                <w:sz w:val="18"/>
              </w:rPr>
              <w:t>6.61</w:t>
            </w:r>
          </w:p>
        </w:tc>
        <w:tc>
          <w:tcPr>
            <w:tcW w:type="dxa" w:w="2462"/>
            <w:vAlign w:val="center"/>
            <w:tcMar>
              <w:top w:w="65" w:type="dxa"/>
              <w:left w:w="75" w:type="dxa"/>
              <w:bottom w:w="65" w:type="dxa"/>
              <w:right w:w="75" w:type="dxa"/>
            </w:tcMar>
            <w:shd w:fill="F0F5F8"/>
          </w:tcPr>
          <w:p>
            <w:pPr>
              <w:keepNext w:val="0"/>
              <w:spacing w:after="0" w:before="0" w:line="245" w:lineRule="auto"/>
              <w:jc w:val="right"/>
            </w:pPr>
            <w:r>
              <w:rPr>
                <w:sz w:val="18"/>
              </w:rPr>
              <w:t>7.49</w:t>
            </w:r>
          </w:p>
        </w:tc>
      </w:tr>
      <w:tr>
        <w:trPr>
          <w:cantSplit/>
        </w:trPr>
        <w:tc>
          <w:tcPr>
            <w:tcW w:type="dxa" w:w="864"/>
            <w:vAlign w:val="center"/>
            <w:tcMar>
              <w:top w:w="65" w:type="dxa"/>
              <w:left w:w="75" w:type="dxa"/>
              <w:bottom w:w="65" w:type="dxa"/>
              <w:right w:w="75" w:type="dxa"/>
            </w:tcMar>
            <w:shd w:fill="FFFFFF"/>
          </w:tcPr>
          <w:p>
            <w:pPr>
              <w:keepNext w:val="0"/>
              <w:spacing w:after="0" w:before="0" w:line="245" w:lineRule="auto"/>
              <w:jc w:val="left"/>
            </w:pPr>
            <w:r>
              <w:rPr>
                <w:sz w:val="18"/>
              </w:rPr>
              <w:t>S6b</w:t>
            </w:r>
          </w:p>
        </w:tc>
        <w:tc>
          <w:tcPr>
            <w:tcW w:type="dxa" w:w="1224"/>
            <w:vAlign w:val="center"/>
            <w:tcMar>
              <w:top w:w="65" w:type="dxa"/>
              <w:left w:w="75" w:type="dxa"/>
              <w:bottom w:w="65" w:type="dxa"/>
              <w:right w:w="75" w:type="dxa"/>
            </w:tcMar>
            <w:shd w:fill="FFFFFF"/>
          </w:tcPr>
          <w:p>
            <w:pPr>
              <w:keepNext w:val="0"/>
              <w:spacing w:after="0" w:before="0" w:line="245" w:lineRule="auto"/>
              <w:jc w:val="right"/>
            </w:pPr>
            <w:r>
              <w:rPr>
                <w:sz w:val="18"/>
              </w:rPr>
              <w:t>1,013</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67</w:t>
            </w:r>
          </w:p>
        </w:tc>
        <w:tc>
          <w:tcPr>
            <w:tcW w:type="dxa" w:w="1008"/>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1152"/>
            <w:vAlign w:val="center"/>
            <w:tcMar>
              <w:top w:w="65" w:type="dxa"/>
              <w:left w:w="75" w:type="dxa"/>
              <w:bottom w:w="65" w:type="dxa"/>
              <w:right w:w="75" w:type="dxa"/>
            </w:tcMar>
            <w:shd w:fill="FFFFFF"/>
          </w:tcPr>
          <w:p>
            <w:pPr>
              <w:keepNext w:val="0"/>
              <w:spacing w:after="0" w:before="0" w:line="245" w:lineRule="auto"/>
              <w:jc w:val="right"/>
            </w:pPr>
            <w:r>
              <w:rPr>
                <w:sz w:val="18"/>
              </w:rPr>
              <w:t>0</w:t>
            </w:r>
          </w:p>
        </w:tc>
        <w:tc>
          <w:tcPr>
            <w:tcW w:type="dxa" w:w="2160"/>
            <w:vAlign w:val="center"/>
            <w:tcMar>
              <w:top w:w="65" w:type="dxa"/>
              <w:left w:w="75" w:type="dxa"/>
              <w:bottom w:w="65" w:type="dxa"/>
              <w:right w:w="75" w:type="dxa"/>
            </w:tcMar>
            <w:shd w:fill="FFFFFF"/>
          </w:tcPr>
          <w:p>
            <w:pPr>
              <w:keepNext w:val="0"/>
              <w:spacing w:after="0" w:before="0" w:line="245" w:lineRule="auto"/>
              <w:jc w:val="right"/>
            </w:pPr>
            <w:r>
              <w:rPr>
                <w:sz w:val="18"/>
              </w:rPr>
              <w:t>6.61</w:t>
            </w:r>
          </w:p>
        </w:tc>
        <w:tc>
          <w:tcPr>
            <w:tcW w:type="dxa" w:w="2462"/>
            <w:vAlign w:val="center"/>
            <w:tcMar>
              <w:top w:w="65" w:type="dxa"/>
              <w:left w:w="75" w:type="dxa"/>
              <w:bottom w:w="65" w:type="dxa"/>
              <w:right w:w="75" w:type="dxa"/>
            </w:tcMar>
            <w:shd w:fill="FFFFFF"/>
          </w:tcPr>
          <w:p>
            <w:pPr>
              <w:keepNext w:val="0"/>
              <w:spacing w:after="0" w:before="0" w:line="245" w:lineRule="auto"/>
              <w:jc w:val="right"/>
            </w:pPr>
            <w:r>
              <w:rPr>
                <w:sz w:val="18"/>
              </w:rPr>
              <w:t>7.49</w:t>
            </w:r>
          </w:p>
        </w:tc>
      </w:tr>
    </w:tbl>
    <w:p>
      <w:pPr>
        <w:spacing w:after="0"/>
      </w:pPr>
    </w:p>
    <w:p>
      <w:r/>
      <w:r>
        <w:rPr>
          <w:b/>
        </w:rPr>
        <w:t>Note:</w:t>
      </w:r>
      <w:r>
        <w:t xml:space="preserve"> events are reported non-recipients. Changes are relative to S0. These are existing saved results, not new computations. S1b and S1d admitted the same two additional non-recipients. No current-versus-prior-period receipt disagreements or unresolved PASS receipt outcomes changed S5 or S6a/S6b.</w:t>
      </w:r>
    </w:p>
    <w:p>
      <w:pPr>
        <w:pStyle w:val="Heading3"/>
      </w:pPr>
      <w:r>
        <w:t>Proposed supplementary methods and performance record</w:t>
      </w:r>
    </w:p>
    <w:p>
      <w:r>
        <w:t>Retain each scenario separately in a second supplementary table with households, AUC, AP, Brier score, calibration-in-the-large and calibration slope, converged folds and whether predictions were refitted or reused. Performance, household and convergence fields already exist in output/phase6/model_sensitivity.csv; annotate refitting/reuse from the script and run record.</w:t>
      </w:r>
    </w:p>
    <w:p>
      <w:r>
        <w:t>Changed-cohort scenarios were refitted with the grouped-fold algorithm and training-only imputation. Scenarios whose cohort and outcome were unchanged reused the primary predictions. Do not describe reuse as an independent fit. Changed cohorts may also change fold membership, event frequency and case mix; differences in their performance cannot isolate the effect of a screening rule on predictive quality.</w:t>
      </w:r>
    </w:p>
    <w:p>
      <w:r>
        <w:t>Record the source file/row, actual rule setting, rule/model version, cohort checksum, seed, preprocessing, fold construction and fit status for each scenario. Keep input/checksum records controlled and publish only appropriate aggregate metadata. Identify missing metadata as outstanding rather than implying a complete new audit trail.</w:t>
      </w:r>
    </w:p>
    <w:p>
      <w:r/>
      <w:r>
        <w:rPr>
          <w:b/>
        </w:rPr>
        <w:t>Sources:</w:t>
      </w:r>
      <w:r>
        <w:t xml:space="preserve"> output/phase4/rq1_sensitivity.csv; output/phase6/model_sensitivity.csv and run_record.json; analysis/phase6_sensitivity.py. Use rule version opg-kzn-primary-v1 and model version opg-kzn-six-slope-v1 where those existing records apply. </w:t>
      </w:r>
      <w:r>
        <w:rPr>
          <w:b/>
        </w:rPr>
        <w:t>Status:</w:t>
      </w:r>
      <w:r>
        <w:t xml:space="preserve"> the table above restores existing results; the complete supplementary performance/metadata record remains to be assembled for submission.</w:t>
      </w:r>
    </w:p>
    <w:p>
      <w:r>
        <w:br w:type="page"/>
      </w:r>
    </w:p>
    <w:p>
      <w:pPr>
        <w:pStyle w:val="Heading1"/>
      </w:pPr>
      <w:r>
        <w:t>5. Few events and coefficient stability</w:t>
      </w:r>
    </w:p>
    <w:p>
      <w:r/>
      <w:r>
        <w:rPr>
          <w:b/>
        </w:rPr>
        <w:t>Location:</w:t>
      </w:r>
      <w:r>
        <w:t xml:space="preserve"> Page 6, Section V.C, with a short cross-reference in the discussion.</w:t>
      </w:r>
    </w:p>
    <w:p>
      <w:r/>
      <w:r>
        <w:rPr>
          <w:b/>
        </w:rPr>
        <w:t>Feedback:</w:t>
      </w:r>
      <w:r>
        <w:t xml:space="preserve"> Discuss how the limited number of non-receipt events affects coefficient stability and interpretation.</w:t>
      </w:r>
    </w:p>
    <w:p>
      <w:pPr>
        <w:pStyle w:val="Heading3"/>
      </w:pPr>
      <w:r>
        <w:t>Draft paragraph after the odds-ratio results</w:t>
      </w:r>
    </w:p>
    <w:p>
      <w:r>
        <w:t>Only 67 non-receipt events supported six slopes and an intercept, and events were unevenly distributed across predictor categories. Sparse support can make coefficient magnitudes and Wald intervals unstable, as the original rural-formal contrast demonstrated. The reported intervals condition on the retained specification and do not include uncertainty from the settlement-coding decision. The associations for sex and schooling therefore describe this screened historical sample; they do not establish causal effects or stable effects in other populations. Intervals spanning one for age, settlement and office distance indicate limited precision rather than evidence that these predictors have no association with non-receipt.</w:t>
      </w:r>
    </w:p>
    <w:p>
      <w:pPr>
        <w:pStyle w:val="Heading3"/>
      </w:pPr>
      <w:r>
        <w:t>Suggested discussion sentence</w:t>
      </w:r>
    </w:p>
    <w:p>
      <w:r>
        <w:t>The small and unevenly distributed event count limits the precision of individual contrasts and the strength of theoretical interpretation; the findings should motivate independent assessment rather than claims of stable demographic or administrative-burden effects.</w:t>
      </w:r>
    </w:p>
    <w:p>
      <w:pPr>
        <w:pStyle w:val="Heading3"/>
      </w:pPr>
      <w:r>
        <w:t>What to retain in interpretation</w:t>
      </w:r>
    </w:p>
    <w:p>
      <w:pPr>
        <w:pStyle w:val="ListBullet"/>
      </w:pPr>
      <w:r>
        <w:t>Identify the sex and schooling odds ratios as estimates from the full-sample fitted model, separate from held-out predictive measures.</w:t>
      </w:r>
    </w:p>
    <w:p>
      <w:pPr>
        <w:pStyle w:val="ListBullet"/>
      </w:pPr>
      <w:r>
        <w:t>Do not translate an odds ratio directly into a percentage reduction in probability or infer causation from an adjusted association.</w:t>
      </w:r>
    </w:p>
    <w:p>
      <w:pPr>
        <w:pStyle w:val="ListBullet"/>
      </w:pPr>
      <w:r>
        <w:t>Do not treat intervals including one as proof of no relationship.</w:t>
      </w:r>
    </w:p>
    <w:p>
      <w:pPr>
        <w:pStyle w:val="ListBullet"/>
      </w:pPr>
      <w:r>
        <w:t>Do not use a simple events-per-variable ratio as proof that the model is adequately sized. Six slopes, sparse categories and household dependence all matter.</w:t>
      </w:r>
    </w:p>
    <w:p>
      <w:pPr>
        <w:pStyle w:val="ListBullet"/>
      </w:pPr>
      <w:r>
        <w:t>Keep the existing distinction between predictor proxies and directly measured administrative burden. The event count does not support stronger mechanism claims.</w:t>
      </w:r>
    </w:p>
    <w:p>
      <w:pPr>
        <w:pStyle w:val="Heading3"/>
      </w:pPr>
      <w:r>
        <w:t>Optional evidence from the proposed refits</w:t>
      </w:r>
    </w:p>
    <w:p>
      <w:r>
        <w:t>If points 1–2 proceed, summarise each coefficient’s direction and magnitude across refits using the same coding and scale. Record convergence and extreme estimates. Present ordinary and penalised estimates separately. These overlapping-sample summaries describe stability; sign frequencies are not significance tests and refitting does not create additional independent events.</w:t>
      </w:r>
    </w:p>
    <w:p>
      <w:r>
        <w:t>For the short paper, keep the paragraph above in the main text and place detailed coefficient-stability summaries in the supplement. This strengthens interpretation without adding another large table to the eight-page paper.</w:t>
      </w:r>
    </w:p>
    <w:p>
      <w:r/>
      <w:r>
        <w:rPr>
          <w:b/>
        </w:rPr>
        <w:t>Evidence:</w:t>
      </w:r>
      <w:r>
        <w:t xml:space="preserve"> uploaded Section V.C; output/phase5/apparent_coefficients.csv; docs/model_decision_record.md. Existing manuscript references [18]–[20] support sample-size and validation reporting. </w:t>
      </w:r>
      <w:r>
        <w:rPr>
          <w:b/>
        </w:rPr>
        <w:t>Status:</w:t>
      </w:r>
      <w:r>
        <w:t xml:space="preserve"> the qualification can be added now; any new stability results remain pending execution.</w:t>
      </w:r>
    </w:p>
    <w:p>
      <w:r>
        <w:br w:type="page"/>
      </w:r>
    </w:p>
    <w:p>
      <w:pPr>
        <w:pStyle w:val="Heading1"/>
      </w:pPr>
      <w:r>
        <w:t>6. Future research in the conclusion</w:t>
      </w:r>
    </w:p>
    <w:p>
      <w:r/>
      <w:r>
        <w:rPr>
          <w:b/>
        </w:rPr>
        <w:t>Location:</w:t>
      </w:r>
      <w:r>
        <w:t xml:space="preserve"> Page 8, Section VIII.</w:t>
      </w:r>
    </w:p>
    <w:p>
      <w:r/>
      <w:r>
        <w:rPr>
          <w:b/>
        </w:rPr>
        <w:t>Feedback:</w:t>
      </w:r>
      <w:r>
        <w:t xml:space="preserve"> Add a concise statement on future research, particularly independent validation and usability assessment.</w:t>
      </w:r>
    </w:p>
    <w:p>
      <w:pPr>
        <w:pStyle w:val="Heading3"/>
      </w:pPr>
      <w:r>
        <w:t>Draft paragraph to append</w:t>
      </w:r>
    </w:p>
    <w:p>
      <w:r>
        <w:t>Future work should validate the frozen model in independent provincial or later-period data using comparable screening and receipt definitions, and assess discrimination, calibration and probability error before any updating. Representative researchers should also complete synthetic-data tasks in a usability study that records task success, errors, completion time and perceived ease of use.</w:t>
      </w:r>
    </w:p>
    <w:p>
      <w:pPr>
        <w:pStyle w:val="Heading3"/>
      </w:pPr>
      <w:r>
        <w:t>Why this addresses the comment</w:t>
      </w:r>
    </w:p>
    <w:p>
      <w:r>
        <w:t>The paragraph identifies two distinct questions: whether the model transfers to another population, and whether intended users can operate and interpret the application. It proposes specific evidence for both and does not imply either assessment has already occurred.</w:t>
      </w:r>
    </w:p>
    <w:p>
      <w:pPr>
        <w:pStyle w:val="Heading3"/>
      </w:pPr>
      <w:r>
        <w:t>Practical scope for later implementation</w:t>
      </w:r>
    </w:p>
    <w:tbl>
      <w:tblPr>
        <w:tblW w:type="auto" w:w="0"/>
        <w:jc w:val="center"/>
        <w:tblLayout w:type="fixed"/>
        <w:tblLook w:firstColumn="1" w:firstRow="1" w:lastColumn="0" w:lastRow="0" w:noHBand="0" w:noVBand="1" w:val="04A0"/>
      </w:tblPr>
      <w:tblGrid>
        <w:gridCol w:w="2088"/>
        <w:gridCol w:w="3787"/>
        <w:gridCol w:w="4003"/>
      </w:tblGrid>
      <w:tr>
        <w:trPr>
          <w:cantSplit/>
          <w:tblHeader/>
        </w:trPr>
        <w:tc>
          <w:tcPr>
            <w:tcW w:type="dxa" w:w="2088"/>
            <w:vAlign w:val="center"/>
            <w:tcMar>
              <w:top w:w="65" w:type="dxa"/>
              <w:left w:w="75" w:type="dxa"/>
              <w:bottom w:w="65" w:type="dxa"/>
              <w:right w:w="75" w:type="dxa"/>
            </w:tcMar>
            <w:shd w:fill="244D68"/>
          </w:tcPr>
          <w:p>
            <w:pPr>
              <w:keepNext w:val="0"/>
              <w:spacing w:after="0" w:before="0" w:line="245" w:lineRule="auto"/>
            </w:pPr>
            <w:r>
              <w:rPr>
                <w:b/>
                <w:color w:val="FFFFFF"/>
                <w:sz w:val="18"/>
              </w:rPr>
              <w:t>Future study</w:t>
            </w:r>
          </w:p>
        </w:tc>
        <w:tc>
          <w:tcPr>
            <w:tcW w:type="dxa" w:w="3787"/>
            <w:vAlign w:val="center"/>
            <w:tcMar>
              <w:top w:w="65" w:type="dxa"/>
              <w:left w:w="75" w:type="dxa"/>
              <w:bottom w:w="65" w:type="dxa"/>
              <w:right w:w="75" w:type="dxa"/>
            </w:tcMar>
            <w:shd w:fill="244D68"/>
          </w:tcPr>
          <w:p>
            <w:pPr>
              <w:keepNext w:val="0"/>
              <w:spacing w:after="0" w:before="0" w:line="245" w:lineRule="auto"/>
            </w:pPr>
            <w:r>
              <w:rPr>
                <w:b/>
                <w:color w:val="FFFFFF"/>
                <w:sz w:val="18"/>
              </w:rPr>
              <w:t>Proposed design</w:t>
            </w:r>
          </w:p>
        </w:tc>
        <w:tc>
          <w:tcPr>
            <w:tcW w:type="dxa" w:w="4003"/>
            <w:vAlign w:val="center"/>
            <w:tcMar>
              <w:top w:w="65" w:type="dxa"/>
              <w:left w:w="75" w:type="dxa"/>
              <w:bottom w:w="65" w:type="dxa"/>
              <w:right w:w="75" w:type="dxa"/>
            </w:tcMar>
            <w:shd w:fill="244D68"/>
          </w:tcPr>
          <w:p>
            <w:pPr>
              <w:keepNext w:val="0"/>
              <w:spacing w:after="0" w:before="0" w:line="245" w:lineRule="auto"/>
            </w:pPr>
            <w:r>
              <w:rPr>
                <w:b/>
                <w:color w:val="FFFFFF"/>
                <w:sz w:val="18"/>
              </w:rPr>
              <w:t>What it would establish</w:t>
            </w:r>
          </w:p>
        </w:tc>
      </w:tr>
      <w:tr>
        <w:trPr>
          <w:cantSplit/>
        </w:trPr>
        <w:tc>
          <w:tcPr>
            <w:tcW w:type="dxa" w:w="2088"/>
            <w:vAlign w:val="center"/>
            <w:tcMar>
              <w:top w:w="65" w:type="dxa"/>
              <w:left w:w="75" w:type="dxa"/>
              <w:bottom w:w="65" w:type="dxa"/>
              <w:right w:w="75" w:type="dxa"/>
            </w:tcMar>
            <w:shd w:fill="F0F5F8"/>
          </w:tcPr>
          <w:p>
            <w:pPr>
              <w:keepNext w:val="0"/>
              <w:spacing w:after="0" w:before="0" w:line="245" w:lineRule="auto"/>
            </w:pPr>
            <w:r>
              <w:rPr>
                <w:sz w:val="18"/>
              </w:rPr>
              <w:t>Geographical validation</w:t>
            </w:r>
          </w:p>
        </w:tc>
        <w:tc>
          <w:tcPr>
            <w:tcW w:type="dxa" w:w="3787"/>
            <w:vAlign w:val="center"/>
            <w:tcMar>
              <w:top w:w="65" w:type="dxa"/>
              <w:left w:w="75" w:type="dxa"/>
              <w:bottom w:w="65" w:type="dxa"/>
              <w:right w:w="75" w:type="dxa"/>
            </w:tcMar>
            <w:shd w:fill="F0F5F8"/>
          </w:tcPr>
          <w:p>
            <w:pPr>
              <w:keepNext w:val="0"/>
              <w:spacing w:after="0" w:before="0" w:line="245" w:lineRule="auto"/>
            </w:pPr>
            <w:r>
              <w:rPr>
                <w:sz w:val="18"/>
              </w:rPr>
              <w:t>Apply the frozen KZN model to an independently held-out province with comparable measurements and justified screening rules. Evaluate before updating it.</w:t>
            </w:r>
          </w:p>
        </w:tc>
        <w:tc>
          <w:tcPr>
            <w:tcW w:type="dxa" w:w="4003"/>
            <w:vAlign w:val="center"/>
            <w:tcMar>
              <w:top w:w="65" w:type="dxa"/>
              <w:left w:w="75" w:type="dxa"/>
              <w:bottom w:w="65" w:type="dxa"/>
              <w:right w:w="75" w:type="dxa"/>
            </w:tcMar>
            <w:shd w:fill="F0F5F8"/>
          </w:tcPr>
          <w:p>
            <w:pPr>
              <w:keepNext w:val="0"/>
              <w:spacing w:after="0" w:before="0" w:line="245" w:lineRule="auto"/>
            </w:pPr>
            <w:r>
              <w:rPr>
                <w:sz w:val="18"/>
              </w:rPr>
              <w:t>Transfer across places; not proof of current statutory eligibility or human usability.</w:t>
            </w:r>
          </w:p>
        </w:tc>
      </w:tr>
      <w:tr>
        <w:trPr>
          <w:cantSplit/>
        </w:trPr>
        <w:tc>
          <w:tcPr>
            <w:tcW w:type="dxa" w:w="2088"/>
            <w:vAlign w:val="center"/>
            <w:tcMar>
              <w:top w:w="65" w:type="dxa"/>
              <w:left w:w="75" w:type="dxa"/>
              <w:bottom w:w="65" w:type="dxa"/>
              <w:right w:w="75" w:type="dxa"/>
            </w:tcMar>
            <w:shd w:fill="FFFFFF"/>
          </w:tcPr>
          <w:p>
            <w:pPr>
              <w:keepNext w:val="0"/>
              <w:spacing w:after="0" w:before="0" w:line="245" w:lineRule="auto"/>
            </w:pPr>
            <w:r>
              <w:rPr>
                <w:sz w:val="18"/>
              </w:rPr>
              <w:t>Temporal validation</w:t>
            </w:r>
          </w:p>
        </w:tc>
        <w:tc>
          <w:tcPr>
            <w:tcW w:type="dxa" w:w="3787"/>
            <w:vAlign w:val="center"/>
            <w:tcMar>
              <w:top w:w="65" w:type="dxa"/>
              <w:left w:w="75" w:type="dxa"/>
              <w:bottom w:w="65" w:type="dxa"/>
              <w:right w:w="75" w:type="dxa"/>
            </w:tcMar>
            <w:shd w:fill="FFFFFF"/>
          </w:tcPr>
          <w:p>
            <w:pPr>
              <w:keepNext w:val="0"/>
              <w:spacing w:after="0" w:before="0" w:line="245" w:lineRule="auto"/>
            </w:pPr>
            <w:r>
              <w:rPr>
                <w:sz w:val="18"/>
              </w:rPr>
              <w:t>Use a later dataset with compatible outcomes and documented period-specific thresholds and measurement changes.</w:t>
            </w:r>
          </w:p>
        </w:tc>
        <w:tc>
          <w:tcPr>
            <w:tcW w:type="dxa" w:w="4003"/>
            <w:vAlign w:val="center"/>
            <w:tcMar>
              <w:top w:w="65" w:type="dxa"/>
              <w:left w:w="75" w:type="dxa"/>
              <w:bottom w:w="65" w:type="dxa"/>
              <w:right w:w="75" w:type="dxa"/>
            </w:tcMar>
            <w:shd w:fill="FFFFFF"/>
          </w:tcPr>
          <w:p>
            <w:pPr>
              <w:keepNext w:val="0"/>
              <w:spacing w:after="0" w:before="0" w:line="245" w:lineRule="auto"/>
            </w:pPr>
            <w:r>
              <w:rPr>
                <w:sz w:val="18"/>
              </w:rPr>
              <w:t>Transfer across periods; different questions may limit comparability.</w:t>
            </w:r>
          </w:p>
        </w:tc>
      </w:tr>
      <w:tr>
        <w:trPr>
          <w:cantSplit/>
        </w:trPr>
        <w:tc>
          <w:tcPr>
            <w:tcW w:type="dxa" w:w="2088"/>
            <w:vAlign w:val="center"/>
            <w:tcMar>
              <w:top w:w="65" w:type="dxa"/>
              <w:left w:w="75" w:type="dxa"/>
              <w:bottom w:w="65" w:type="dxa"/>
              <w:right w:w="75" w:type="dxa"/>
            </w:tcMar>
            <w:shd w:fill="F0F5F8"/>
          </w:tcPr>
          <w:p>
            <w:pPr>
              <w:keepNext w:val="0"/>
              <w:spacing w:after="0" w:before="0" w:line="245" w:lineRule="auto"/>
            </w:pPr>
            <w:r>
              <w:rPr>
                <w:sz w:val="18"/>
              </w:rPr>
              <w:t>Participant usability</w:t>
            </w:r>
          </w:p>
        </w:tc>
        <w:tc>
          <w:tcPr>
            <w:tcW w:type="dxa" w:w="3787"/>
            <w:vAlign w:val="center"/>
            <w:tcMar>
              <w:top w:w="65" w:type="dxa"/>
              <w:left w:w="75" w:type="dxa"/>
              <w:bottom w:w="65" w:type="dxa"/>
              <w:right w:w="75" w:type="dxa"/>
            </w:tcMar>
            <w:shd w:fill="F0F5F8"/>
          </w:tcPr>
          <w:p>
            <w:pPr>
              <w:keepNext w:val="0"/>
              <w:spacing w:after="0" w:before="0" w:line="245" w:lineRule="auto"/>
            </w:pPr>
            <w:r>
              <w:rPr>
                <w:sz w:val="18"/>
              </w:rPr>
              <w:t>Recruit consenting intended research users and use synthetic data. Ask them to load data, inspect an unresolved case, distinguish a score from screening, and export a report.</w:t>
            </w:r>
          </w:p>
        </w:tc>
        <w:tc>
          <w:tcPr>
            <w:tcW w:type="dxa" w:w="4003"/>
            <w:vAlign w:val="center"/>
            <w:tcMar>
              <w:top w:w="65" w:type="dxa"/>
              <w:left w:w="75" w:type="dxa"/>
              <w:bottom w:w="65" w:type="dxa"/>
              <w:right w:w="75" w:type="dxa"/>
            </w:tcMar>
            <w:shd w:fill="F0F5F8"/>
          </w:tcPr>
          <w:p>
            <w:pPr>
              <w:keepNext w:val="0"/>
              <w:spacing w:after="0" w:before="0" w:line="245" w:lineRule="auto"/>
            </w:pPr>
            <w:r>
              <w:rPr>
                <w:sz w:val="18"/>
              </w:rPr>
              <w:t>Task completion, interpretation errors, time and perceived ease in the tested user group.</w:t>
            </w:r>
          </w:p>
        </w:tc>
      </w:tr>
    </w:tbl>
    <w:p>
      <w:pPr>
        <w:spacing w:after="0"/>
      </w:pPr>
    </w:p>
    <w:p>
      <w:r>
        <w:t>Other provinces in the same LCS are geographical validation only if they were not used to develop or tune the model. Reusing the identical national survey does not itself demonstrate participant usability. Testing the software with its owner also does not substitute for independent intended-user evidence.</w:t>
      </w:r>
    </w:p>
    <w:p>
      <w:r>
        <w:t>A small formative usability study can identify problems and improve instructions. It should not be described as a population-level estimate of user satisfaction or task performance. Recruitment, consent and the applicable institutional requirements should be settled when that future study is planned.</w:t>
      </w:r>
    </w:p>
    <w:p>
      <w:r/>
      <w:r>
        <w:rPr>
          <w:b/>
        </w:rPr>
        <w:t>Status:</w:t>
      </w:r>
      <w:r>
        <w:t xml:space="preserve"> the paragraph is ready for review as future work. It creates no new claim that external validation or participant testing has been completed.</w:t>
      </w:r>
    </w:p>
    <w:p>
      <w:r>
        <w:br w:type="page"/>
      </w:r>
    </w:p>
    <w:p>
      <w:pPr>
        <w:pStyle w:val="Heading1"/>
      </w:pPr>
      <w:r>
        <w:t>7. Bibliographic verification and IEEE formatting</w:t>
      </w:r>
    </w:p>
    <w:p>
      <w:r/>
      <w:r>
        <w:rPr>
          <w:b/>
        </w:rPr>
        <w:t>Location:</w:t>
      </w:r>
      <w:r>
        <w:t xml:space="preserve"> Pages 8–9 and the final exported paper.</w:t>
      </w:r>
    </w:p>
    <w:p>
      <w:r/>
      <w:r>
        <w:rPr>
          <w:b/>
        </w:rPr>
        <w:t>Feedback:</w:t>
      </w:r>
      <w:r>
        <w:t xml:space="preserve"> Complete the final bibliographic verification and academic-formatting review.</w:t>
      </w:r>
    </w:p>
    <w:p>
      <w:pPr>
        <w:pStyle w:val="Heading3"/>
      </w:pPr>
      <w:r>
        <w:t>Concrete corrections and checks</w:t>
      </w:r>
    </w:p>
    <w:tbl>
      <w:tblPr>
        <w:tblW w:type="auto" w:w="0"/>
        <w:jc w:val="center"/>
        <w:tblLayout w:type="fixed"/>
        <w:tblLook w:firstColumn="1" w:firstRow="1" w:lastColumn="0" w:lastRow="0" w:noHBand="0" w:noVBand="1" w:val="04A0"/>
      </w:tblPr>
      <w:tblGrid>
        <w:gridCol w:w="1512"/>
        <w:gridCol w:w="3816"/>
        <w:gridCol w:w="4550"/>
      </w:tblGrid>
      <w:tr>
        <w:trPr>
          <w:cantSplit/>
          <w:tblHeader/>
        </w:trPr>
        <w:tc>
          <w:tcPr>
            <w:tcW w:type="dxa" w:w="1512"/>
            <w:vAlign w:val="center"/>
            <w:tcMar>
              <w:top w:w="65" w:type="dxa"/>
              <w:left w:w="75" w:type="dxa"/>
              <w:bottom w:w="65" w:type="dxa"/>
              <w:right w:w="75" w:type="dxa"/>
            </w:tcMar>
            <w:shd w:fill="244D68"/>
          </w:tcPr>
          <w:p>
            <w:pPr>
              <w:keepNext w:val="0"/>
              <w:spacing w:after="0" w:before="0" w:line="245" w:lineRule="auto"/>
            </w:pPr>
            <w:r>
              <w:rPr>
                <w:b/>
                <w:color w:val="FFFFFF"/>
                <w:sz w:val="18"/>
              </w:rPr>
              <w:t>Item</w:t>
            </w:r>
          </w:p>
        </w:tc>
        <w:tc>
          <w:tcPr>
            <w:tcW w:type="dxa" w:w="3816"/>
            <w:vAlign w:val="center"/>
            <w:tcMar>
              <w:top w:w="65" w:type="dxa"/>
              <w:left w:w="75" w:type="dxa"/>
              <w:bottom w:w="65" w:type="dxa"/>
              <w:right w:w="75" w:type="dxa"/>
            </w:tcMar>
            <w:shd w:fill="244D68"/>
          </w:tcPr>
          <w:p>
            <w:pPr>
              <w:keepNext w:val="0"/>
              <w:spacing w:after="0" w:before="0" w:line="245" w:lineRule="auto"/>
            </w:pPr>
            <w:r>
              <w:rPr>
                <w:b/>
                <w:color w:val="FFFFFF"/>
                <w:sz w:val="18"/>
              </w:rPr>
              <w:t>Finding in the uploaded paper</w:t>
            </w:r>
          </w:p>
        </w:tc>
        <w:tc>
          <w:tcPr>
            <w:tcW w:type="dxa" w:w="4550"/>
            <w:vAlign w:val="center"/>
            <w:tcMar>
              <w:top w:w="65" w:type="dxa"/>
              <w:left w:w="75" w:type="dxa"/>
              <w:bottom w:w="65" w:type="dxa"/>
              <w:right w:w="75" w:type="dxa"/>
            </w:tcMar>
            <w:shd w:fill="244D68"/>
          </w:tcPr>
          <w:p>
            <w:pPr>
              <w:keepNext w:val="0"/>
              <w:spacing w:after="0" w:before="0" w:line="245" w:lineRule="auto"/>
            </w:pPr>
            <w:r>
              <w:rPr>
                <w:b/>
                <w:color w:val="FFFFFF"/>
                <w:sz w:val="18"/>
              </w:rPr>
              <w:t>Proposed correction</w:t>
            </w:r>
          </w:p>
        </w:tc>
      </w:tr>
      <w:tr>
        <w:trPr>
          <w:cantSplit/>
        </w:trPr>
        <w:tc>
          <w:tcPr>
            <w:tcW w:type="dxa" w:w="1512"/>
            <w:vAlign w:val="center"/>
            <w:tcMar>
              <w:top w:w="65" w:type="dxa"/>
              <w:left w:w="75" w:type="dxa"/>
              <w:bottom w:w="65" w:type="dxa"/>
              <w:right w:w="75" w:type="dxa"/>
            </w:tcMar>
            <w:shd w:fill="F0F5F8"/>
          </w:tcPr>
          <w:p>
            <w:pPr>
              <w:keepNext w:val="0"/>
              <w:spacing w:after="0" w:before="0" w:line="245" w:lineRule="auto"/>
            </w:pPr>
            <w:r>
              <w:rPr>
                <w:sz w:val="18"/>
              </w:rPr>
              <w:t>Citation sequence</w:t>
            </w:r>
          </w:p>
        </w:tc>
        <w:tc>
          <w:tcPr>
            <w:tcW w:type="dxa" w:w="3816"/>
            <w:vAlign w:val="center"/>
            <w:tcMar>
              <w:top w:w="65" w:type="dxa"/>
              <w:left w:w="75" w:type="dxa"/>
              <w:bottom w:w="65" w:type="dxa"/>
              <w:right w:w="75" w:type="dxa"/>
            </w:tcMar>
            <w:shd w:fill="F0F5F8"/>
          </w:tcPr>
          <w:p>
            <w:pPr>
              <w:keepNext w:val="0"/>
              <w:spacing w:after="0" w:before="0" w:line="245" w:lineRule="auto"/>
            </w:pPr>
            <w:r>
              <w:rPr>
                <w:sz w:val="18"/>
              </w:rPr>
              <w:t>First-use citations and bibliography entries run from [1] to [28]. No numbering error was found.</w:t>
            </w:r>
          </w:p>
        </w:tc>
        <w:tc>
          <w:tcPr>
            <w:tcW w:type="dxa" w:w="4550"/>
            <w:vAlign w:val="center"/>
            <w:tcMar>
              <w:top w:w="65" w:type="dxa"/>
              <w:left w:w="75" w:type="dxa"/>
              <w:bottom w:w="65" w:type="dxa"/>
              <w:right w:w="75" w:type="dxa"/>
            </w:tcMar>
            <w:shd w:fill="F0F5F8"/>
          </w:tcPr>
          <w:p>
            <w:pPr>
              <w:keepNext w:val="0"/>
              <w:spacing w:after="0" w:before="0" w:line="245" w:lineRule="auto"/>
            </w:pPr>
            <w:r>
              <w:rPr>
                <w:sz w:val="18"/>
              </w:rPr>
              <w:t>Retain numbering and check again after revisions.</w:t>
            </w:r>
          </w:p>
        </w:tc>
      </w:tr>
      <w:tr>
        <w:trPr>
          <w:cantSplit/>
        </w:trPr>
        <w:tc>
          <w:tcPr>
            <w:tcW w:type="dxa" w:w="1512"/>
            <w:vAlign w:val="center"/>
            <w:tcMar>
              <w:top w:w="65" w:type="dxa"/>
              <w:left w:w="75" w:type="dxa"/>
              <w:bottom w:w="65" w:type="dxa"/>
              <w:right w:w="75" w:type="dxa"/>
            </w:tcMar>
            <w:shd w:fill="FFFFFF"/>
          </w:tcPr>
          <w:p>
            <w:pPr>
              <w:keepNext w:val="0"/>
              <w:spacing w:after="0" w:before="0" w:line="245" w:lineRule="auto"/>
            </w:pPr>
            <w:r>
              <w:rPr>
                <w:sz w:val="18"/>
              </w:rPr>
              <w:t>Eighteen DOI references</w:t>
            </w:r>
          </w:p>
        </w:tc>
        <w:tc>
          <w:tcPr>
            <w:tcW w:type="dxa" w:w="3816"/>
            <w:vAlign w:val="center"/>
            <w:tcMar>
              <w:top w:w="65" w:type="dxa"/>
              <w:left w:w="75" w:type="dxa"/>
              <w:bottom w:w="65" w:type="dxa"/>
              <w:right w:w="75" w:type="dxa"/>
            </w:tcMar>
            <w:shd w:fill="FFFFFF"/>
          </w:tcPr>
          <w:p>
            <w:pPr>
              <w:keepNext w:val="0"/>
              <w:spacing w:after="0" w:before="0" w:line="245" w:lineRule="auto"/>
            </w:pPr>
            <w:r>
              <w:rPr>
                <w:sz w:val="18"/>
              </w:rPr>
              <w:t>DOI strings are present; this review did not externally verify their metadata or cited findings.</w:t>
            </w:r>
          </w:p>
        </w:tc>
        <w:tc>
          <w:tcPr>
            <w:tcW w:type="dxa" w:w="4550"/>
            <w:vAlign w:val="center"/>
            <w:tcMar>
              <w:top w:w="65" w:type="dxa"/>
              <w:left w:w="75" w:type="dxa"/>
              <w:bottom w:w="65" w:type="dxa"/>
              <w:right w:w="75" w:type="dxa"/>
            </w:tcMar>
            <w:shd w:fill="FFFFFF"/>
          </w:tcPr>
          <w:p>
            <w:pPr>
              <w:keepNext w:val="0"/>
              <w:spacing w:after="0" w:before="0" w:line="245" w:lineRule="auto"/>
            </w:pPr>
            <w:r>
              <w:rPr>
                <w:sz w:val="18"/>
              </w:rPr>
              <w:t>Check each against its publisher record and article; record authors, title, year, volume, issue, pages/article number and DOI. Verify support for claims separately.</w:t>
            </w:r>
          </w:p>
        </w:tc>
      </w:tr>
      <w:tr>
        <w:trPr>
          <w:cantSplit/>
        </w:trPr>
        <w:tc>
          <w:tcPr>
            <w:tcW w:type="dxa" w:w="1512"/>
            <w:vAlign w:val="center"/>
            <w:tcMar>
              <w:top w:w="65" w:type="dxa"/>
              <w:left w:w="75" w:type="dxa"/>
              <w:bottom w:w="65" w:type="dxa"/>
              <w:right w:w="75" w:type="dxa"/>
            </w:tcMar>
            <w:shd w:fill="F0F5F8"/>
          </w:tcPr>
          <w:p>
            <w:pPr>
              <w:keepNext w:val="0"/>
              <w:spacing w:after="0" w:before="0" w:line="245" w:lineRule="auto"/>
            </w:pPr>
            <w:r>
              <w:rPr>
                <w:sz w:val="18"/>
              </w:rPr>
              <w:t>Thesis [12]</w:t>
            </w:r>
          </w:p>
        </w:tc>
        <w:tc>
          <w:tcPr>
            <w:tcW w:type="dxa" w:w="3816"/>
            <w:vAlign w:val="center"/>
            <w:tcMar>
              <w:top w:w="65" w:type="dxa"/>
              <w:left w:w="75" w:type="dxa"/>
              <w:bottom w:w="65" w:type="dxa"/>
              <w:right w:w="75" w:type="dxa"/>
            </w:tcMar>
            <w:shd w:fill="F0F5F8"/>
          </w:tcPr>
          <w:p>
            <w:pPr>
              <w:keepNext w:val="0"/>
              <w:spacing w:after="0" w:before="0" w:line="245" w:lineRule="auto"/>
            </w:pPr>
            <w:r>
              <w:rPr>
                <w:sz w:val="18"/>
              </w:rPr>
              <w:t>A permanent repository handle is supplied.</w:t>
            </w:r>
          </w:p>
        </w:tc>
        <w:tc>
          <w:tcPr>
            <w:tcW w:type="dxa" w:w="4550"/>
            <w:vAlign w:val="center"/>
            <w:tcMar>
              <w:top w:w="65" w:type="dxa"/>
              <w:left w:w="75" w:type="dxa"/>
              <w:bottom w:w="65" w:type="dxa"/>
              <w:right w:w="75" w:type="dxa"/>
            </w:tcMar>
            <w:shd w:fill="F0F5F8"/>
          </w:tcPr>
          <w:p>
            <w:pPr>
              <w:keepNext w:val="0"/>
              <w:spacing w:after="0" w:before="0" w:line="245" w:lineRule="auto"/>
            </w:pPr>
            <w:r>
              <w:rPr>
                <w:sz w:val="18"/>
              </w:rPr>
              <w:t>Check exact title, degree, institutional unit and date against that repository record.</w:t>
            </w:r>
          </w:p>
        </w:tc>
      </w:tr>
      <w:tr>
        <w:trPr>
          <w:cantSplit/>
        </w:trPr>
        <w:tc>
          <w:tcPr>
            <w:tcW w:type="dxa" w:w="1512"/>
            <w:vAlign w:val="center"/>
            <w:tcMar>
              <w:top w:w="65" w:type="dxa"/>
              <w:left w:w="75" w:type="dxa"/>
              <w:bottom w:w="65" w:type="dxa"/>
              <w:right w:w="75" w:type="dxa"/>
            </w:tcMar>
            <w:shd w:fill="FFFFFF"/>
          </w:tcPr>
          <w:p>
            <w:pPr>
              <w:keepNext w:val="0"/>
              <w:spacing w:after="0" w:before="0" w:line="245" w:lineRule="auto"/>
            </w:pPr>
            <w:r>
              <w:rPr>
                <w:sz w:val="18"/>
              </w:rPr>
              <w:t>Statistics South Africa [21]–[23]</w:t>
            </w:r>
          </w:p>
        </w:tc>
        <w:tc>
          <w:tcPr>
            <w:tcW w:type="dxa" w:w="3816"/>
            <w:vAlign w:val="center"/>
            <w:tcMar>
              <w:top w:w="65" w:type="dxa"/>
              <w:left w:w="75" w:type="dxa"/>
              <w:bottom w:w="65" w:type="dxa"/>
              <w:right w:w="75" w:type="dxa"/>
            </w:tcMar>
            <w:shd w:fill="FFFFFF"/>
          </w:tcPr>
          <w:p>
            <w:pPr>
              <w:keepNext w:val="0"/>
              <w:spacing w:after="0" w:before="0" w:line="245" w:lineRule="auto"/>
            </w:pPr>
            <w:r>
              <w:rPr>
                <w:sz w:val="18"/>
              </w:rPr>
              <w:t>Version/access details are incomplete; [22] and [23] lack publication years.</w:t>
            </w:r>
          </w:p>
        </w:tc>
        <w:tc>
          <w:tcPr>
            <w:tcW w:type="dxa" w:w="4550"/>
            <w:vAlign w:val="center"/>
            <w:tcMar>
              <w:top w:w="65" w:type="dxa"/>
              <w:left w:w="75" w:type="dxa"/>
              <w:bottom w:w="65" w:type="dxa"/>
              <w:right w:w="75" w:type="dxa"/>
            </w:tcMar>
            <w:shd w:fill="FFFFFF"/>
          </w:tcPr>
          <w:p>
            <w:pPr>
              <w:keepNext w:val="0"/>
              <w:spacing w:after="0" w:before="0" w:line="245" w:lineRule="auto"/>
            </w:pPr>
            <w:r>
              <w:rPr>
                <w:sz w:val="18"/>
              </w:rPr>
              <w:t>Use dates and titles from the actual sources; add stable URLs/access dates where required. Do not substitute survey years for publication dates.</w:t>
            </w:r>
          </w:p>
        </w:tc>
      </w:tr>
      <w:tr>
        <w:trPr>
          <w:cantSplit/>
        </w:trPr>
        <w:tc>
          <w:tcPr>
            <w:tcW w:type="dxa" w:w="1512"/>
            <w:vAlign w:val="center"/>
            <w:tcMar>
              <w:top w:w="65" w:type="dxa"/>
              <w:left w:w="75" w:type="dxa"/>
              <w:bottom w:w="65" w:type="dxa"/>
              <w:right w:w="75" w:type="dxa"/>
            </w:tcMar>
            <w:shd w:fill="F0F5F8"/>
          </w:tcPr>
          <w:p>
            <w:pPr>
              <w:keepNext w:val="0"/>
              <w:spacing w:after="0" w:before="0" w:line="245" w:lineRule="auto"/>
            </w:pPr>
            <w:r>
              <w:rPr>
                <w:sz w:val="18"/>
              </w:rPr>
              <w:t>Legal reference [26]</w:t>
            </w:r>
          </w:p>
        </w:tc>
        <w:tc>
          <w:tcPr>
            <w:tcW w:type="dxa" w:w="3816"/>
            <w:vAlign w:val="center"/>
            <w:tcMar>
              <w:top w:w="65" w:type="dxa"/>
              <w:left w:w="75" w:type="dxa"/>
              <w:bottom w:w="65" w:type="dxa"/>
              <w:right w:w="75" w:type="dxa"/>
            </w:tcMar>
            <w:shd w:fill="F0F5F8"/>
          </w:tcPr>
          <w:p>
            <w:pPr>
              <w:keepNext w:val="0"/>
              <w:spacing w:after="0" w:before="0" w:line="245" w:lineRule="auto"/>
            </w:pPr>
            <w:r>
              <w:rPr>
                <w:sz w:val="18"/>
              </w:rPr>
              <w:t>The 2014 amendment omits its notice identifier.</w:t>
            </w:r>
          </w:p>
        </w:tc>
        <w:tc>
          <w:tcPr>
            <w:tcW w:type="dxa" w:w="4550"/>
            <w:vAlign w:val="center"/>
            <w:tcMar>
              <w:top w:w="65" w:type="dxa"/>
              <w:left w:w="75" w:type="dxa"/>
              <w:bottom w:w="65" w:type="dxa"/>
              <w:right w:w="75" w:type="dxa"/>
            </w:tcMar>
            <w:shd w:fill="F0F5F8"/>
          </w:tcPr>
          <w:p>
            <w:pPr>
              <w:keepNext w:val="0"/>
              <w:spacing w:after="0" w:before="0" w:line="245" w:lineRule="auto"/>
            </w:pPr>
            <w:r>
              <w:rPr>
                <w:sz w:val="18"/>
              </w:rPr>
              <w:t>Add Government Notice R211; distinguish it from the separate grant-rate GN 211.</w:t>
            </w:r>
          </w:p>
        </w:tc>
      </w:tr>
      <w:tr>
        <w:trPr>
          <w:cantSplit/>
        </w:trPr>
        <w:tc>
          <w:tcPr>
            <w:tcW w:type="dxa" w:w="1512"/>
            <w:vAlign w:val="center"/>
            <w:tcMar>
              <w:top w:w="65" w:type="dxa"/>
              <w:left w:w="75" w:type="dxa"/>
              <w:bottom w:w="65" w:type="dxa"/>
              <w:right w:w="75" w:type="dxa"/>
            </w:tcMar>
            <w:shd w:fill="FFFFFF"/>
          </w:tcPr>
          <w:p>
            <w:pPr>
              <w:keepNext w:val="0"/>
              <w:spacing w:after="0" w:before="0" w:line="245" w:lineRule="auto"/>
            </w:pPr>
            <w:r>
              <w:rPr>
                <w:sz w:val="18"/>
              </w:rPr>
              <w:t>Reference style</w:t>
            </w:r>
          </w:p>
        </w:tc>
        <w:tc>
          <w:tcPr>
            <w:tcW w:type="dxa" w:w="3816"/>
            <w:vAlign w:val="center"/>
            <w:tcMar>
              <w:top w:w="65" w:type="dxa"/>
              <w:left w:w="75" w:type="dxa"/>
              <w:bottom w:w="65" w:type="dxa"/>
              <w:right w:w="75" w:type="dxa"/>
            </w:tcMar>
            <w:shd w:fill="FFFFFF"/>
          </w:tcPr>
          <w:p>
            <w:pPr>
              <w:keepNext w:val="0"/>
              <w:spacing w:after="0" w:before="0" w:line="245" w:lineRule="auto"/>
            </w:pPr>
            <w:r>
              <w:rPr>
                <w:sz w:val="18"/>
              </w:rPr>
              <w:t>Journal abbreviations, article labels and online entries need one consistent convention.</w:t>
            </w:r>
          </w:p>
        </w:tc>
        <w:tc>
          <w:tcPr>
            <w:tcW w:type="dxa" w:w="4550"/>
            <w:vAlign w:val="center"/>
            <w:tcMar>
              <w:top w:w="65" w:type="dxa"/>
              <w:left w:w="75" w:type="dxa"/>
              <w:bottom w:w="65" w:type="dxa"/>
              <w:right w:w="75" w:type="dxa"/>
            </w:tcMar>
            <w:shd w:fill="FFFFFF"/>
          </w:tcPr>
          <w:p>
            <w:pPr>
              <w:keepNext w:val="0"/>
              <w:spacing w:after="0" w:before="0" w:line="245" w:lineRule="auto"/>
            </w:pPr>
            <w:r>
              <w:rPr>
                <w:sz w:val="18"/>
              </w:rPr>
              <w:t>Apply the chosen IEEE venue’s style while preserving exact source titles.</w:t>
            </w:r>
          </w:p>
        </w:tc>
      </w:tr>
      <w:tr>
        <w:trPr>
          <w:cantSplit/>
        </w:trPr>
        <w:tc>
          <w:tcPr>
            <w:tcW w:type="dxa" w:w="1512"/>
            <w:vAlign w:val="center"/>
            <w:tcMar>
              <w:top w:w="65" w:type="dxa"/>
              <w:left w:w="75" w:type="dxa"/>
              <w:bottom w:w="65" w:type="dxa"/>
              <w:right w:w="75" w:type="dxa"/>
            </w:tcMar>
            <w:shd w:fill="F0F5F8"/>
          </w:tcPr>
          <w:p>
            <w:pPr>
              <w:keepNext w:val="0"/>
              <w:spacing w:after="0" w:before="0" w:line="245" w:lineRule="auto"/>
            </w:pPr>
            <w:r>
              <w:rPr>
                <w:sz w:val="18"/>
              </w:rPr>
              <w:t>Word headings</w:t>
            </w:r>
          </w:p>
        </w:tc>
        <w:tc>
          <w:tcPr>
            <w:tcW w:type="dxa" w:w="3816"/>
            <w:vAlign w:val="center"/>
            <w:tcMar>
              <w:top w:w="65" w:type="dxa"/>
              <w:left w:w="75" w:type="dxa"/>
              <w:bottom w:w="65" w:type="dxa"/>
              <w:right w:w="75" w:type="dxa"/>
            </w:tcMar>
            <w:shd w:fill="F0F5F8"/>
          </w:tcPr>
          <w:p>
            <w:pPr>
              <w:keepNext w:val="0"/>
              <w:spacing w:after="0" w:before="0" w:line="245" w:lineRule="auto"/>
            </w:pPr>
            <w:r>
              <w:rPr>
                <w:sz w:val="18"/>
              </w:rPr>
              <w:t>Duplicate Heading1/Heading2 style identifiers have conflicting definitions.</w:t>
            </w:r>
          </w:p>
        </w:tc>
        <w:tc>
          <w:tcPr>
            <w:tcW w:type="dxa" w:w="4550"/>
            <w:vAlign w:val="center"/>
            <w:tcMar>
              <w:top w:w="65" w:type="dxa"/>
              <w:left w:w="75" w:type="dxa"/>
              <w:bottom w:w="65" w:type="dxa"/>
              <w:right w:w="75" w:type="dxa"/>
            </w:tcMar>
            <w:shd w:fill="F0F5F8"/>
          </w:tcPr>
          <w:p>
            <w:pPr>
              <w:keepNext w:val="0"/>
              <w:spacing w:after="0" w:before="0" w:line="245" w:lineRule="auto"/>
            </w:pPr>
            <w:r>
              <w:rPr>
                <w:sz w:val="18"/>
              </w:rPr>
              <w:t>Rebuild with one consistent set of official IEEE styles; inspect the exported headings.</w:t>
            </w:r>
          </w:p>
        </w:tc>
      </w:tr>
      <w:tr>
        <w:trPr>
          <w:cantSplit/>
        </w:trPr>
        <w:tc>
          <w:tcPr>
            <w:tcW w:type="dxa" w:w="1512"/>
            <w:vAlign w:val="center"/>
            <w:tcMar>
              <w:top w:w="65" w:type="dxa"/>
              <w:left w:w="75" w:type="dxa"/>
              <w:bottom w:w="65" w:type="dxa"/>
              <w:right w:w="75" w:type="dxa"/>
            </w:tcMar>
            <w:shd w:fill="FFFFFF"/>
          </w:tcPr>
          <w:p>
            <w:pPr>
              <w:keepNext w:val="0"/>
              <w:spacing w:after="0" w:before="0" w:line="245" w:lineRule="auto"/>
            </w:pPr>
            <w:r>
              <w:rPr>
                <w:sz w:val="18"/>
              </w:rPr>
              <w:t>Reference spacing</w:t>
            </w:r>
          </w:p>
        </w:tc>
        <w:tc>
          <w:tcPr>
            <w:tcW w:type="dxa" w:w="3816"/>
            <w:vAlign w:val="center"/>
            <w:tcMar>
              <w:top w:w="65" w:type="dxa"/>
              <w:left w:w="75" w:type="dxa"/>
              <w:bottom w:w="65" w:type="dxa"/>
              <w:right w:w="75" w:type="dxa"/>
            </w:tcMar>
            <w:shd w:fill="FFFFFF"/>
          </w:tcPr>
          <w:p>
            <w:pPr>
              <w:keepNext w:val="0"/>
              <w:spacing w:after="0" w:before="0" w:line="245" w:lineRule="auto"/>
            </w:pPr>
            <w:r>
              <w:rPr>
                <w:sz w:val="18"/>
              </w:rPr>
              <w:t>The file uses 8 pt references with compressed line spacing (160 twips).</w:t>
            </w:r>
          </w:p>
        </w:tc>
        <w:tc>
          <w:tcPr>
            <w:tcW w:type="dxa" w:w="4550"/>
            <w:vAlign w:val="center"/>
            <w:tcMar>
              <w:top w:w="65" w:type="dxa"/>
              <w:left w:w="75" w:type="dxa"/>
              <w:bottom w:w="65" w:type="dxa"/>
              <w:right w:w="75" w:type="dxa"/>
            </w:tcMar>
            <w:shd w:fill="FFFFFF"/>
          </w:tcPr>
          <w:p>
            <w:pPr>
              <w:keepNext w:val="0"/>
              <w:spacing w:after="0" w:before="0" w:line="245" w:lineRule="auto"/>
            </w:pPr>
            <w:r>
              <w:rPr>
                <w:sz w:val="18"/>
              </w:rPr>
              <w:t>Restore template-prescribed spacing. Reduce repetition or move detail to the supplement to meet the page limit.</w:t>
            </w:r>
          </w:p>
        </w:tc>
      </w:tr>
      <w:tr>
        <w:trPr>
          <w:cantSplit/>
        </w:trPr>
        <w:tc>
          <w:tcPr>
            <w:tcW w:type="dxa" w:w="1512"/>
            <w:vAlign w:val="center"/>
            <w:tcMar>
              <w:top w:w="65" w:type="dxa"/>
              <w:left w:w="75" w:type="dxa"/>
              <w:bottom w:w="65" w:type="dxa"/>
              <w:right w:w="75" w:type="dxa"/>
            </w:tcMar>
            <w:shd w:fill="F0F5F8"/>
          </w:tcPr>
          <w:p>
            <w:pPr>
              <w:keepNext w:val="0"/>
              <w:spacing w:after="0" w:before="0" w:line="245" w:lineRule="auto"/>
            </w:pPr>
            <w:r>
              <w:rPr>
                <w:sz w:val="18"/>
              </w:rPr>
              <w:t>Final pagination</w:t>
            </w:r>
          </w:p>
        </w:tc>
        <w:tc>
          <w:tcPr>
            <w:tcW w:type="dxa" w:w="3816"/>
            <w:vAlign w:val="center"/>
            <w:tcMar>
              <w:top w:w="65" w:type="dxa"/>
              <w:left w:w="75" w:type="dxa"/>
              <w:bottom w:w="65" w:type="dxa"/>
              <w:right w:w="75" w:type="dxa"/>
            </w:tcMar>
            <w:shd w:fill="F0F5F8"/>
          </w:tcPr>
          <w:p>
            <w:pPr>
              <w:keepNext w:val="0"/>
              <w:spacing w:after="0" w:before="0" w:line="245" w:lineRule="auto"/>
            </w:pPr>
            <w:r>
              <w:rPr>
                <w:sz w:val="18"/>
              </w:rPr>
              <w:t>Feedback refers to pages 8–9; this review has not verified a compliant eight-page paper export.</w:t>
            </w:r>
          </w:p>
        </w:tc>
        <w:tc>
          <w:tcPr>
            <w:tcW w:type="dxa" w:w="4550"/>
            <w:vAlign w:val="center"/>
            <w:tcMar>
              <w:top w:w="65" w:type="dxa"/>
              <w:left w:w="75" w:type="dxa"/>
              <w:bottom w:w="65" w:type="dxa"/>
              <w:right w:w="75" w:type="dxa"/>
            </w:tcMar>
            <w:shd w:fill="F0F5F8"/>
          </w:tcPr>
          <w:p>
            <w:pPr>
              <w:keepNext w:val="0"/>
              <w:spacing w:after="0" w:before="0" w:line="245" w:lineRule="auto"/>
            </w:pPr>
            <w:r>
              <w:rPr>
                <w:sz w:val="18"/>
              </w:rPr>
              <w:t>Export the complete revised paper and verify at most eight pages including references, with readable tables/captions, correct columns and no clipping.</w:t>
            </w:r>
          </w:p>
        </w:tc>
      </w:tr>
    </w:tbl>
    <w:p>
      <w:pPr>
        <w:spacing w:after="0"/>
      </w:pPr>
    </w:p>
    <w:p>
      <w:pPr>
        <w:pStyle w:val="Heading3"/>
      </w:pPr>
      <w:r>
        <w:t>Proposed corrected reference [26]</w:t>
      </w:r>
    </w:p>
    <w:p>
      <w:r>
        <w:t>[26] Dept. of Social Development, “Amendment: Social Assistance Regulations,” Government Notice R211, Government Gazette 37474, pp. 4–5, Mar. 28, 2014.</w:t>
      </w:r>
    </w:p>
    <w:p>
      <w:r>
        <w:t>The retained historical-source audit supports the R211 identification. Check final punctuation against the selected venue’s requirements; the bibliographic audit should preserve the distinction between verifying source metadata and verifying the study’s interpretation of the law.</w:t>
      </w:r>
    </w:p>
    <w:p>
      <w:pPr>
        <w:pStyle w:val="Heading3"/>
      </w:pPr>
      <w:r>
        <w:t>Completion record to keep</w:t>
      </w:r>
    </w:p>
    <w:p>
      <w:r>
        <w:t>For every reference, record the source checked, metadata corrections and date checked. After incorporating approved content, verify citation order, cross-references, symbols, table/figure placement, hanging indents, embedded fonts and the eight-page count. This solutions document does not certify that those final-paper checks or the new analyses have been completed.</w:t>
      </w:r>
    </w:p>
    <w:p>
      <w:r>
        <w:br w:type="page"/>
      </w:r>
    </w:p>
    <w:p>
      <w:pPr>
        <w:pStyle w:val="Heading1"/>
      </w:pPr>
      <w:r>
        <w:rPr>
          <w:b w:val="0"/>
        </w:rPr>
        <w:t>Addendum — Missing item 1: Supplementary evidence</w:t>
      </w:r>
    </w:p>
    <w:p>
      <w:r>
        <w:rPr>
          <w:b w:val="0"/>
        </w:rPr>
      </w:r>
      <w:r>
        <w:rPr>
          <w:b/>
        </w:rPr>
        <w:t>Evidence review added: 21 October 2026</w:t>
      </w:r>
      <w:r>
        <w:rPr>
          <w:b w:val="0"/>
        </w:rPr>
      </w:r>
    </w:p>
    <w:p>
      <w:r>
        <w:rPr>
          <w:b w:val="0"/>
        </w:rPr>
        <w:t>This addendum addresses the first outstanding item in the latest PDF assessment: checking the cited supplementary tables and supporting validation records. The original nine-page solutions document remains the earlier proposal. Its statements that analyses were unperformed predate the additional results now reported in the manuscript and available in GitHub.</w:t>
      </w:r>
    </w:p>
    <w:p>
      <w:pPr>
        <w:pStyle w:val="Heading3"/>
      </w:pPr>
      <w:r>
        <w:rPr>
          <w:b w:val="0"/>
        </w:rPr>
        <w:t>Evidence located and checked</w:t>
      </w:r>
    </w:p>
    <w:p>
      <w:r>
        <w:rPr>
          <w:b w:val="0"/>
        </w:rPr>
        <w:t xml:space="preserve">The review inspected repository commit </w:t>
      </w:r>
      <w:r>
        <w:rPr>
          <w:b/>
        </w:rPr>
        <w:t>cdcc53be</w:t>
      </w:r>
      <w:r>
        <w:rPr>
          <w:b w:val="0"/>
        </w:rPr>
        <w:t xml:space="preserve"> and the supplied PDF. The repository contains </w:t>
      </w:r>
      <w:r>
        <w:rPr>
          <w:b/>
        </w:rPr>
        <w:t>paper/supplement_screening.md</w:t>
      </w:r>
      <w:r>
        <w:rPr>
          <w:b w:val="0"/>
        </w:rPr>
        <w:t>, with Tables S1–S4, two validation scripts and their saved aggregate outputs. These records were available in GitHub even though the supplement was not attached to the PDF message.</w:t>
      </w:r>
    </w:p>
    <w:tbl>
      <w:tblPr>
        <w:tblW w:type="auto" w:w="0"/>
        <w:jc w:val="center"/>
        <w:tblLayout w:type="fixed"/>
        <w:tblLook w:firstColumn="1" w:firstRow="1" w:lastColumn="0" w:lastRow="0" w:noHBand="0" w:noVBand="1" w:val="04A0"/>
      </w:tblPr>
      <w:tblGrid>
        <w:gridCol w:w="2376"/>
        <w:gridCol w:w="3744"/>
        <w:gridCol w:w="3758"/>
      </w:tblGrid>
      <w:tr>
        <w:trPr>
          <w:cantSplit/>
          <w:tblHeader/>
        </w:trPr>
        <w:tc>
          <w:tcPr>
            <w:tcW w:type="dxa" w:w="2376"/>
            <w:vAlign w:val="center"/>
            <w:shd w:fill="244D68"/>
            <w:tcMar>
              <w:top w:w="65" w:type="dxa"/>
              <w:bottom w:w="65" w:type="dxa"/>
              <w:left w:w="65" w:type="dxa"/>
              <w:right w:w="65" w:type="dxa"/>
            </w:tcMar>
          </w:tcPr>
          <w:p>
            <w:pPr>
              <w:keepNext w:val="0"/>
              <w:spacing w:after="20" w:before="20" w:line="245" w:lineRule="auto"/>
            </w:pPr>
            <w:r>
              <w:rPr>
                <w:b/>
                <w:color w:val="FFFFFF"/>
                <w:sz w:val="18"/>
              </w:rPr>
              <w:t>Supplement</w:t>
            </w:r>
          </w:p>
        </w:tc>
        <w:tc>
          <w:tcPr>
            <w:tcW w:type="dxa" w:w="3744"/>
            <w:vAlign w:val="center"/>
            <w:shd w:fill="244D68"/>
            <w:tcMar>
              <w:top w:w="65" w:type="dxa"/>
              <w:bottom w:w="65" w:type="dxa"/>
              <w:left w:w="65" w:type="dxa"/>
              <w:right w:w="65" w:type="dxa"/>
            </w:tcMar>
          </w:tcPr>
          <w:p>
            <w:pPr>
              <w:keepNext w:val="0"/>
              <w:spacing w:after="20" w:before="20" w:line="245" w:lineRule="auto"/>
            </w:pPr>
            <w:r>
              <w:rPr>
                <w:b/>
                <w:color w:val="FFFFFF"/>
                <w:sz w:val="18"/>
              </w:rPr>
              <w:t>Evidence found</w:t>
            </w:r>
          </w:p>
        </w:tc>
        <w:tc>
          <w:tcPr>
            <w:tcW w:type="dxa" w:w="3758"/>
            <w:vAlign w:val="center"/>
            <w:shd w:fill="244D68"/>
            <w:tcMar>
              <w:top w:w="65" w:type="dxa"/>
              <w:bottom w:w="65" w:type="dxa"/>
              <w:left w:w="65" w:type="dxa"/>
              <w:right w:w="65" w:type="dxa"/>
            </w:tcMar>
          </w:tcPr>
          <w:p>
            <w:pPr>
              <w:keepNext w:val="0"/>
              <w:spacing w:after="20" w:before="20" w:line="245" w:lineRule="auto"/>
            </w:pPr>
            <w:r>
              <w:rPr>
                <w:b/>
                <w:color w:val="FFFFFF"/>
                <w:sz w:val="18"/>
              </w:rPr>
              <w:t>Finding</w:t>
            </w:r>
          </w:p>
        </w:tc>
      </w:tr>
      <w:tr>
        <w:trPr>
          <w:cantSplit/>
        </w:trPr>
        <w:tc>
          <w:tcPr>
            <w:tcW w:type="dxa" w:w="2376"/>
            <w:vAlign w:val="center"/>
            <w:shd w:fill="F0F5F8"/>
            <w:tcMar>
              <w:top w:w="65" w:type="dxa"/>
              <w:bottom w:w="65" w:type="dxa"/>
              <w:left w:w="65" w:type="dxa"/>
              <w:right w:w="65" w:type="dxa"/>
            </w:tcMar>
          </w:tcPr>
          <w:p>
            <w:pPr>
              <w:keepNext w:val="0"/>
              <w:spacing w:after="20" w:before="20" w:line="245" w:lineRule="auto"/>
            </w:pPr>
            <w:r>
              <w:rPr>
                <w:b w:val="0"/>
                <w:sz w:val="18"/>
              </w:rPr>
              <w:t>S1: screening scenarios</w:t>
            </w:r>
          </w:p>
        </w:tc>
        <w:tc>
          <w:tcPr>
            <w:tcW w:type="dxa" w:w="3744"/>
            <w:vAlign w:val="center"/>
            <w:shd w:fill="F0F5F8"/>
            <w:tcMar>
              <w:top w:w="65" w:type="dxa"/>
              <w:bottom w:w="65" w:type="dxa"/>
              <w:left w:w="65" w:type="dxa"/>
              <w:right w:w="65" w:type="dxa"/>
            </w:tcMar>
          </w:tcPr>
          <w:p>
            <w:pPr>
              <w:keepNext w:val="0"/>
              <w:spacing w:after="20" w:before="20" w:line="245" w:lineRule="auto"/>
            </w:pPr>
            <w:r>
              <w:rPr>
                <w:b w:val="0"/>
                <w:sz w:val="18"/>
              </w:rPr>
              <w:t>Definitions and results for 16 scenarios; descriptive and model-sensitivity CSVs; run record.</w:t>
            </w:r>
          </w:p>
        </w:tc>
        <w:tc>
          <w:tcPr>
            <w:tcW w:type="dxa" w:w="3758"/>
            <w:vAlign w:val="center"/>
            <w:shd w:fill="F0F5F8"/>
            <w:tcMar>
              <w:top w:w="65" w:type="dxa"/>
              <w:bottom w:w="65" w:type="dxa"/>
              <w:left w:w="65" w:type="dxa"/>
              <w:right w:w="65" w:type="dxa"/>
            </w:tcMar>
          </w:tcPr>
          <w:p>
            <w:pPr>
              <w:keepNext w:val="0"/>
              <w:spacing w:after="20" w:before="20" w:line="245" w:lineRule="auto"/>
            </w:pPr>
            <w:r>
              <w:rPr>
                <w:b w:val="0"/>
                <w:sz w:val="18"/>
              </w:rPr>
              <w:t>All 160 numerical fields and 16 fit-status labels match the saved outputs.</w:t>
            </w:r>
          </w:p>
        </w:tc>
      </w:tr>
      <w:tr>
        <w:trPr>
          <w:cantSplit/>
        </w:trPr>
        <w:tc>
          <w:tcPr>
            <w:tcW w:type="dxa" w:w="2376"/>
            <w:vAlign w:val="center"/>
            <w:shd w:fill="FFFFFF"/>
            <w:tcMar>
              <w:top w:w="65" w:type="dxa"/>
              <w:bottom w:w="65" w:type="dxa"/>
              <w:left w:w="65" w:type="dxa"/>
              <w:right w:w="65" w:type="dxa"/>
            </w:tcMar>
          </w:tcPr>
          <w:p>
            <w:pPr>
              <w:keepNext w:val="0"/>
              <w:spacing w:after="20" w:before="20" w:line="245" w:lineRule="auto"/>
            </w:pPr>
            <w:r>
              <w:rPr>
                <w:b w:val="0"/>
                <w:sz w:val="18"/>
              </w:rPr>
              <w:t>S2: ridge comparison</w:t>
            </w:r>
          </w:p>
        </w:tc>
        <w:tc>
          <w:tcPr>
            <w:tcW w:type="dxa" w:w="3744"/>
            <w:vAlign w:val="center"/>
            <w:shd w:fill="FFFFFF"/>
            <w:tcMar>
              <w:top w:w="65" w:type="dxa"/>
              <w:bottom w:w="65" w:type="dxa"/>
              <w:left w:w="65" w:type="dxa"/>
              <w:right w:w="65" w:type="dxa"/>
            </w:tcMar>
          </w:tcPr>
          <w:p>
            <w:pPr>
              <w:keepNext w:val="0"/>
              <w:spacing w:after="20" w:before="20" w:line="245" w:lineRule="auto"/>
            </w:pPr>
            <w:r>
              <w:rPr>
                <w:b w:val="0"/>
                <w:sz w:val="18"/>
              </w:rPr>
              <w:t>Metrics, ten fold-penalty records, run record and analysis script.</w:t>
            </w:r>
          </w:p>
        </w:tc>
        <w:tc>
          <w:tcPr>
            <w:tcW w:type="dxa" w:w="3758"/>
            <w:vAlign w:val="center"/>
            <w:shd w:fill="FFFFFF"/>
            <w:tcMar>
              <w:top w:w="65" w:type="dxa"/>
              <w:bottom w:w="65" w:type="dxa"/>
              <w:left w:w="65" w:type="dxa"/>
              <w:right w:w="65" w:type="dxa"/>
            </w:tcMar>
          </w:tcPr>
          <w:p>
            <w:pPr>
              <w:keepNext w:val="0"/>
              <w:spacing w:after="20" w:before="20" w:line="245" w:lineRule="auto"/>
            </w:pPr>
            <w:r>
              <w:rPr>
                <w:b w:val="0"/>
                <w:sz w:val="18"/>
              </w:rPr>
              <w:t>Recorded results support the reported comparison; a preprocessing qualification is explained on the next page.</w:t>
            </w:r>
          </w:p>
        </w:tc>
      </w:tr>
      <w:tr>
        <w:trPr>
          <w:cantSplit/>
        </w:trPr>
        <w:tc>
          <w:tcPr>
            <w:tcW w:type="dxa" w:w="2376"/>
            <w:vAlign w:val="center"/>
            <w:shd w:fill="F0F5F8"/>
            <w:tcMar>
              <w:top w:w="65" w:type="dxa"/>
              <w:bottom w:w="65" w:type="dxa"/>
              <w:left w:w="65" w:type="dxa"/>
              <w:right w:w="65" w:type="dxa"/>
            </w:tcMar>
          </w:tcPr>
          <w:p>
            <w:pPr>
              <w:keepNext w:val="0"/>
              <w:spacing w:after="20" w:before="20" w:line="245" w:lineRule="auto"/>
            </w:pPr>
            <w:r>
              <w:rPr>
                <w:b w:val="0"/>
                <w:sz w:val="18"/>
              </w:rPr>
              <w:t>S3: repeated refitting</w:t>
            </w:r>
          </w:p>
        </w:tc>
        <w:tc>
          <w:tcPr>
            <w:tcW w:type="dxa" w:w="3744"/>
            <w:vAlign w:val="center"/>
            <w:shd w:fill="F0F5F8"/>
            <w:tcMar>
              <w:top w:w="65" w:type="dxa"/>
              <w:bottom w:w="65" w:type="dxa"/>
              <w:left w:w="65" w:type="dxa"/>
              <w:right w:w="65" w:type="dxa"/>
            </w:tcMar>
          </w:tcPr>
          <w:p>
            <w:pPr>
              <w:keepNext w:val="0"/>
              <w:spacing w:after="20" w:before="20" w:line="245" w:lineRule="auto"/>
            </w:pPr>
            <w:r>
              <w:rPr>
                <w:b w:val="0"/>
                <w:sz w:val="18"/>
              </w:rPr>
              <w:t>Twenty repetition rows, 100 coefficient/fit records, five metric summaries, six coefficient summaries and run record.</w:t>
            </w:r>
          </w:p>
        </w:tc>
        <w:tc>
          <w:tcPr>
            <w:tcW w:type="dxa" w:w="3758"/>
            <w:vAlign w:val="center"/>
            <w:shd w:fill="F0F5F8"/>
            <w:tcMar>
              <w:top w:w="65" w:type="dxa"/>
              <w:bottom w:w="65" w:type="dxa"/>
              <w:left w:w="65" w:type="dxa"/>
              <w:right w:w="65" w:type="dxa"/>
            </w:tcMar>
          </w:tcPr>
          <w:p>
            <w:pPr>
              <w:keepNext w:val="0"/>
              <w:spacing w:after="20" w:before="20" w:line="245" w:lineRule="auto"/>
            </w:pPr>
            <w:r>
              <w:rPr>
                <w:b w:val="0"/>
                <w:sz w:val="18"/>
              </w:rPr>
              <w:t>Saved summary calculations and convergence/sign counts agree with the detailed CSVs.</w:t>
            </w:r>
          </w:p>
        </w:tc>
      </w:tr>
      <w:tr>
        <w:trPr>
          <w:cantSplit/>
        </w:trPr>
        <w:tc>
          <w:tcPr>
            <w:tcW w:type="dxa" w:w="2376"/>
            <w:vAlign w:val="center"/>
            <w:shd w:fill="FFFFFF"/>
            <w:tcMar>
              <w:top w:w="65" w:type="dxa"/>
              <w:bottom w:w="65" w:type="dxa"/>
              <w:left w:w="65" w:type="dxa"/>
              <w:right w:w="65" w:type="dxa"/>
            </w:tcMar>
          </w:tcPr>
          <w:p>
            <w:pPr>
              <w:keepNext w:val="0"/>
              <w:spacing w:after="20" w:before="20" w:line="245" w:lineRule="auto"/>
            </w:pPr>
            <w:r>
              <w:rPr>
                <w:b w:val="0"/>
                <w:sz w:val="18"/>
              </w:rPr>
              <w:t>S4: weighted/unweighted descriptions</w:t>
            </w:r>
          </w:p>
        </w:tc>
        <w:tc>
          <w:tcPr>
            <w:tcW w:type="dxa" w:w="3744"/>
            <w:vAlign w:val="center"/>
            <w:shd w:fill="FFFFFF"/>
            <w:tcMar>
              <w:top w:w="65" w:type="dxa"/>
              <w:bottom w:w="65" w:type="dxa"/>
              <w:left w:w="65" w:type="dxa"/>
              <w:right w:w="65" w:type="dxa"/>
            </w:tcMar>
          </w:tcPr>
          <w:p>
            <w:pPr>
              <w:keepNext w:val="0"/>
              <w:spacing w:after="20" w:before="20" w:line="245" w:lineRule="auto"/>
            </w:pPr>
            <w:r>
              <w:rPr>
                <w:b w:val="0"/>
                <w:sz w:val="18"/>
              </w:rPr>
              <w:t>Seven-row supplementary table and retained descriptive CSV.</w:t>
            </w:r>
          </w:p>
        </w:tc>
        <w:tc>
          <w:tcPr>
            <w:tcW w:type="dxa" w:w="3758"/>
            <w:vAlign w:val="center"/>
            <w:shd w:fill="FFFFFF"/>
            <w:tcMar>
              <w:top w:w="65" w:type="dxa"/>
              <w:bottom w:w="65" w:type="dxa"/>
              <w:left w:w="65" w:type="dxa"/>
              <w:right w:w="65" w:type="dxa"/>
            </w:tcMar>
          </w:tcPr>
          <w:p>
            <w:pPr>
              <w:keepNext w:val="0"/>
              <w:spacing w:after="20" w:before="20" w:line="245" w:lineRule="auto"/>
            </w:pPr>
            <w:r>
              <w:rPr>
                <w:b w:val="0"/>
                <w:sz w:val="18"/>
              </w:rPr>
              <w:t>All 40 scalar values match the saved descriptive output.</w:t>
            </w:r>
          </w:p>
        </w:tc>
      </w:tr>
      <w:tr>
        <w:trPr>
          <w:cantSplit/>
        </w:trPr>
        <w:tc>
          <w:tcPr>
            <w:tcW w:type="dxa" w:w="2376"/>
            <w:vAlign w:val="center"/>
            <w:shd w:fill="F0F5F8"/>
            <w:tcMar>
              <w:top w:w="65" w:type="dxa"/>
              <w:bottom w:w="65" w:type="dxa"/>
              <w:left w:w="65" w:type="dxa"/>
              <w:right w:w="65" w:type="dxa"/>
            </w:tcMar>
          </w:tcPr>
          <w:p>
            <w:pPr>
              <w:keepNext w:val="0"/>
              <w:spacing w:after="20" w:before="20" w:line="245" w:lineRule="auto"/>
            </w:pPr>
            <w:r>
              <w:rPr>
                <w:b w:val="0"/>
                <w:sz w:val="18"/>
              </w:rPr>
              <w:t>S5: literature-search audit</w:t>
            </w:r>
          </w:p>
        </w:tc>
        <w:tc>
          <w:tcPr>
            <w:tcW w:type="dxa" w:w="3744"/>
            <w:vAlign w:val="center"/>
            <w:shd w:fill="F0F5F8"/>
            <w:tcMar>
              <w:top w:w="65" w:type="dxa"/>
              <w:bottom w:w="65" w:type="dxa"/>
              <w:left w:w="65" w:type="dxa"/>
              <w:right w:w="65" w:type="dxa"/>
            </w:tcMar>
          </w:tcPr>
          <w:p>
            <w:pPr>
              <w:keepNext w:val="0"/>
              <w:spacing w:after="20" w:before="20" w:line="245" w:lineRule="auto"/>
            </w:pPr>
            <w:r>
              <w:rPr>
                <w:b w:val="0"/>
                <w:sz w:val="18"/>
              </w:rPr>
              <w:t>Exact queries, date and source counts recovered from a separate recorded manuscript revision.</w:t>
            </w:r>
          </w:p>
        </w:tc>
        <w:tc>
          <w:tcPr>
            <w:tcW w:type="dxa" w:w="3758"/>
            <w:vAlign w:val="center"/>
            <w:shd w:fill="F0F5F8"/>
            <w:tcMar>
              <w:top w:w="65" w:type="dxa"/>
              <w:bottom w:w="65" w:type="dxa"/>
              <w:left w:w="65" w:type="dxa"/>
              <w:right w:w="65" w:type="dxa"/>
            </w:tcMar>
          </w:tcPr>
          <w:p>
            <w:pPr>
              <w:keepNext w:val="0"/>
              <w:spacing w:after="20" w:before="20" w:line="245" w:lineRule="auto"/>
            </w:pPr>
            <w:r>
              <w:rPr>
                <w:b w:val="0"/>
                <w:sz w:val="18"/>
              </w:rPr>
              <w:t>The underlying workbook, exports and item-level screening record were not located in the inspected repository snapshots.</w:t>
            </w:r>
          </w:p>
        </w:tc>
      </w:tr>
    </w:tbl>
    <w:p>
      <w:pPr>
        <w:spacing w:after="0"/>
      </w:pPr>
    </w:p>
    <w:p>
      <w:pPr>
        <w:pStyle w:val="Heading3"/>
      </w:pPr>
      <w:r>
        <w:rPr>
          <w:b w:val="0"/>
        </w:rPr>
        <w:t>What this verification establishes</w:t>
      </w:r>
    </w:p>
    <w:p>
      <w:r>
        <w:rPr>
          <w:b w:val="0"/>
        </w:rPr>
        <w:t xml:space="preserve">S1 distinguishes </w:t>
      </w:r>
      <w:r>
        <w:rPr>
          <w:b/>
        </w:rPr>
        <w:t>one primary, seven reused and eight refitted</w:t>
      </w:r>
      <w:r>
        <w:rPr>
          <w:b w:val="0"/>
        </w:rPr>
        <w:t xml:space="preserve"> screening scenarios. The saved run record confirms that S1b and S1d selected the same people. S4 supports the clearer weighted/unweighted presentation. These findings strengthen the evidence for supervisor comments 3 and 4.</w:t>
      </w:r>
    </w:p>
    <w:p>
      <w:r>
        <w:rPr>
          <w:b w:val="0"/>
        </w:rPr>
        <w:t>For S2–S3, the review checked source-code structure and recalculated saved aggregate summaries. It did not independently refit the models or recompute the new AUC values from saved individual predictions. The new scripts do not retain those prediction files. A consistent saved summary is useful evidence, but it is distinct from fresh execution of the complete analysis.</w:t>
      </w:r>
    </w:p>
    <w:p>
      <w:r>
        <w:rPr>
          <w:b w:val="0"/>
        </w:rPr>
      </w:r>
      <w:r>
        <w:rPr>
          <w:b/>
        </w:rPr>
        <w:t>Current status:</w:t>
      </w:r>
      <w:r>
        <w:rPr>
          <w:b w:val="0"/>
        </w:rPr>
        <w:t xml:space="preserve"> S1 and S4 are supported by the available records. S3 is supported at the code-and-saved-summary level. S2 needs the qualification below. S5 still requires its underlying screening evidence before full auditability can be confirmed.</w:t>
      </w:r>
    </w:p>
    <w:p>
      <w:pPr>
        <w:spacing w:after="100"/>
      </w:pPr>
      <w:hyperlink r:id="rId11">
        <w:r>
          <w:rPr>
            <w:color w:val="245D88"/>
            <w:u w:val="single"/>
            <w:sz w:val="19"/>
          </w:rPr>
          <w:t>Main supplementary tables and methods</w:t>
        </w:r>
      </w:hyperlink>
    </w:p>
    <w:p>
      <w:r>
        <w:br w:type="page"/>
      </w:r>
    </w:p>
    <w:p>
      <w:pPr>
        <w:pStyle w:val="Heading1"/>
      </w:pPr>
      <w:r>
        <w:rPr>
          <w:b w:val="0"/>
        </w:rPr>
        <w:t>Missing item 1 — Validation evidence</w:t>
      </w:r>
    </w:p>
    <w:p>
      <w:pPr>
        <w:pStyle w:val="Heading3"/>
      </w:pPr>
      <w:r>
        <w:rPr>
          <w:b w:val="0"/>
        </w:rPr>
        <w:t>Supplement S2: ridge settlement comparison</w:t>
      </w:r>
    </w:p>
    <w:p>
      <w:r>
        <w:rPr>
          <w:b w:val="0"/>
        </w:rPr>
        <w:t xml:space="preserve">The saved comparison uses the same cohort and outer household folds. It selects inverse penalty strength </w:t>
      </w:r>
      <w:r>
        <w:rPr>
          <w:b/>
        </w:rPr>
        <w:t>C</w:t>
      </w:r>
      <w:r>
        <w:rPr>
          <w:b w:val="0"/>
        </w:rPr>
        <w:t xml:space="preserve"> from 0.01, 0.1, 0.3, 1, 3, 10, 30 and 100 using mean Brier score over five inner household-grouped folds. All ten outer fits selected C = 0.1 and were recorded as converged. Smaller C means stronger penalisation.</w:t>
      </w:r>
    </w:p>
    <w:tbl>
      <w:tblPr>
        <w:tblW w:type="auto" w:w="0"/>
        <w:jc w:val="center"/>
        <w:tblLayout w:type="fixed"/>
        <w:tblLook w:firstColumn="1" w:firstRow="1" w:lastColumn="0" w:lastRow="0" w:noHBand="0" w:noVBand="1" w:val="04A0"/>
      </w:tblPr>
      <w:tblGrid>
        <w:gridCol w:w="3398"/>
        <w:gridCol w:w="1296"/>
        <w:gridCol w:w="1296"/>
        <w:gridCol w:w="1296"/>
        <w:gridCol w:w="1296"/>
        <w:gridCol w:w="1296"/>
      </w:tblGrid>
      <w:tr>
        <w:trPr>
          <w:cantSplit/>
          <w:tblHeader/>
        </w:trPr>
        <w:tc>
          <w:tcPr>
            <w:tcW w:type="dxa" w:w="3398"/>
            <w:vAlign w:val="center"/>
            <w:shd w:fill="244D68"/>
            <w:tcMar>
              <w:top w:w="65" w:type="dxa"/>
              <w:bottom w:w="65" w:type="dxa"/>
              <w:left w:w="65" w:type="dxa"/>
              <w:right w:w="65" w:type="dxa"/>
            </w:tcMar>
          </w:tcPr>
          <w:p>
            <w:pPr>
              <w:keepNext w:val="0"/>
              <w:spacing w:after="20" w:before="20" w:line="245" w:lineRule="auto"/>
            </w:pPr>
            <w:r>
              <w:rPr>
                <w:b/>
                <w:color w:val="FFFFFF"/>
                <w:sz w:val="17"/>
              </w:rPr>
              <w:t>Recorded configuration</w:t>
            </w:r>
          </w:p>
        </w:tc>
        <w:tc>
          <w:tcPr>
            <w:tcW w:type="dxa" w:w="1296"/>
            <w:vAlign w:val="center"/>
            <w:shd w:fill="244D68"/>
            <w:tcMar>
              <w:top w:w="65" w:type="dxa"/>
              <w:bottom w:w="65" w:type="dxa"/>
              <w:left w:w="65" w:type="dxa"/>
              <w:right w:w="65" w:type="dxa"/>
            </w:tcMar>
          </w:tcPr>
          <w:p>
            <w:pPr>
              <w:keepNext w:val="0"/>
              <w:spacing w:after="20" w:before="20" w:line="245" w:lineRule="auto"/>
            </w:pPr>
            <w:r>
              <w:rPr>
                <w:b/>
                <w:color w:val="FFFFFF"/>
                <w:sz w:val="17"/>
              </w:rPr>
              <w:t>AUC</w:t>
            </w:r>
          </w:p>
        </w:tc>
        <w:tc>
          <w:tcPr>
            <w:tcW w:type="dxa" w:w="1296"/>
            <w:vAlign w:val="center"/>
            <w:shd w:fill="244D68"/>
            <w:tcMar>
              <w:top w:w="65" w:type="dxa"/>
              <w:bottom w:w="65" w:type="dxa"/>
              <w:left w:w="65" w:type="dxa"/>
              <w:right w:w="65" w:type="dxa"/>
            </w:tcMar>
          </w:tcPr>
          <w:p>
            <w:pPr>
              <w:keepNext w:val="0"/>
              <w:spacing w:after="20" w:before="20" w:line="245" w:lineRule="auto"/>
            </w:pPr>
            <w:r>
              <w:rPr>
                <w:b/>
                <w:color w:val="FFFFFF"/>
                <w:sz w:val="17"/>
              </w:rPr>
              <w:t>AP</w:t>
            </w:r>
          </w:p>
        </w:tc>
        <w:tc>
          <w:tcPr>
            <w:tcW w:type="dxa" w:w="1296"/>
            <w:vAlign w:val="center"/>
            <w:shd w:fill="244D68"/>
            <w:tcMar>
              <w:top w:w="65" w:type="dxa"/>
              <w:bottom w:w="65" w:type="dxa"/>
              <w:left w:w="65" w:type="dxa"/>
              <w:right w:w="65" w:type="dxa"/>
            </w:tcMar>
          </w:tcPr>
          <w:p>
            <w:pPr>
              <w:keepNext w:val="0"/>
              <w:spacing w:after="20" w:before="20" w:line="245" w:lineRule="auto"/>
            </w:pPr>
            <w:r>
              <w:rPr>
                <w:b/>
                <w:color w:val="FFFFFF"/>
                <w:sz w:val="17"/>
              </w:rPr>
              <w:t>Brier</w:t>
            </w:r>
          </w:p>
        </w:tc>
        <w:tc>
          <w:tcPr>
            <w:tcW w:type="dxa" w:w="1296"/>
            <w:vAlign w:val="center"/>
            <w:shd w:fill="244D68"/>
            <w:tcMar>
              <w:top w:w="65" w:type="dxa"/>
              <w:bottom w:w="65" w:type="dxa"/>
              <w:left w:w="65" w:type="dxa"/>
              <w:right w:w="65" w:type="dxa"/>
            </w:tcMar>
          </w:tcPr>
          <w:p>
            <w:pPr>
              <w:keepNext w:val="0"/>
              <w:spacing w:after="20" w:before="20" w:line="245" w:lineRule="auto"/>
            </w:pPr>
            <w:r>
              <w:rPr>
                <w:b/>
                <w:color w:val="FFFFFF"/>
                <w:sz w:val="17"/>
              </w:rPr>
              <w:t>CITL</w:t>
            </w:r>
          </w:p>
        </w:tc>
        <w:tc>
          <w:tcPr>
            <w:tcW w:type="dxa" w:w="1296"/>
            <w:vAlign w:val="center"/>
            <w:shd w:fill="244D68"/>
            <w:tcMar>
              <w:top w:w="65" w:type="dxa"/>
              <w:bottom w:w="65" w:type="dxa"/>
              <w:left w:w="65" w:type="dxa"/>
              <w:right w:w="65" w:type="dxa"/>
            </w:tcMar>
          </w:tcPr>
          <w:p>
            <w:pPr>
              <w:keepNext w:val="0"/>
              <w:spacing w:after="20" w:before="20" w:line="245" w:lineRule="auto"/>
            </w:pPr>
            <w:r>
              <w:rPr>
                <w:b/>
                <w:color w:val="FFFFFF"/>
                <w:sz w:val="17"/>
              </w:rPr>
              <w:t>Slope</w:t>
            </w:r>
          </w:p>
        </w:tc>
      </w:tr>
      <w:tr>
        <w:trPr>
          <w:cantSplit/>
        </w:trPr>
        <w:tc>
          <w:tcPr>
            <w:tcW w:type="dxa" w:w="3398"/>
            <w:vAlign w:val="center"/>
            <w:shd w:fill="F0F5F8"/>
            <w:tcMar>
              <w:top w:w="65" w:type="dxa"/>
              <w:bottom w:w="65" w:type="dxa"/>
              <w:left w:w="65" w:type="dxa"/>
              <w:right w:w="65" w:type="dxa"/>
            </w:tcMar>
          </w:tcPr>
          <w:p>
            <w:pPr>
              <w:keepNext w:val="0"/>
              <w:spacing w:after="20" w:before="20" w:line="245" w:lineRule="auto"/>
            </w:pPr>
            <w:r>
              <w:rPr>
                <w:b w:val="0"/>
                <w:sz w:val="17"/>
              </w:rPr>
              <w:t>Ordinary merged reference</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0.752</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0.203</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0.0578</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0.020</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0.836</w:t>
            </w:r>
          </w:p>
        </w:tc>
      </w:tr>
      <w:tr>
        <w:trPr>
          <w:cantSplit/>
        </w:trPr>
        <w:tc>
          <w:tcPr>
            <w:tcW w:type="dxa" w:w="3398"/>
            <w:vAlign w:val="center"/>
            <w:shd w:fill="FFFFFF"/>
            <w:tcMar>
              <w:top w:w="65" w:type="dxa"/>
              <w:bottom w:w="65" w:type="dxa"/>
              <w:left w:w="65" w:type="dxa"/>
              <w:right w:w="65" w:type="dxa"/>
            </w:tcMar>
          </w:tcPr>
          <w:p>
            <w:pPr>
              <w:keepNext w:val="0"/>
              <w:spacing w:after="20" w:before="20" w:line="245" w:lineRule="auto"/>
            </w:pPr>
            <w:r>
              <w:rPr>
                <w:b w:val="0"/>
                <w:sz w:val="17"/>
              </w:rPr>
              <w:t>Ridge: merged</w:t>
            </w:r>
          </w:p>
        </w:tc>
        <w:tc>
          <w:tcPr>
            <w:tcW w:type="dxa" w:w="1296"/>
            <w:vAlign w:val="center"/>
            <w:shd w:fill="FFFFFF"/>
            <w:tcMar>
              <w:top w:w="65" w:type="dxa"/>
              <w:bottom w:w="65" w:type="dxa"/>
              <w:left w:w="65" w:type="dxa"/>
              <w:right w:w="65" w:type="dxa"/>
            </w:tcMar>
          </w:tcPr>
          <w:p>
            <w:pPr>
              <w:keepNext w:val="0"/>
              <w:spacing w:after="20" w:before="20" w:line="245" w:lineRule="auto"/>
            </w:pPr>
            <w:r>
              <w:rPr>
                <w:b w:val="0"/>
                <w:sz w:val="17"/>
              </w:rPr>
              <w:t>0.756</w:t>
            </w:r>
          </w:p>
        </w:tc>
        <w:tc>
          <w:tcPr>
            <w:tcW w:type="dxa" w:w="1296"/>
            <w:vAlign w:val="center"/>
            <w:shd w:fill="FFFFFF"/>
            <w:tcMar>
              <w:top w:w="65" w:type="dxa"/>
              <w:bottom w:w="65" w:type="dxa"/>
              <w:left w:w="65" w:type="dxa"/>
              <w:right w:w="65" w:type="dxa"/>
            </w:tcMar>
          </w:tcPr>
          <w:p>
            <w:pPr>
              <w:keepNext w:val="0"/>
              <w:spacing w:after="20" w:before="20" w:line="245" w:lineRule="auto"/>
            </w:pPr>
            <w:r>
              <w:rPr>
                <w:b w:val="0"/>
                <w:sz w:val="17"/>
              </w:rPr>
              <w:t>0.205</w:t>
            </w:r>
          </w:p>
        </w:tc>
        <w:tc>
          <w:tcPr>
            <w:tcW w:type="dxa" w:w="1296"/>
            <w:vAlign w:val="center"/>
            <w:shd w:fill="FFFFFF"/>
            <w:tcMar>
              <w:top w:w="65" w:type="dxa"/>
              <w:bottom w:w="65" w:type="dxa"/>
              <w:left w:w="65" w:type="dxa"/>
              <w:right w:w="65" w:type="dxa"/>
            </w:tcMar>
          </w:tcPr>
          <w:p>
            <w:pPr>
              <w:keepNext w:val="0"/>
              <w:spacing w:after="20" w:before="20" w:line="245" w:lineRule="auto"/>
            </w:pPr>
            <w:r>
              <w:rPr>
                <w:b w:val="0"/>
                <w:sz w:val="17"/>
              </w:rPr>
              <w:t>0.0576</w:t>
            </w:r>
          </w:p>
        </w:tc>
        <w:tc>
          <w:tcPr>
            <w:tcW w:type="dxa" w:w="1296"/>
            <w:vAlign w:val="center"/>
            <w:shd w:fill="FFFFFF"/>
            <w:tcMar>
              <w:top w:w="65" w:type="dxa"/>
              <w:bottom w:w="65" w:type="dxa"/>
              <w:left w:w="65" w:type="dxa"/>
              <w:right w:w="65" w:type="dxa"/>
            </w:tcMar>
          </w:tcPr>
          <w:p>
            <w:pPr>
              <w:keepNext w:val="0"/>
              <w:spacing w:after="20" w:before="20" w:line="245" w:lineRule="auto"/>
            </w:pPr>
            <w:r>
              <w:rPr>
                <w:b w:val="0"/>
                <w:sz w:val="17"/>
              </w:rPr>
              <w:t>0.013</w:t>
            </w:r>
          </w:p>
        </w:tc>
        <w:tc>
          <w:tcPr>
            <w:tcW w:type="dxa" w:w="1296"/>
            <w:vAlign w:val="center"/>
            <w:shd w:fill="FFFFFF"/>
            <w:tcMar>
              <w:top w:w="65" w:type="dxa"/>
              <w:bottom w:w="65" w:type="dxa"/>
              <w:left w:w="65" w:type="dxa"/>
              <w:right w:w="65" w:type="dxa"/>
            </w:tcMar>
          </w:tcPr>
          <w:p>
            <w:pPr>
              <w:keepNext w:val="0"/>
              <w:spacing w:after="20" w:before="20" w:line="245" w:lineRule="auto"/>
            </w:pPr>
            <w:r>
              <w:rPr>
                <w:b w:val="0"/>
                <w:sz w:val="17"/>
              </w:rPr>
              <w:t>0.994</w:t>
            </w:r>
          </w:p>
        </w:tc>
      </w:tr>
      <w:tr>
        <w:trPr>
          <w:cantSplit/>
        </w:trPr>
        <w:tc>
          <w:tcPr>
            <w:tcW w:type="dxa" w:w="3398"/>
            <w:vAlign w:val="center"/>
            <w:shd w:fill="F0F5F8"/>
            <w:tcMar>
              <w:top w:w="65" w:type="dxa"/>
              <w:bottom w:w="65" w:type="dxa"/>
              <w:left w:w="65" w:type="dxa"/>
              <w:right w:w="65" w:type="dxa"/>
            </w:tcMar>
          </w:tcPr>
          <w:p>
            <w:pPr>
              <w:keepNext w:val="0"/>
              <w:spacing w:after="20" w:before="20" w:line="245" w:lineRule="auto"/>
            </w:pPr>
            <w:r>
              <w:rPr>
                <w:b w:val="0"/>
                <w:sz w:val="17"/>
              </w:rPr>
              <w:t>Ridge: separate</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0.750</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0.205</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0.0577</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0.010</w:t>
            </w:r>
          </w:p>
        </w:tc>
        <w:tc>
          <w:tcPr>
            <w:tcW w:type="dxa" w:w="1296"/>
            <w:vAlign w:val="center"/>
            <w:shd w:fill="F0F5F8"/>
            <w:tcMar>
              <w:top w:w="65" w:type="dxa"/>
              <w:bottom w:w="65" w:type="dxa"/>
              <w:left w:w="65" w:type="dxa"/>
              <w:right w:w="65" w:type="dxa"/>
            </w:tcMar>
          </w:tcPr>
          <w:p>
            <w:pPr>
              <w:keepNext w:val="0"/>
              <w:spacing w:after="20" w:before="20" w:line="245" w:lineRule="auto"/>
            </w:pPr>
            <w:r>
              <w:rPr>
                <w:b w:val="0"/>
                <w:sz w:val="17"/>
              </w:rPr>
              <w:t>0.978</w:t>
            </w:r>
          </w:p>
        </w:tc>
      </w:tr>
    </w:tbl>
    <w:p>
      <w:pPr>
        <w:spacing w:after="0"/>
      </w:pPr>
    </w:p>
    <w:p>
      <w:r>
        <w:rPr>
          <w:b w:val="0"/>
          <w:sz w:val="18"/>
        </w:rPr>
        <w:t>CITL = calibration-in-the-large. Values reproduce the saved outputs; no new model fits were performed for this check.</w:t>
      </w:r>
    </w:p>
    <w:p>
      <w:r>
        <w:rPr>
          <w:b w:val="0"/>
        </w:rPr>
      </w:r>
      <w:r>
        <w:rPr>
          <w:b/>
        </w:rPr>
        <w:t>Preprocessing qualification:</w:t>
      </w:r>
      <w:r>
        <w:rPr>
          <w:b w:val="0"/>
        </w:rPr>
        <w:t xml:space="preserve"> the script learns imputation from the full outer-training set before dividing it into inner folds. Inner-fold scaling is local, and the outer held-out households remain protected, but imputation is not fitted separately inside each inner training split. For a reusable nested pipeline, learn and apply imputation inside each inner split, then learn it again from the full outer-training set for the final outer fit. The check below establishes the effect on the current predictors.</w:t>
      </w:r>
    </w:p>
    <w:p>
      <w:r>
        <w:rPr>
          <w:b w:val="0"/>
        </w:rPr>
      </w:r>
      <w:r>
        <w:rPr>
          <w:b/>
        </w:rPr>
        <w:t>Dataset-specific check:</w:t>
      </w:r>
      <w:r>
        <w:rPr>
          <w:b w:val="0"/>
        </w:rPr>
        <w:t xml:space="preserve"> a read-only comparison across all 25 distinct inner partitions, both codings and 100 training/test design matrices found zero differences between the outer-imputed and strictly inner-imputed predictors. Schooling and office-access modes were identical. Consequently no numerical difference was observed for this dataset; this audit did not refit the models. The code change remains appropriate for general reuse.</w:t>
      </w:r>
    </w:p>
    <w:p>
      <w:r>
        <w:rPr>
          <w:b w:val="0"/>
        </w:rPr>
        <w:t>The ordinary merged model remains the reference. The comparison remains exploratory and conditional on the outcome-informed D-052 coding decision; it does not establish that merging improves performance in new populations.</w:t>
      </w:r>
    </w:p>
    <w:p>
      <w:pPr>
        <w:pStyle w:val="Heading3"/>
      </w:pPr>
      <w:r>
        <w:rPr>
          <w:b w:val="0"/>
        </w:rPr>
        <w:t>Supplement S3: repeated household-grouped refitting</w:t>
      </w:r>
    </w:p>
    <w:p>
      <w:r>
        <w:rPr>
          <w:b w:val="0"/>
        </w:rPr>
        <w:t xml:space="preserve">The saved files contain the 20 seeds </w:t>
      </w:r>
      <w:r>
        <w:rPr>
          <w:b/>
        </w:rPr>
        <w:t>201415–201434</w:t>
      </w:r>
      <w:r>
        <w:rPr>
          <w:b w:val="0"/>
        </w:rPr>
        <w:t xml:space="preserve">, with five training-fold records per seed and </w:t>
      </w:r>
      <w:r>
        <w:rPr>
          <w:b/>
        </w:rPr>
        <w:t>100/100 recorded converged fits</w:t>
      </w:r>
      <w:r>
        <w:rPr>
          <w:b w:val="0"/>
        </w:rPr>
        <w:t>. The script gives each adult one held-out prediction within each repetition and calculates that repetition’s pooled metrics before summarising across repetitions.</w:t>
      </w:r>
    </w:p>
    <w:tbl>
      <w:tblPr>
        <w:tblW w:type="auto" w:w="0"/>
        <w:jc w:val="center"/>
        <w:tblLayout w:type="fixed"/>
        <w:tblLook w:firstColumn="1" w:firstRow="1" w:lastColumn="0" w:lastRow="0" w:noHBand="0" w:noVBand="1" w:val="04A0"/>
      </w:tblPr>
      <w:tblGrid>
        <w:gridCol w:w="3254"/>
        <w:gridCol w:w="1440"/>
        <w:gridCol w:w="2592"/>
        <w:gridCol w:w="2592"/>
      </w:tblGrid>
      <w:tr>
        <w:trPr>
          <w:cantSplit/>
          <w:tblHeader/>
        </w:trPr>
        <w:tc>
          <w:tcPr>
            <w:tcW w:type="dxa" w:w="3254"/>
            <w:vAlign w:val="center"/>
            <w:shd w:fill="244D68"/>
            <w:tcMar>
              <w:top w:w="65" w:type="dxa"/>
              <w:bottom w:w="65" w:type="dxa"/>
              <w:left w:w="65" w:type="dxa"/>
              <w:right w:w="65" w:type="dxa"/>
            </w:tcMar>
          </w:tcPr>
          <w:p>
            <w:pPr>
              <w:keepNext w:val="0"/>
              <w:spacing w:after="20" w:before="20" w:line="245" w:lineRule="auto"/>
            </w:pPr>
            <w:r>
              <w:rPr>
                <w:b/>
                <w:color w:val="FFFFFF"/>
                <w:sz w:val="18"/>
              </w:rPr>
              <w:t>Measure</w:t>
            </w:r>
          </w:p>
        </w:tc>
        <w:tc>
          <w:tcPr>
            <w:tcW w:type="dxa" w:w="1440"/>
            <w:vAlign w:val="center"/>
            <w:shd w:fill="244D68"/>
            <w:tcMar>
              <w:top w:w="65" w:type="dxa"/>
              <w:bottom w:w="65" w:type="dxa"/>
              <w:left w:w="65" w:type="dxa"/>
              <w:right w:w="65" w:type="dxa"/>
            </w:tcMar>
          </w:tcPr>
          <w:p>
            <w:pPr>
              <w:keepNext w:val="0"/>
              <w:spacing w:after="20" w:before="20" w:line="245" w:lineRule="auto"/>
            </w:pPr>
            <w:r>
              <w:rPr>
                <w:b/>
                <w:color w:val="FFFFFF"/>
                <w:sz w:val="18"/>
              </w:rPr>
              <w:t>Median</w:t>
            </w:r>
          </w:p>
        </w:tc>
        <w:tc>
          <w:tcPr>
            <w:tcW w:type="dxa" w:w="2592"/>
            <w:vAlign w:val="center"/>
            <w:shd w:fill="244D68"/>
            <w:tcMar>
              <w:top w:w="65" w:type="dxa"/>
              <w:bottom w:w="65" w:type="dxa"/>
              <w:left w:w="65" w:type="dxa"/>
              <w:right w:w="65" w:type="dxa"/>
            </w:tcMar>
          </w:tcPr>
          <w:p>
            <w:pPr>
              <w:keepNext w:val="0"/>
              <w:spacing w:after="20" w:before="20" w:line="245" w:lineRule="auto"/>
            </w:pPr>
            <w:r>
              <w:rPr>
                <w:b/>
                <w:color w:val="FFFFFF"/>
                <w:sz w:val="18"/>
              </w:rPr>
              <w:t>Interquartile range</w:t>
            </w:r>
          </w:p>
        </w:tc>
        <w:tc>
          <w:tcPr>
            <w:tcW w:type="dxa" w:w="2592"/>
            <w:vAlign w:val="center"/>
            <w:shd w:fill="244D68"/>
            <w:tcMar>
              <w:top w:w="65" w:type="dxa"/>
              <w:bottom w:w="65" w:type="dxa"/>
              <w:left w:w="65" w:type="dxa"/>
              <w:right w:w="65" w:type="dxa"/>
            </w:tcMar>
          </w:tcPr>
          <w:p>
            <w:pPr>
              <w:keepNext w:val="0"/>
              <w:spacing w:after="20" w:before="20" w:line="245" w:lineRule="auto"/>
            </w:pPr>
            <w:r>
              <w:rPr>
                <w:b/>
                <w:color w:val="FFFFFF"/>
                <w:sz w:val="18"/>
              </w:rPr>
              <w:t>Range</w:t>
            </w:r>
          </w:p>
        </w:tc>
      </w:tr>
      <w:tr>
        <w:trPr>
          <w:cantSplit/>
        </w:trPr>
        <w:tc>
          <w:tcPr>
            <w:tcW w:type="dxa" w:w="3254"/>
            <w:vAlign w:val="center"/>
            <w:shd w:fill="F0F5F8"/>
            <w:tcMar>
              <w:top w:w="65" w:type="dxa"/>
              <w:bottom w:w="65" w:type="dxa"/>
              <w:left w:w="65" w:type="dxa"/>
              <w:right w:w="65" w:type="dxa"/>
            </w:tcMar>
          </w:tcPr>
          <w:p>
            <w:pPr>
              <w:keepNext w:val="0"/>
              <w:spacing w:after="20" w:before="20" w:line="245" w:lineRule="auto"/>
            </w:pPr>
            <w:r>
              <w:rPr>
                <w:b w:val="0"/>
                <w:sz w:val="18"/>
              </w:rPr>
              <w:t>AUC</w:t>
            </w:r>
          </w:p>
        </w:tc>
        <w:tc>
          <w:tcPr>
            <w:tcW w:type="dxa" w:w="1440"/>
            <w:vAlign w:val="center"/>
            <w:shd w:fill="F0F5F8"/>
            <w:tcMar>
              <w:top w:w="65" w:type="dxa"/>
              <w:bottom w:w="65" w:type="dxa"/>
              <w:left w:w="65" w:type="dxa"/>
              <w:right w:w="65" w:type="dxa"/>
            </w:tcMar>
          </w:tcPr>
          <w:p>
            <w:pPr>
              <w:keepNext w:val="0"/>
              <w:spacing w:after="20" w:before="20" w:line="245" w:lineRule="auto"/>
            </w:pPr>
            <w:r>
              <w:rPr>
                <w:b w:val="0"/>
                <w:sz w:val="18"/>
              </w:rPr>
              <w:t>0.753</w:t>
            </w:r>
          </w:p>
        </w:tc>
        <w:tc>
          <w:tcPr>
            <w:tcW w:type="dxa" w:w="2592"/>
            <w:vAlign w:val="center"/>
            <w:shd w:fill="F0F5F8"/>
            <w:tcMar>
              <w:top w:w="65" w:type="dxa"/>
              <w:bottom w:w="65" w:type="dxa"/>
              <w:left w:w="65" w:type="dxa"/>
              <w:right w:w="65" w:type="dxa"/>
            </w:tcMar>
          </w:tcPr>
          <w:p>
            <w:pPr>
              <w:keepNext w:val="0"/>
              <w:spacing w:after="20" w:before="20" w:line="245" w:lineRule="auto"/>
            </w:pPr>
            <w:r>
              <w:rPr>
                <w:b w:val="0"/>
                <w:sz w:val="18"/>
              </w:rPr>
              <w:t>0.748–0.757</w:t>
            </w:r>
          </w:p>
        </w:tc>
        <w:tc>
          <w:tcPr>
            <w:tcW w:type="dxa" w:w="2592"/>
            <w:vAlign w:val="center"/>
            <w:shd w:fill="F0F5F8"/>
            <w:tcMar>
              <w:top w:w="65" w:type="dxa"/>
              <w:bottom w:w="65" w:type="dxa"/>
              <w:left w:w="65" w:type="dxa"/>
              <w:right w:w="65" w:type="dxa"/>
            </w:tcMar>
          </w:tcPr>
          <w:p>
            <w:pPr>
              <w:keepNext w:val="0"/>
              <w:spacing w:after="20" w:before="20" w:line="245" w:lineRule="auto"/>
            </w:pPr>
            <w:r>
              <w:rPr>
                <w:b w:val="0"/>
                <w:sz w:val="18"/>
              </w:rPr>
              <w:t>0.733–0.773</w:t>
            </w:r>
          </w:p>
        </w:tc>
      </w:tr>
      <w:tr>
        <w:trPr>
          <w:cantSplit/>
        </w:trPr>
        <w:tc>
          <w:tcPr>
            <w:tcW w:type="dxa" w:w="3254"/>
            <w:vAlign w:val="center"/>
            <w:shd w:fill="FFFFFF"/>
            <w:tcMar>
              <w:top w:w="65" w:type="dxa"/>
              <w:bottom w:w="65" w:type="dxa"/>
              <w:left w:w="65" w:type="dxa"/>
              <w:right w:w="65" w:type="dxa"/>
            </w:tcMar>
          </w:tcPr>
          <w:p>
            <w:pPr>
              <w:keepNext w:val="0"/>
              <w:spacing w:after="20" w:before="20" w:line="245" w:lineRule="auto"/>
            </w:pPr>
            <w:r>
              <w:rPr>
                <w:b w:val="0"/>
                <w:sz w:val="18"/>
              </w:rPr>
              <w:t>Average precision</w:t>
            </w:r>
          </w:p>
        </w:tc>
        <w:tc>
          <w:tcPr>
            <w:tcW w:type="dxa" w:w="1440"/>
            <w:vAlign w:val="center"/>
            <w:shd w:fill="FFFFFF"/>
            <w:tcMar>
              <w:top w:w="65" w:type="dxa"/>
              <w:bottom w:w="65" w:type="dxa"/>
              <w:left w:w="65" w:type="dxa"/>
              <w:right w:w="65" w:type="dxa"/>
            </w:tcMar>
          </w:tcPr>
          <w:p>
            <w:pPr>
              <w:keepNext w:val="0"/>
              <w:spacing w:after="20" w:before="20" w:line="245" w:lineRule="auto"/>
            </w:pPr>
            <w:r>
              <w:rPr>
                <w:b w:val="0"/>
                <w:sz w:val="18"/>
              </w:rPr>
              <w:t>0.208</w:t>
            </w:r>
          </w:p>
        </w:tc>
        <w:tc>
          <w:tcPr>
            <w:tcW w:type="dxa" w:w="2592"/>
            <w:vAlign w:val="center"/>
            <w:shd w:fill="FFFFFF"/>
            <w:tcMar>
              <w:top w:w="65" w:type="dxa"/>
              <w:bottom w:w="65" w:type="dxa"/>
              <w:left w:w="65" w:type="dxa"/>
              <w:right w:w="65" w:type="dxa"/>
            </w:tcMar>
          </w:tcPr>
          <w:p>
            <w:pPr>
              <w:keepNext w:val="0"/>
              <w:spacing w:after="20" w:before="20" w:line="245" w:lineRule="auto"/>
            </w:pPr>
            <w:r>
              <w:rPr>
                <w:b w:val="0"/>
                <w:sz w:val="18"/>
              </w:rPr>
              <w:t>0.199–0.227</w:t>
            </w:r>
          </w:p>
        </w:tc>
        <w:tc>
          <w:tcPr>
            <w:tcW w:type="dxa" w:w="2592"/>
            <w:vAlign w:val="center"/>
            <w:shd w:fill="FFFFFF"/>
            <w:tcMar>
              <w:top w:w="65" w:type="dxa"/>
              <w:bottom w:w="65" w:type="dxa"/>
              <w:left w:w="65" w:type="dxa"/>
              <w:right w:w="65" w:type="dxa"/>
            </w:tcMar>
          </w:tcPr>
          <w:p>
            <w:pPr>
              <w:keepNext w:val="0"/>
              <w:spacing w:after="20" w:before="20" w:line="245" w:lineRule="auto"/>
            </w:pPr>
            <w:r>
              <w:rPr>
                <w:b w:val="0"/>
                <w:sz w:val="18"/>
              </w:rPr>
              <w:t>0.173–0.246</w:t>
            </w:r>
          </w:p>
        </w:tc>
      </w:tr>
      <w:tr>
        <w:trPr>
          <w:cantSplit/>
        </w:trPr>
        <w:tc>
          <w:tcPr>
            <w:tcW w:type="dxa" w:w="3254"/>
            <w:vAlign w:val="center"/>
            <w:shd w:fill="F0F5F8"/>
            <w:tcMar>
              <w:top w:w="65" w:type="dxa"/>
              <w:bottom w:w="65" w:type="dxa"/>
              <w:left w:w="65" w:type="dxa"/>
              <w:right w:w="65" w:type="dxa"/>
            </w:tcMar>
          </w:tcPr>
          <w:p>
            <w:pPr>
              <w:keepNext w:val="0"/>
              <w:spacing w:after="20" w:before="20" w:line="245" w:lineRule="auto"/>
            </w:pPr>
            <w:r>
              <w:rPr>
                <w:b w:val="0"/>
                <w:sz w:val="18"/>
              </w:rPr>
              <w:t>Brier</w:t>
            </w:r>
          </w:p>
        </w:tc>
        <w:tc>
          <w:tcPr>
            <w:tcW w:type="dxa" w:w="1440"/>
            <w:vAlign w:val="center"/>
            <w:shd w:fill="F0F5F8"/>
            <w:tcMar>
              <w:top w:w="65" w:type="dxa"/>
              <w:bottom w:w="65" w:type="dxa"/>
              <w:left w:w="65" w:type="dxa"/>
              <w:right w:w="65" w:type="dxa"/>
            </w:tcMar>
          </w:tcPr>
          <w:p>
            <w:pPr>
              <w:keepNext w:val="0"/>
              <w:spacing w:after="20" w:before="20" w:line="245" w:lineRule="auto"/>
            </w:pPr>
            <w:r>
              <w:rPr>
                <w:b w:val="0"/>
                <w:sz w:val="18"/>
              </w:rPr>
              <w:t>0.0578</w:t>
            </w:r>
          </w:p>
        </w:tc>
        <w:tc>
          <w:tcPr>
            <w:tcW w:type="dxa" w:w="2592"/>
            <w:vAlign w:val="center"/>
            <w:shd w:fill="F0F5F8"/>
            <w:tcMar>
              <w:top w:w="65" w:type="dxa"/>
              <w:bottom w:w="65" w:type="dxa"/>
              <w:left w:w="65" w:type="dxa"/>
              <w:right w:w="65" w:type="dxa"/>
            </w:tcMar>
          </w:tcPr>
          <w:p>
            <w:pPr>
              <w:keepNext w:val="0"/>
              <w:spacing w:after="20" w:before="20" w:line="245" w:lineRule="auto"/>
            </w:pPr>
            <w:r>
              <w:rPr>
                <w:b w:val="0"/>
                <w:sz w:val="18"/>
              </w:rPr>
              <w:t>0.0571–0.0580</w:t>
            </w:r>
          </w:p>
        </w:tc>
        <w:tc>
          <w:tcPr>
            <w:tcW w:type="dxa" w:w="2592"/>
            <w:vAlign w:val="center"/>
            <w:shd w:fill="F0F5F8"/>
            <w:tcMar>
              <w:top w:w="65" w:type="dxa"/>
              <w:bottom w:w="65" w:type="dxa"/>
              <w:left w:w="65" w:type="dxa"/>
              <w:right w:w="65" w:type="dxa"/>
            </w:tcMar>
          </w:tcPr>
          <w:p>
            <w:pPr>
              <w:keepNext w:val="0"/>
              <w:spacing w:after="20" w:before="20" w:line="245" w:lineRule="auto"/>
            </w:pPr>
            <w:r>
              <w:rPr>
                <w:b w:val="0"/>
                <w:sz w:val="18"/>
              </w:rPr>
              <w:t>0.0565–0.0588</w:t>
            </w:r>
          </w:p>
        </w:tc>
      </w:tr>
      <w:tr>
        <w:trPr>
          <w:cantSplit/>
        </w:trPr>
        <w:tc>
          <w:tcPr>
            <w:tcW w:type="dxa" w:w="3254"/>
            <w:vAlign w:val="center"/>
            <w:shd w:fill="FFFFFF"/>
            <w:tcMar>
              <w:top w:w="65" w:type="dxa"/>
              <w:bottom w:w="65" w:type="dxa"/>
              <w:left w:w="65" w:type="dxa"/>
              <w:right w:w="65" w:type="dxa"/>
            </w:tcMar>
          </w:tcPr>
          <w:p>
            <w:pPr>
              <w:keepNext w:val="0"/>
              <w:spacing w:after="20" w:before="20" w:line="245" w:lineRule="auto"/>
            </w:pPr>
            <w:r>
              <w:rPr>
                <w:b w:val="0"/>
                <w:sz w:val="18"/>
              </w:rPr>
              <w:t>Calibration-in-the-large</w:t>
            </w:r>
          </w:p>
        </w:tc>
        <w:tc>
          <w:tcPr>
            <w:tcW w:type="dxa" w:w="1440"/>
            <w:vAlign w:val="center"/>
            <w:shd w:fill="FFFFFF"/>
            <w:tcMar>
              <w:top w:w="65" w:type="dxa"/>
              <w:bottom w:w="65" w:type="dxa"/>
              <w:left w:w="65" w:type="dxa"/>
              <w:right w:w="65" w:type="dxa"/>
            </w:tcMar>
          </w:tcPr>
          <w:p>
            <w:pPr>
              <w:keepNext w:val="0"/>
              <w:spacing w:after="20" w:before="20" w:line="245" w:lineRule="auto"/>
            </w:pPr>
            <w:r>
              <w:rPr>
                <w:b w:val="0"/>
                <w:sz w:val="18"/>
              </w:rPr>
              <w:t>0.004</w:t>
            </w:r>
          </w:p>
        </w:tc>
        <w:tc>
          <w:tcPr>
            <w:tcW w:type="dxa" w:w="2592"/>
            <w:vAlign w:val="center"/>
            <w:shd w:fill="FFFFFF"/>
            <w:tcMar>
              <w:top w:w="65" w:type="dxa"/>
              <w:bottom w:w="65" w:type="dxa"/>
              <w:left w:w="65" w:type="dxa"/>
              <w:right w:w="65" w:type="dxa"/>
            </w:tcMar>
          </w:tcPr>
          <w:p>
            <w:pPr>
              <w:keepNext w:val="0"/>
              <w:spacing w:after="20" w:before="20" w:line="245" w:lineRule="auto"/>
            </w:pPr>
            <w:r>
              <w:rPr>
                <w:b w:val="0"/>
                <w:sz w:val="18"/>
              </w:rPr>
              <w:t>-0.002–0.012</w:t>
            </w:r>
          </w:p>
        </w:tc>
        <w:tc>
          <w:tcPr>
            <w:tcW w:type="dxa" w:w="2592"/>
            <w:vAlign w:val="center"/>
            <w:shd w:fill="FFFFFF"/>
            <w:tcMar>
              <w:top w:w="65" w:type="dxa"/>
              <w:bottom w:w="65" w:type="dxa"/>
              <w:left w:w="65" w:type="dxa"/>
              <w:right w:w="65" w:type="dxa"/>
            </w:tcMar>
          </w:tcPr>
          <w:p>
            <w:pPr>
              <w:keepNext w:val="0"/>
              <w:spacing w:after="20" w:before="20" w:line="245" w:lineRule="auto"/>
            </w:pPr>
            <w:r>
              <w:rPr>
                <w:b w:val="0"/>
                <w:sz w:val="18"/>
              </w:rPr>
              <w:t>-0.014–0.020</w:t>
            </w:r>
          </w:p>
        </w:tc>
      </w:tr>
      <w:tr>
        <w:trPr>
          <w:cantSplit/>
        </w:trPr>
        <w:tc>
          <w:tcPr>
            <w:tcW w:type="dxa" w:w="3254"/>
            <w:vAlign w:val="center"/>
            <w:shd w:fill="F0F5F8"/>
            <w:tcMar>
              <w:top w:w="65" w:type="dxa"/>
              <w:bottom w:w="65" w:type="dxa"/>
              <w:left w:w="65" w:type="dxa"/>
              <w:right w:w="65" w:type="dxa"/>
            </w:tcMar>
          </w:tcPr>
          <w:p>
            <w:pPr>
              <w:keepNext w:val="0"/>
              <w:spacing w:after="20" w:before="20" w:line="245" w:lineRule="auto"/>
            </w:pPr>
            <w:r>
              <w:rPr>
                <w:b w:val="0"/>
                <w:sz w:val="18"/>
              </w:rPr>
              <w:t>Calibration slope</w:t>
            </w:r>
          </w:p>
        </w:tc>
        <w:tc>
          <w:tcPr>
            <w:tcW w:type="dxa" w:w="1440"/>
            <w:vAlign w:val="center"/>
            <w:shd w:fill="F0F5F8"/>
            <w:tcMar>
              <w:top w:w="65" w:type="dxa"/>
              <w:bottom w:w="65" w:type="dxa"/>
              <w:left w:w="65" w:type="dxa"/>
              <w:right w:w="65" w:type="dxa"/>
            </w:tcMar>
          </w:tcPr>
          <w:p>
            <w:pPr>
              <w:keepNext w:val="0"/>
              <w:spacing w:after="20" w:before="20" w:line="245" w:lineRule="auto"/>
            </w:pPr>
            <w:r>
              <w:rPr>
                <w:b w:val="0"/>
                <w:sz w:val="18"/>
              </w:rPr>
              <w:t>0.837</w:t>
            </w:r>
          </w:p>
        </w:tc>
        <w:tc>
          <w:tcPr>
            <w:tcW w:type="dxa" w:w="2592"/>
            <w:vAlign w:val="center"/>
            <w:shd w:fill="F0F5F8"/>
            <w:tcMar>
              <w:top w:w="65" w:type="dxa"/>
              <w:bottom w:w="65" w:type="dxa"/>
              <w:left w:w="65" w:type="dxa"/>
              <w:right w:w="65" w:type="dxa"/>
            </w:tcMar>
          </w:tcPr>
          <w:p>
            <w:pPr>
              <w:keepNext w:val="0"/>
              <w:spacing w:after="20" w:before="20" w:line="245" w:lineRule="auto"/>
            </w:pPr>
            <w:r>
              <w:rPr>
                <w:b w:val="0"/>
                <w:sz w:val="18"/>
              </w:rPr>
              <w:t>0.812–0.865</w:t>
            </w:r>
          </w:p>
        </w:tc>
        <w:tc>
          <w:tcPr>
            <w:tcW w:type="dxa" w:w="2592"/>
            <w:vAlign w:val="center"/>
            <w:shd w:fill="F0F5F8"/>
            <w:tcMar>
              <w:top w:w="65" w:type="dxa"/>
              <w:bottom w:w="65" w:type="dxa"/>
              <w:left w:w="65" w:type="dxa"/>
              <w:right w:w="65" w:type="dxa"/>
            </w:tcMar>
          </w:tcPr>
          <w:p>
            <w:pPr>
              <w:keepNext w:val="0"/>
              <w:spacing w:after="20" w:before="20" w:line="245" w:lineRule="auto"/>
            </w:pPr>
            <w:r>
              <w:rPr>
                <w:b w:val="0"/>
                <w:sz w:val="18"/>
              </w:rPr>
              <w:t>0.738–0.943</w:t>
            </w:r>
          </w:p>
        </w:tc>
      </w:tr>
    </w:tbl>
    <w:p>
      <w:pPr>
        <w:spacing w:after="0"/>
      </w:pPr>
    </w:p>
    <w:p>
      <w:r>
        <w:rPr>
          <w:b w:val="0"/>
        </w:rPr>
        <w:t>The five metric summaries and six coefficient summaries were recalculated from the detailed CSVs. Female and below-Grade-7 coefficients were negative in 100/100 fits; urban-informal coefficients were negative in 27/100. These are overlapping-fit stability descriptions, not significance tests. The spread across repetitions is not a 95% confidence interval and does not include uncertainty from choosing D-052.</w:t>
      </w:r>
    </w:p>
    <w:p>
      <w:r>
        <w:rPr>
          <w:b w:val="0"/>
        </w:rPr>
      </w:r>
      <w:r>
        <w:rPr>
          <w:b/>
        </w:rPr>
        <w:t>Traceability records:</w:t>
      </w:r>
      <w:r>
        <w:rPr>
          <w:b w:val="0"/>
        </w:rPr>
        <w:t xml:space="preserve"> output/phase5_ridge_settlement/{metrics.csv, fold_penalties.csv, run_record.json}; output/phase5_refit_repeats/{repetition_metrics.csv, fold_coefficients.csv, summary.csv, coefficient_summary.csv, run_record.json}. Keep any future individual prediction and household-linkage records controlled; publish appropriate aggregate evidence.</w:t>
      </w:r>
    </w:p>
    <w:p>
      <w:r>
        <w:br w:type="page"/>
      </w:r>
    </w:p>
    <w:p>
      <w:pPr>
        <w:pStyle w:val="Heading1"/>
      </w:pPr>
      <w:r>
        <w:rPr>
          <w:b w:val="0"/>
        </w:rPr>
        <w:t>Missing item 1 — Search evidence and closure actions</w:t>
      </w:r>
    </w:p>
    <w:p>
      <w:pPr>
        <w:pStyle w:val="Heading3"/>
      </w:pPr>
      <w:r>
        <w:rPr>
          <w:b w:val="0"/>
        </w:rPr>
        <w:t>Supplement S5: recoverable recorded search details</w:t>
      </w:r>
    </w:p>
    <w:p>
      <w:r>
        <w:rPr>
          <w:b w:val="0"/>
        </w:rPr>
        <w:t xml:space="preserve">An earlier repository revision, </w:t>
      </w:r>
      <w:r>
        <w:rPr>
          <w:b/>
        </w:rPr>
        <w:t>e0b29b9b</w:t>
      </w:r>
      <w:r>
        <w:rPr>
          <w:b w:val="0"/>
        </w:rPr>
        <w:t xml:space="preserve">, preserves eight exact query strings and the recorded date </w:t>
      </w:r>
      <w:r>
        <w:rPr>
          <w:b/>
        </w:rPr>
        <w:t>17 August 2026</w:t>
      </w:r>
      <w:r>
        <w:rPr>
          <w:b w:val="0"/>
        </w:rPr>
        <w:t>. The following totals can be recovered from that author record. These search IDs are separate from the screening-scenario IDs used in S1.</w:t>
      </w:r>
    </w:p>
    <w:tbl>
      <w:tblPr>
        <w:tblW w:type="auto" w:w="0"/>
        <w:jc w:val="center"/>
        <w:tblLayout w:type="fixed"/>
        <w:tblLook w:firstColumn="1" w:firstRow="1" w:lastColumn="0" w:lastRow="0" w:noHBand="0" w:noVBand="1" w:val="04A0"/>
      </w:tblPr>
      <w:tblGrid>
        <w:gridCol w:w="1224"/>
        <w:gridCol w:w="4622"/>
        <w:gridCol w:w="2016"/>
        <w:gridCol w:w="2016"/>
      </w:tblGrid>
      <w:tr>
        <w:trPr>
          <w:cantSplit/>
          <w:tblHeader/>
        </w:trPr>
        <w:tc>
          <w:tcPr>
            <w:tcW w:type="dxa" w:w="1224"/>
            <w:vAlign w:val="center"/>
            <w:shd w:fill="244D68"/>
            <w:tcMar>
              <w:top w:w="65" w:type="dxa"/>
              <w:bottom w:w="65" w:type="dxa"/>
              <w:left w:w="65" w:type="dxa"/>
              <w:right w:w="65" w:type="dxa"/>
            </w:tcMar>
          </w:tcPr>
          <w:p>
            <w:pPr>
              <w:keepNext w:val="0"/>
              <w:spacing w:after="20" w:before="20" w:line="245" w:lineRule="auto"/>
            </w:pPr>
            <w:r>
              <w:rPr>
                <w:b/>
                <w:color w:val="FFFFFF"/>
                <w:sz w:val="18"/>
              </w:rPr>
              <w:t>Search ID</w:t>
            </w:r>
          </w:p>
        </w:tc>
        <w:tc>
          <w:tcPr>
            <w:tcW w:type="dxa" w:w="4622"/>
            <w:vAlign w:val="center"/>
            <w:shd w:fill="244D68"/>
            <w:tcMar>
              <w:top w:w="65" w:type="dxa"/>
              <w:bottom w:w="65" w:type="dxa"/>
              <w:left w:w="65" w:type="dxa"/>
              <w:right w:w="65" w:type="dxa"/>
            </w:tcMar>
          </w:tcPr>
          <w:p>
            <w:pPr>
              <w:keepNext w:val="0"/>
              <w:spacing w:after="20" w:before="20" w:line="245" w:lineRule="auto"/>
            </w:pPr>
            <w:r>
              <w:rPr>
                <w:b/>
                <w:color w:val="FFFFFF"/>
                <w:sz w:val="18"/>
              </w:rPr>
              <w:t>Recorded platform</w:t>
            </w:r>
          </w:p>
        </w:tc>
        <w:tc>
          <w:tcPr>
            <w:tcW w:type="dxa" w:w="2016"/>
            <w:vAlign w:val="center"/>
            <w:shd w:fill="244D68"/>
            <w:tcMar>
              <w:top w:w="65" w:type="dxa"/>
              <w:bottom w:w="65" w:type="dxa"/>
              <w:left w:w="65" w:type="dxa"/>
              <w:right w:w="65" w:type="dxa"/>
            </w:tcMar>
          </w:tcPr>
          <w:p>
            <w:pPr>
              <w:keepNext w:val="0"/>
              <w:spacing w:after="20" w:before="20" w:line="245" w:lineRule="auto"/>
            </w:pPr>
            <w:r>
              <w:rPr>
                <w:b/>
                <w:color w:val="FFFFFF"/>
                <w:sz w:val="18"/>
              </w:rPr>
              <w:t>Hits</w:t>
            </w:r>
          </w:p>
        </w:tc>
        <w:tc>
          <w:tcPr>
            <w:tcW w:type="dxa" w:w="2016"/>
            <w:vAlign w:val="center"/>
            <w:shd w:fill="244D68"/>
            <w:tcMar>
              <w:top w:w="65" w:type="dxa"/>
              <w:bottom w:w="65" w:type="dxa"/>
              <w:left w:w="65" w:type="dxa"/>
              <w:right w:w="65" w:type="dxa"/>
            </w:tcMar>
          </w:tcPr>
          <w:p>
            <w:pPr>
              <w:keepNext w:val="0"/>
              <w:spacing w:after="20" w:before="20" w:line="245" w:lineRule="auto"/>
            </w:pPr>
            <w:r>
              <w:rPr>
                <w:b/>
                <w:color w:val="FFFFFF"/>
                <w:sz w:val="18"/>
              </w:rPr>
              <w:t>Retained</w:t>
            </w:r>
          </w:p>
        </w:tc>
      </w:tr>
      <w:tr>
        <w:trPr>
          <w:cantSplit/>
        </w:trPr>
        <w:tc>
          <w:tcPr>
            <w:tcW w:type="dxa" w:w="1224"/>
            <w:vAlign w:val="center"/>
            <w:shd w:fill="F0F5F8"/>
            <w:tcMar>
              <w:top w:w="65" w:type="dxa"/>
              <w:bottom w:w="65" w:type="dxa"/>
              <w:left w:w="65" w:type="dxa"/>
              <w:right w:w="65" w:type="dxa"/>
            </w:tcMar>
          </w:tcPr>
          <w:p>
            <w:pPr>
              <w:keepNext w:val="0"/>
              <w:spacing w:after="20" w:before="20" w:line="245" w:lineRule="auto"/>
            </w:pPr>
            <w:r>
              <w:rPr>
                <w:b w:val="0"/>
                <w:sz w:val="18"/>
              </w:rPr>
              <w:t>S1</w:t>
            </w:r>
          </w:p>
        </w:tc>
        <w:tc>
          <w:tcPr>
            <w:tcW w:type="dxa" w:w="4622"/>
            <w:vAlign w:val="center"/>
            <w:shd w:fill="F0F5F8"/>
            <w:tcMar>
              <w:top w:w="65" w:type="dxa"/>
              <w:bottom w:w="65" w:type="dxa"/>
              <w:left w:w="65" w:type="dxa"/>
              <w:right w:w="65" w:type="dxa"/>
            </w:tcMar>
          </w:tcPr>
          <w:p>
            <w:pPr>
              <w:keepNext w:val="0"/>
              <w:spacing w:after="20" w:before="20" w:line="245" w:lineRule="auto"/>
            </w:pPr>
            <w:r>
              <w:rPr>
                <w:b w:val="0"/>
                <w:sz w:val="18"/>
              </w:rPr>
              <w:t>Scopus</w:t>
            </w:r>
          </w:p>
        </w:tc>
        <w:tc>
          <w:tcPr>
            <w:tcW w:type="dxa" w:w="2016"/>
            <w:vAlign w:val="center"/>
            <w:shd w:fill="F0F5F8"/>
            <w:tcMar>
              <w:top w:w="65" w:type="dxa"/>
              <w:bottom w:w="65" w:type="dxa"/>
              <w:left w:w="65" w:type="dxa"/>
              <w:right w:w="65" w:type="dxa"/>
            </w:tcMar>
          </w:tcPr>
          <w:p>
            <w:pPr>
              <w:keepNext w:val="0"/>
              <w:spacing w:after="20" w:before="20" w:line="245" w:lineRule="auto"/>
            </w:pPr>
            <w:r>
              <w:rPr>
                <w:b w:val="0"/>
                <w:sz w:val="18"/>
              </w:rPr>
              <w:t>43</w:t>
            </w:r>
          </w:p>
        </w:tc>
        <w:tc>
          <w:tcPr>
            <w:tcW w:type="dxa" w:w="2016"/>
            <w:vAlign w:val="center"/>
            <w:shd w:fill="F0F5F8"/>
            <w:tcMar>
              <w:top w:w="65" w:type="dxa"/>
              <w:bottom w:w="65" w:type="dxa"/>
              <w:left w:w="65" w:type="dxa"/>
              <w:right w:w="65" w:type="dxa"/>
            </w:tcMar>
          </w:tcPr>
          <w:p>
            <w:pPr>
              <w:keepNext w:val="0"/>
              <w:spacing w:after="20" w:before="20" w:line="245" w:lineRule="auto"/>
            </w:pPr>
            <w:r>
              <w:rPr>
                <w:b w:val="0"/>
                <w:sz w:val="18"/>
              </w:rPr>
              <w:t>9</w:t>
            </w:r>
          </w:p>
        </w:tc>
      </w:tr>
      <w:tr>
        <w:trPr>
          <w:cantSplit/>
        </w:trPr>
        <w:tc>
          <w:tcPr>
            <w:tcW w:type="dxa" w:w="1224"/>
            <w:vAlign w:val="center"/>
            <w:shd w:fill="FFFFFF"/>
            <w:tcMar>
              <w:top w:w="65" w:type="dxa"/>
              <w:bottom w:w="65" w:type="dxa"/>
              <w:left w:w="65" w:type="dxa"/>
              <w:right w:w="65" w:type="dxa"/>
            </w:tcMar>
          </w:tcPr>
          <w:p>
            <w:pPr>
              <w:keepNext w:val="0"/>
              <w:spacing w:after="20" w:before="20" w:line="245" w:lineRule="auto"/>
            </w:pPr>
            <w:r>
              <w:rPr>
                <w:b w:val="0"/>
                <w:sz w:val="18"/>
              </w:rPr>
              <w:t>S1b</w:t>
            </w:r>
          </w:p>
        </w:tc>
        <w:tc>
          <w:tcPr>
            <w:tcW w:type="dxa" w:w="4622"/>
            <w:vAlign w:val="center"/>
            <w:shd w:fill="FFFFFF"/>
            <w:tcMar>
              <w:top w:w="65" w:type="dxa"/>
              <w:bottom w:w="65" w:type="dxa"/>
              <w:left w:w="65" w:type="dxa"/>
              <w:right w:w="65" w:type="dxa"/>
            </w:tcMar>
          </w:tcPr>
          <w:p>
            <w:pPr>
              <w:keepNext w:val="0"/>
              <w:spacing w:after="20" w:before="20" w:line="245" w:lineRule="auto"/>
            </w:pPr>
            <w:r>
              <w:rPr>
                <w:b w:val="0"/>
                <w:sz w:val="18"/>
              </w:rPr>
              <w:t>Scopus, widened</w:t>
            </w:r>
          </w:p>
        </w:tc>
        <w:tc>
          <w:tcPr>
            <w:tcW w:type="dxa" w:w="2016"/>
            <w:vAlign w:val="center"/>
            <w:shd w:fill="FFFFFF"/>
            <w:tcMar>
              <w:top w:w="65" w:type="dxa"/>
              <w:bottom w:w="65" w:type="dxa"/>
              <w:left w:w="65" w:type="dxa"/>
              <w:right w:w="65" w:type="dxa"/>
            </w:tcMar>
          </w:tcPr>
          <w:p>
            <w:pPr>
              <w:keepNext w:val="0"/>
              <w:spacing w:after="20" w:before="20" w:line="245" w:lineRule="auto"/>
            </w:pPr>
            <w:r>
              <w:rPr>
                <w:b w:val="0"/>
                <w:sz w:val="18"/>
              </w:rPr>
              <w:t>149</w:t>
            </w:r>
          </w:p>
        </w:tc>
        <w:tc>
          <w:tcPr>
            <w:tcW w:type="dxa" w:w="2016"/>
            <w:vAlign w:val="center"/>
            <w:shd w:fill="FFFFFF"/>
            <w:tcMar>
              <w:top w:w="65" w:type="dxa"/>
              <w:bottom w:w="65" w:type="dxa"/>
              <w:left w:w="65" w:type="dxa"/>
              <w:right w:w="65" w:type="dxa"/>
            </w:tcMar>
          </w:tcPr>
          <w:p>
            <w:pPr>
              <w:keepNext w:val="0"/>
              <w:spacing w:after="20" w:before="20" w:line="245" w:lineRule="auto"/>
            </w:pPr>
            <w:r>
              <w:rPr>
                <w:b w:val="0"/>
                <w:sz w:val="18"/>
              </w:rPr>
              <w:t>10</w:t>
            </w:r>
          </w:p>
        </w:tc>
      </w:tr>
      <w:tr>
        <w:trPr>
          <w:cantSplit/>
        </w:trPr>
        <w:tc>
          <w:tcPr>
            <w:tcW w:type="dxa" w:w="1224"/>
            <w:vAlign w:val="center"/>
            <w:shd w:fill="F0F5F8"/>
            <w:tcMar>
              <w:top w:w="65" w:type="dxa"/>
              <w:bottom w:w="65" w:type="dxa"/>
              <w:left w:w="65" w:type="dxa"/>
              <w:right w:w="65" w:type="dxa"/>
            </w:tcMar>
          </w:tcPr>
          <w:p>
            <w:pPr>
              <w:keepNext w:val="0"/>
              <w:spacing w:after="20" w:before="20" w:line="245" w:lineRule="auto"/>
            </w:pPr>
            <w:r>
              <w:rPr>
                <w:b w:val="0"/>
                <w:sz w:val="18"/>
              </w:rPr>
              <w:t>S2</w:t>
            </w:r>
          </w:p>
        </w:tc>
        <w:tc>
          <w:tcPr>
            <w:tcW w:type="dxa" w:w="4622"/>
            <w:vAlign w:val="center"/>
            <w:shd w:fill="F0F5F8"/>
            <w:tcMar>
              <w:top w:w="65" w:type="dxa"/>
              <w:bottom w:w="65" w:type="dxa"/>
              <w:left w:w="65" w:type="dxa"/>
              <w:right w:w="65" w:type="dxa"/>
            </w:tcMar>
          </w:tcPr>
          <w:p>
            <w:pPr>
              <w:keepNext w:val="0"/>
              <w:spacing w:after="20" w:before="20" w:line="245" w:lineRule="auto"/>
            </w:pPr>
            <w:r>
              <w:rPr>
                <w:b w:val="0"/>
                <w:sz w:val="18"/>
              </w:rPr>
              <w:t>Scopus, method</w:t>
            </w:r>
          </w:p>
        </w:tc>
        <w:tc>
          <w:tcPr>
            <w:tcW w:type="dxa" w:w="2016"/>
            <w:vAlign w:val="center"/>
            <w:shd w:fill="F0F5F8"/>
            <w:tcMar>
              <w:top w:w="65" w:type="dxa"/>
              <w:bottom w:w="65" w:type="dxa"/>
              <w:left w:w="65" w:type="dxa"/>
              <w:right w:w="65" w:type="dxa"/>
            </w:tcMar>
          </w:tcPr>
          <w:p>
            <w:pPr>
              <w:keepNext w:val="0"/>
              <w:spacing w:after="20" w:before="20" w:line="245" w:lineRule="auto"/>
            </w:pPr>
            <w:r>
              <w:rPr>
                <w:b w:val="0"/>
                <w:sz w:val="18"/>
              </w:rPr>
              <w:t>100</w:t>
            </w:r>
          </w:p>
        </w:tc>
        <w:tc>
          <w:tcPr>
            <w:tcW w:type="dxa" w:w="2016"/>
            <w:vAlign w:val="center"/>
            <w:shd w:fill="F0F5F8"/>
            <w:tcMar>
              <w:top w:w="65" w:type="dxa"/>
              <w:bottom w:w="65" w:type="dxa"/>
              <w:left w:w="65" w:type="dxa"/>
              <w:right w:w="65" w:type="dxa"/>
            </w:tcMar>
          </w:tcPr>
          <w:p>
            <w:pPr>
              <w:keepNext w:val="0"/>
              <w:spacing w:after="20" w:before="20" w:line="245" w:lineRule="auto"/>
            </w:pPr>
            <w:r>
              <w:rPr>
                <w:b w:val="0"/>
                <w:sz w:val="18"/>
              </w:rPr>
              <w:t>11</w:t>
            </w:r>
          </w:p>
        </w:tc>
      </w:tr>
      <w:tr>
        <w:trPr>
          <w:cantSplit/>
        </w:trPr>
        <w:tc>
          <w:tcPr>
            <w:tcW w:type="dxa" w:w="1224"/>
            <w:vAlign w:val="center"/>
            <w:shd w:fill="FFFFFF"/>
            <w:tcMar>
              <w:top w:w="65" w:type="dxa"/>
              <w:bottom w:w="65" w:type="dxa"/>
              <w:left w:w="65" w:type="dxa"/>
              <w:right w:w="65" w:type="dxa"/>
            </w:tcMar>
          </w:tcPr>
          <w:p>
            <w:pPr>
              <w:keepNext w:val="0"/>
              <w:spacing w:after="20" w:before="20" w:line="245" w:lineRule="auto"/>
            </w:pPr>
            <w:r>
              <w:rPr>
                <w:b w:val="0"/>
                <w:sz w:val="18"/>
              </w:rPr>
              <w:t>S3</w:t>
            </w:r>
          </w:p>
        </w:tc>
        <w:tc>
          <w:tcPr>
            <w:tcW w:type="dxa" w:w="4622"/>
            <w:vAlign w:val="center"/>
            <w:shd w:fill="FFFFFF"/>
            <w:tcMar>
              <w:top w:w="65" w:type="dxa"/>
              <w:bottom w:w="65" w:type="dxa"/>
              <w:left w:w="65" w:type="dxa"/>
              <w:right w:w="65" w:type="dxa"/>
            </w:tcMar>
          </w:tcPr>
          <w:p>
            <w:pPr>
              <w:keepNext w:val="0"/>
              <w:spacing w:after="20" w:before="20" w:line="245" w:lineRule="auto"/>
            </w:pPr>
            <w:r>
              <w:rPr>
                <w:b w:val="0"/>
                <w:sz w:val="18"/>
              </w:rPr>
              <w:t>Dimensions</w:t>
            </w:r>
          </w:p>
        </w:tc>
        <w:tc>
          <w:tcPr>
            <w:tcW w:type="dxa" w:w="2016"/>
            <w:vAlign w:val="center"/>
            <w:shd w:fill="FFFFFF"/>
            <w:tcMar>
              <w:top w:w="65" w:type="dxa"/>
              <w:bottom w:w="65" w:type="dxa"/>
              <w:left w:w="65" w:type="dxa"/>
              <w:right w:w="65" w:type="dxa"/>
            </w:tcMar>
          </w:tcPr>
          <w:p>
            <w:pPr>
              <w:keepNext w:val="0"/>
              <w:spacing w:after="20" w:before="20" w:line="245" w:lineRule="auto"/>
            </w:pPr>
            <w:r>
              <w:rPr>
                <w:b w:val="0"/>
                <w:sz w:val="18"/>
              </w:rPr>
              <w:t>36</w:t>
            </w:r>
          </w:p>
        </w:tc>
        <w:tc>
          <w:tcPr>
            <w:tcW w:type="dxa" w:w="2016"/>
            <w:vAlign w:val="center"/>
            <w:shd w:fill="FFFFFF"/>
            <w:tcMar>
              <w:top w:w="65" w:type="dxa"/>
              <w:bottom w:w="65" w:type="dxa"/>
              <w:left w:w="65" w:type="dxa"/>
              <w:right w:w="65" w:type="dxa"/>
            </w:tcMar>
          </w:tcPr>
          <w:p>
            <w:pPr>
              <w:keepNext w:val="0"/>
              <w:spacing w:after="20" w:before="20" w:line="245" w:lineRule="auto"/>
            </w:pPr>
            <w:r>
              <w:rPr>
                <w:b w:val="0"/>
                <w:sz w:val="18"/>
              </w:rPr>
              <w:t>5</w:t>
            </w:r>
          </w:p>
        </w:tc>
      </w:tr>
      <w:tr>
        <w:trPr>
          <w:cantSplit/>
        </w:trPr>
        <w:tc>
          <w:tcPr>
            <w:tcW w:type="dxa" w:w="1224"/>
            <w:vAlign w:val="center"/>
            <w:shd w:fill="F0F5F8"/>
            <w:tcMar>
              <w:top w:w="65" w:type="dxa"/>
              <w:bottom w:w="65" w:type="dxa"/>
              <w:left w:w="65" w:type="dxa"/>
              <w:right w:w="65" w:type="dxa"/>
            </w:tcMar>
          </w:tcPr>
          <w:p>
            <w:pPr>
              <w:keepNext w:val="0"/>
              <w:spacing w:after="20" w:before="20" w:line="245" w:lineRule="auto"/>
            </w:pPr>
            <w:r>
              <w:rPr>
                <w:b w:val="0"/>
                <w:sz w:val="18"/>
              </w:rPr>
              <w:t>S4</w:t>
            </w:r>
          </w:p>
        </w:tc>
        <w:tc>
          <w:tcPr>
            <w:tcW w:type="dxa" w:w="4622"/>
            <w:vAlign w:val="center"/>
            <w:shd w:fill="F0F5F8"/>
            <w:tcMar>
              <w:top w:w="65" w:type="dxa"/>
              <w:bottom w:w="65" w:type="dxa"/>
              <w:left w:w="65" w:type="dxa"/>
              <w:right w:w="65" w:type="dxa"/>
            </w:tcMar>
          </w:tcPr>
          <w:p>
            <w:pPr>
              <w:keepNext w:val="0"/>
              <w:spacing w:after="20" w:before="20" w:line="245" w:lineRule="auto"/>
            </w:pPr>
            <w:r>
              <w:rPr>
                <w:b w:val="0"/>
                <w:sz w:val="18"/>
              </w:rPr>
              <w:t>IEEE Xplore</w:t>
            </w:r>
          </w:p>
        </w:tc>
        <w:tc>
          <w:tcPr>
            <w:tcW w:type="dxa" w:w="2016"/>
            <w:vAlign w:val="center"/>
            <w:shd w:fill="F0F5F8"/>
            <w:tcMar>
              <w:top w:w="65" w:type="dxa"/>
              <w:bottom w:w="65" w:type="dxa"/>
              <w:left w:w="65" w:type="dxa"/>
              <w:right w:w="65" w:type="dxa"/>
            </w:tcMar>
          </w:tcPr>
          <w:p>
            <w:pPr>
              <w:keepNext w:val="0"/>
              <w:spacing w:after="20" w:before="20" w:line="245" w:lineRule="auto"/>
            </w:pPr>
            <w:r>
              <w:rPr>
                <w:b w:val="0"/>
                <w:sz w:val="18"/>
              </w:rPr>
              <w:t>47</w:t>
            </w:r>
          </w:p>
        </w:tc>
        <w:tc>
          <w:tcPr>
            <w:tcW w:type="dxa" w:w="2016"/>
            <w:vAlign w:val="center"/>
            <w:shd w:fill="F0F5F8"/>
            <w:tcMar>
              <w:top w:w="65" w:type="dxa"/>
              <w:bottom w:w="65" w:type="dxa"/>
              <w:left w:w="65" w:type="dxa"/>
              <w:right w:w="65" w:type="dxa"/>
            </w:tcMar>
          </w:tcPr>
          <w:p>
            <w:pPr>
              <w:keepNext w:val="0"/>
              <w:spacing w:after="20" w:before="20" w:line="245" w:lineRule="auto"/>
            </w:pPr>
            <w:r>
              <w:rPr>
                <w:b w:val="0"/>
                <w:sz w:val="18"/>
              </w:rPr>
              <w:t>0</w:t>
            </w:r>
          </w:p>
        </w:tc>
      </w:tr>
      <w:tr>
        <w:trPr>
          <w:cantSplit/>
        </w:trPr>
        <w:tc>
          <w:tcPr>
            <w:tcW w:type="dxa" w:w="1224"/>
            <w:vAlign w:val="center"/>
            <w:shd w:fill="FFFFFF"/>
            <w:tcMar>
              <w:top w:w="65" w:type="dxa"/>
              <w:bottom w:w="65" w:type="dxa"/>
              <w:left w:w="65" w:type="dxa"/>
              <w:right w:w="65" w:type="dxa"/>
            </w:tcMar>
          </w:tcPr>
          <w:p>
            <w:pPr>
              <w:keepNext w:val="0"/>
              <w:spacing w:after="20" w:before="20" w:line="245" w:lineRule="auto"/>
            </w:pPr>
            <w:r>
              <w:rPr>
                <w:b w:val="0"/>
                <w:sz w:val="18"/>
              </w:rPr>
              <w:t>S5</w:t>
            </w:r>
          </w:p>
        </w:tc>
        <w:tc>
          <w:tcPr>
            <w:tcW w:type="dxa" w:w="4622"/>
            <w:vAlign w:val="center"/>
            <w:shd w:fill="FFFFFF"/>
            <w:tcMar>
              <w:top w:w="65" w:type="dxa"/>
              <w:bottom w:w="65" w:type="dxa"/>
              <w:left w:w="65" w:type="dxa"/>
              <w:right w:w="65" w:type="dxa"/>
            </w:tcMar>
          </w:tcPr>
          <w:p>
            <w:pPr>
              <w:keepNext w:val="0"/>
              <w:spacing w:after="20" w:before="20" w:line="245" w:lineRule="auto"/>
            </w:pPr>
            <w:r>
              <w:rPr>
                <w:b w:val="0"/>
                <w:sz w:val="18"/>
              </w:rPr>
              <w:t>SABINET/AJOL</w:t>
            </w:r>
          </w:p>
        </w:tc>
        <w:tc>
          <w:tcPr>
            <w:tcW w:type="dxa" w:w="2016"/>
            <w:vAlign w:val="center"/>
            <w:shd w:fill="FFFFFF"/>
            <w:tcMar>
              <w:top w:w="65" w:type="dxa"/>
              <w:bottom w:w="65" w:type="dxa"/>
              <w:left w:w="65" w:type="dxa"/>
              <w:right w:w="65" w:type="dxa"/>
            </w:tcMar>
          </w:tcPr>
          <w:p>
            <w:pPr>
              <w:keepNext w:val="0"/>
              <w:spacing w:after="20" w:before="20" w:line="245" w:lineRule="auto"/>
            </w:pPr>
            <w:r>
              <w:rPr>
                <w:b w:val="0"/>
                <w:sz w:val="18"/>
              </w:rPr>
              <w:t>100</w:t>
            </w:r>
          </w:p>
        </w:tc>
        <w:tc>
          <w:tcPr>
            <w:tcW w:type="dxa" w:w="2016"/>
            <w:vAlign w:val="center"/>
            <w:shd w:fill="FFFFFF"/>
            <w:tcMar>
              <w:top w:w="65" w:type="dxa"/>
              <w:bottom w:w="65" w:type="dxa"/>
              <w:left w:w="65" w:type="dxa"/>
              <w:right w:w="65" w:type="dxa"/>
            </w:tcMar>
          </w:tcPr>
          <w:p>
            <w:pPr>
              <w:keepNext w:val="0"/>
              <w:spacing w:after="20" w:before="20" w:line="245" w:lineRule="auto"/>
            </w:pPr>
            <w:r>
              <w:rPr>
                <w:b w:val="0"/>
                <w:sz w:val="18"/>
              </w:rPr>
              <w:t>9</w:t>
            </w:r>
          </w:p>
        </w:tc>
      </w:tr>
      <w:tr>
        <w:trPr>
          <w:cantSplit/>
        </w:trPr>
        <w:tc>
          <w:tcPr>
            <w:tcW w:type="dxa" w:w="1224"/>
            <w:vAlign w:val="center"/>
            <w:shd w:fill="F0F5F8"/>
            <w:tcMar>
              <w:top w:w="65" w:type="dxa"/>
              <w:bottom w:w="65" w:type="dxa"/>
              <w:left w:w="65" w:type="dxa"/>
              <w:right w:w="65" w:type="dxa"/>
            </w:tcMar>
          </w:tcPr>
          <w:p>
            <w:pPr>
              <w:keepNext w:val="0"/>
              <w:spacing w:after="20" w:before="20" w:line="245" w:lineRule="auto"/>
            </w:pPr>
            <w:r>
              <w:rPr>
                <w:b w:val="0"/>
                <w:sz w:val="18"/>
              </w:rPr>
              <w:t>S6</w:t>
            </w:r>
          </w:p>
        </w:tc>
        <w:tc>
          <w:tcPr>
            <w:tcW w:type="dxa" w:w="4622"/>
            <w:vAlign w:val="center"/>
            <w:shd w:fill="F0F5F8"/>
            <w:tcMar>
              <w:top w:w="65" w:type="dxa"/>
              <w:bottom w:w="65" w:type="dxa"/>
              <w:left w:w="65" w:type="dxa"/>
              <w:right w:w="65" w:type="dxa"/>
            </w:tcMar>
          </w:tcPr>
          <w:p>
            <w:pPr>
              <w:keepNext w:val="0"/>
              <w:spacing w:after="20" w:before="20" w:line="245" w:lineRule="auto"/>
            </w:pPr>
            <w:r>
              <w:rPr>
                <w:b w:val="0"/>
                <w:sz w:val="18"/>
              </w:rPr>
              <w:t>Google Scholar</w:t>
            </w:r>
          </w:p>
        </w:tc>
        <w:tc>
          <w:tcPr>
            <w:tcW w:type="dxa" w:w="2016"/>
            <w:vAlign w:val="center"/>
            <w:shd w:fill="F0F5F8"/>
            <w:tcMar>
              <w:top w:w="65" w:type="dxa"/>
              <w:bottom w:w="65" w:type="dxa"/>
              <w:left w:w="65" w:type="dxa"/>
              <w:right w:w="65" w:type="dxa"/>
            </w:tcMar>
          </w:tcPr>
          <w:p>
            <w:pPr>
              <w:keepNext w:val="0"/>
              <w:spacing w:after="20" w:before="20" w:line="245" w:lineRule="auto"/>
            </w:pPr>
            <w:r>
              <w:rPr>
                <w:b w:val="0"/>
                <w:sz w:val="18"/>
              </w:rPr>
              <w:t>35</w:t>
            </w:r>
          </w:p>
        </w:tc>
        <w:tc>
          <w:tcPr>
            <w:tcW w:type="dxa" w:w="2016"/>
            <w:vAlign w:val="center"/>
            <w:shd w:fill="F0F5F8"/>
            <w:tcMar>
              <w:top w:w="65" w:type="dxa"/>
              <w:bottom w:w="65" w:type="dxa"/>
              <w:left w:w="65" w:type="dxa"/>
              <w:right w:w="65" w:type="dxa"/>
            </w:tcMar>
          </w:tcPr>
          <w:p>
            <w:pPr>
              <w:keepNext w:val="0"/>
              <w:spacing w:after="20" w:before="20" w:line="245" w:lineRule="auto"/>
            </w:pPr>
            <w:r>
              <w:rPr>
                <w:b w:val="0"/>
                <w:sz w:val="18"/>
              </w:rPr>
              <w:t>11</w:t>
            </w:r>
          </w:p>
        </w:tc>
      </w:tr>
      <w:tr>
        <w:trPr>
          <w:cantSplit/>
        </w:trPr>
        <w:tc>
          <w:tcPr>
            <w:tcW w:type="dxa" w:w="1224"/>
            <w:vAlign w:val="center"/>
            <w:shd w:fill="FFFFFF"/>
            <w:tcMar>
              <w:top w:w="65" w:type="dxa"/>
              <w:bottom w:w="65" w:type="dxa"/>
              <w:left w:w="65" w:type="dxa"/>
              <w:right w:w="65" w:type="dxa"/>
            </w:tcMar>
          </w:tcPr>
          <w:p>
            <w:pPr>
              <w:keepNext w:val="0"/>
              <w:spacing w:after="20" w:before="20" w:line="245" w:lineRule="auto"/>
            </w:pPr>
            <w:r>
              <w:rPr>
                <w:b w:val="0"/>
                <w:sz w:val="18"/>
              </w:rPr>
              <w:t>S7</w:t>
            </w:r>
          </w:p>
        </w:tc>
        <w:tc>
          <w:tcPr>
            <w:tcW w:type="dxa" w:w="4622"/>
            <w:vAlign w:val="center"/>
            <w:shd w:fill="FFFFFF"/>
            <w:tcMar>
              <w:top w:w="65" w:type="dxa"/>
              <w:bottom w:w="65" w:type="dxa"/>
              <w:left w:w="65" w:type="dxa"/>
              <w:right w:w="65" w:type="dxa"/>
            </w:tcMar>
          </w:tcPr>
          <w:p>
            <w:pPr>
              <w:keepNext w:val="0"/>
              <w:spacing w:after="20" w:before="20" w:line="245" w:lineRule="auto"/>
            </w:pPr>
            <w:r>
              <w:rPr>
                <w:b w:val="0"/>
                <w:sz w:val="18"/>
              </w:rPr>
              <w:t>DataFirst/Stats SA</w:t>
            </w:r>
          </w:p>
        </w:tc>
        <w:tc>
          <w:tcPr>
            <w:tcW w:type="dxa" w:w="2016"/>
            <w:vAlign w:val="center"/>
            <w:shd w:fill="FFFFFF"/>
            <w:tcMar>
              <w:top w:w="65" w:type="dxa"/>
              <w:bottom w:w="65" w:type="dxa"/>
              <w:left w:w="65" w:type="dxa"/>
              <w:right w:w="65" w:type="dxa"/>
            </w:tcMar>
          </w:tcPr>
          <w:p>
            <w:pPr>
              <w:keepNext w:val="0"/>
              <w:spacing w:after="20" w:before="20" w:line="245" w:lineRule="auto"/>
            </w:pPr>
            <w:r>
              <w:rPr>
                <w:b w:val="0"/>
                <w:sz w:val="18"/>
              </w:rPr>
              <w:t>1</w:t>
            </w:r>
          </w:p>
        </w:tc>
        <w:tc>
          <w:tcPr>
            <w:tcW w:type="dxa" w:w="2016"/>
            <w:vAlign w:val="center"/>
            <w:shd w:fill="FFFFFF"/>
            <w:tcMar>
              <w:top w:w="65" w:type="dxa"/>
              <w:bottom w:w="65" w:type="dxa"/>
              <w:left w:w="65" w:type="dxa"/>
              <w:right w:w="65" w:type="dxa"/>
            </w:tcMar>
          </w:tcPr>
          <w:p>
            <w:pPr>
              <w:keepNext w:val="0"/>
              <w:spacing w:after="20" w:before="20" w:line="245" w:lineRule="auto"/>
            </w:pPr>
            <w:r>
              <w:rPr>
                <w:b w:val="0"/>
                <w:sz w:val="18"/>
              </w:rPr>
              <w:t>0</w:t>
            </w:r>
          </w:p>
        </w:tc>
      </w:tr>
    </w:tbl>
    <w:p>
      <w:pPr>
        <w:spacing w:after="0"/>
      </w:pPr>
    </w:p>
    <w:p>
      <w:r>
        <w:rPr>
          <w:b w:val="0"/>
        </w:rPr>
        <w:t xml:space="preserve">The recorded hits sum to </w:t>
      </w:r>
      <w:r>
        <w:rPr>
          <w:b/>
        </w:rPr>
        <w:t>511</w:t>
      </w:r>
      <w:r>
        <w:rPr>
          <w:b w:val="0"/>
        </w:rPr>
        <w:t xml:space="preserve"> and the retained-source counts sum to </w:t>
      </w:r>
      <w:r>
        <w:rPr>
          <w:b/>
        </w:rPr>
        <w:t>55</w:t>
      </w:r>
      <w:r>
        <w:rPr>
          <w:b w:val="0"/>
        </w:rPr>
        <w:t>. These arithmetic totals were checked. The searches were not rerun and the underlying workbook was not inspected. Exact strings are available in the linked record; they should not be described as wholly unavailable.</w:t>
      </w:r>
    </w:p>
    <w:p>
      <w:pPr>
        <w:spacing w:after="100"/>
      </w:pPr>
      <w:hyperlink r:id="rId12">
        <w:r>
          <w:rPr>
            <w:color w:val="245D88"/>
            <w:u w:val="single"/>
            <w:sz w:val="19"/>
          </w:rPr>
          <w:t>Recorded search strings, platforms, date and counts</w:t>
        </w:r>
      </w:hyperlink>
    </w:p>
    <w:p>
      <w:pPr>
        <w:pStyle w:val="Heading3"/>
      </w:pPr>
      <w:r>
        <w:rPr>
          <w:b w:val="0"/>
        </w:rPr>
        <w:t>Actions needed to finish missing item 1</w:t>
      </w:r>
    </w:p>
    <w:p>
      <w:pPr>
        <w:ind w:left="288" w:hanging="288"/>
      </w:pPr>
      <w:r>
        <w:rPr>
          <w:b w:val="0"/>
        </w:rPr>
        <w:t xml:space="preserve">1. </w:t>
      </w:r>
      <w:r>
        <w:rPr>
          <w:b/>
        </w:rPr>
        <w:t>Package the existing S1–S4 supplement</w:t>
      </w:r>
      <w:r>
        <w:rPr>
          <w:b w:val="0"/>
        </w:rPr>
        <w:t xml:space="preserve"> with the paper and retain its links to the appropriate aggregate output files. A reference to a supplement is not a substitute for supplying it to reviewers.</w:t>
      </w:r>
    </w:p>
    <w:p>
      <w:pPr>
        <w:ind w:left="288" w:hanging="288"/>
      </w:pPr>
      <w:r>
        <w:rPr>
          <w:b w:val="0"/>
        </w:rPr>
        <w:t xml:space="preserve">2. </w:t>
      </w:r>
      <w:r>
        <w:rPr>
          <w:b/>
        </w:rPr>
        <w:t>Resolve the S2 preprocessing qualification.</w:t>
      </w:r>
      <w:r>
        <w:rPr>
          <w:b w:val="0"/>
        </w:rPr>
        <w:t xml:space="preserve"> Use inner-training-only imputation in the reusable tuning pipeline. If the procedure is rerun, retain its updated metrics, penalties and convergence records and reconcile the paper and S2.</w:t>
      </w:r>
    </w:p>
    <w:p>
      <w:pPr>
        <w:ind w:left="288" w:hanging="288"/>
      </w:pPr>
      <w:r>
        <w:rPr>
          <w:b w:val="0"/>
        </w:rPr>
        <w:t xml:space="preserve">3. </w:t>
      </w:r>
      <w:r>
        <w:rPr>
          <w:b/>
        </w:rPr>
        <w:t>Retain the S3 trace.</w:t>
      </w:r>
      <w:r>
        <w:rPr>
          <w:b w:val="0"/>
        </w:rPr>
        <w:t xml:space="preserve"> Keep the 20 per-repetition metric rows and 100 fit/coefficient records. Any fresh predictive-performance reproduction should preserve controlled per-repetition predictions and the code/environment record.</w:t>
      </w:r>
    </w:p>
    <w:p>
      <w:pPr>
        <w:ind w:left="288" w:hanging="288"/>
      </w:pPr>
      <w:r>
        <w:rPr>
          <w:b w:val="0"/>
        </w:rPr>
        <w:t xml:space="preserve">4. </w:t>
      </w:r>
      <w:r>
        <w:rPr>
          <w:b/>
        </w:rPr>
        <w:t>Recover the original S5 workbook and exports.</w:t>
      </w:r>
      <w:r>
        <w:rPr>
          <w:b w:val="0"/>
        </w:rPr>
        <w:t xml:space="preserve"> Record versions/checksums, exact query syntax, platform, date, filters, recorded hits and exported row counts. Distinguish calculated count differences from observed duplicate records when reconciling 511 hits with 375 unique records.</w:t>
      </w:r>
    </w:p>
    <w:p>
      <w:pPr>
        <w:ind w:left="288" w:hanging="288"/>
      </w:pPr>
      <w:r>
        <w:rPr>
          <w:b w:val="0"/>
        </w:rPr>
        <w:t xml:space="preserve">5. </w:t>
      </w:r>
      <w:r>
        <w:rPr>
          <w:b/>
        </w:rPr>
        <w:t>Check item-level selection and extraction.</w:t>
      </w:r>
      <w:r>
        <w:rPr>
          <w:b w:val="0"/>
        </w:rPr>
        <w:t xml:space="preserve"> Trace the 375 records through screening, 153 full texts and 55 retained sources. Preserve genuinely missing reasons as missing. Verify the PDF’s statements about two uncoded title/abstract exclusions, 98 coded full-text exclusions and one extraction-example row against the actual files; do not invent missing reasons or 55 completed extraction rows.</w:t>
      </w:r>
    </w:p>
    <w:p>
      <w:pPr>
        <w:ind w:left="288" w:hanging="288"/>
      </w:pPr>
      <w:r>
        <w:rPr>
          <w:b w:val="0"/>
        </w:rPr>
        <w:t xml:space="preserve">6. </w:t>
      </w:r>
      <w:r>
        <w:rPr>
          <w:b/>
        </w:rPr>
        <w:t>Cross-reference the completed S5 and supporting files.</w:t>
      </w:r>
      <w:r>
        <w:rPr>
          <w:b w:val="0"/>
        </w:rPr>
        <w:t xml:space="preserve"> Until those records are available, describe the position as: “Recorded search details are available; the underlying screening audit has not been independently verified.”</w:t>
      </w:r>
    </w:p>
    <w:p>
      <w:r>
        <w:rPr>
          <w:b w:val="0"/>
        </w:rPr>
      </w:r>
      <w:r>
        <w:rPr>
          <w:b/>
        </w:rPr>
        <w:t>Completion boundary:</w:t>
      </w:r>
      <w:r>
        <w:rPr>
          <w:b w:val="0"/>
        </w:rPr>
        <w:t xml:space="preserve"> this addendum records the checks performed and the remaining evidence needs. It adds only missing item 1; it does not claim that every supervisor correction or the complete publication review is closed.</w:t>
      </w:r>
    </w:p>
    <w:sectPr w:rsidR="00FC693F" w:rsidRPr="0006063C" w:rsidSect="00034616">
      <w:headerReference w:type="default" r:id="rId9"/>
      <w:footerReference w:type="default" r:id="rId10"/>
      <w:pgSz w:w="11905" w:h="16838"/>
      <w:pgMar w:top="979" w:right="1008" w:bottom="979"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383"/>
        <w:sz w:val="16"/>
      </w:rPr>
      <w:t xml:space="preserve">Proposed changes • Author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607383"/>
        <w:sz w:val="16"/>
      </w:rPr>
      <w:t>OPG RESEARCH  /  SUPERVISOR FEEDBACK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Arial" w:hAnsi="Arial"/>
      <w:color w:val="202C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53A5B"/>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315D79"/>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315D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7"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7"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luhle1/Research-Project/blob/cdcc53be5d3149dc9447a65476e92ca9127ac32e/paper/supplement_screening.md" TargetMode="External"/><Relationship Id="rId12" Type="http://schemas.openxmlformats.org/officeDocument/2006/relationships/hyperlink" Target="https://github.com/Oluhle1/Research-Project/blob/e0b29b9bebb2a573245dc70bf72048da9a7f9b96/paper/manuscrip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OPG Study: Proposed Solutions to Supervisor Feedback</dc:title>
  <dc:subject>Seven original feedback solutions plus missing-item-1 supplementary-evidence audit</dc:subject>
  <dc:creator>Oluhle Jawe</dc:creator>
  <cp:keywords>APRE402; OPG; supervisor feedback; proposed solutions; review copy</cp:keywords>
  <dc:description>Original proposals preserved; addendum records source-code and saved-output checks, not new model refitting.</dc:description>
  <cp:lastModifiedBy/>
  <cp:revision>1</cp:revision>
  <dcterms:created xsi:type="dcterms:W3CDTF">2013-12-23T23:15:00Z</dcterms:created>
  <dcterms:modified xsi:type="dcterms:W3CDTF">2013-12-23T23:15:00Z</dcterms:modified>
  <cp:category/>
</cp:coreProperties>
</file>