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80" w:before="0" w:line="230"/>
        <w:jc w:val="both"/>
      </w:pPr>
      <w:r>
        <w:rPr>
          <w:rFonts w:ascii="Times New Roman" w:cs="Times New Roman" w:eastAsia="Times New Roman" w:hAnsi="Times New Roman"/>
          <w:sz w:val="20"/>
          <w:szCs w:val="20"/>
        </w:rPr>
        <w:t xml:space="preserve">Annual research ceilings were R61,800/R123,600 (single/couple), October 2014–March 2015, and R64,680/R129,360, April–October 2015. Recorded monthly maxima R1,350/R1,410 [24], [25], assumed D = 1.6A − 0.4B and annual minimum D = R1,200 yielded them; A denotes annual maximum, B annual private-income proxy. Half-joint income doubled couple limits; equality passed. S1 tested period, boundary and age-75 alternatives. The 2008 Annexure A(2), (5) prescribed 1.3A − 0.5B and R100 monthly minimum [26]; later texts prescribed 1.4A − 0.4B from 1 April 2011 [27] and 1.6A − 0.4B from 31 May 2022 [28]. The survey-period formula and original rate notices remain unauthenticated; estimates are conditional.</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[26]. Survey responses did not establish legal status.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Historical applicability of the formula remains unresolved.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[26] Dept. of Social Development, “Social Assistance Act: Regulations,” Government Notice R898, Government Gazette 31356, Aug. 22, 2008.</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Amendment of regulations,” Government Notice R286, Government Gazette 34169, Mar. 31, 2011.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[28] Dept. of Social Development, “Social Assistance Act: Regulations,” Government Notice R2119, Government Gazette 46459, May 31, 2022.</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2026-10-15T00:22:33.619Z</dcterms:created>
  <dcterms:modified xsi:type="dcterms:W3CDTF">2026-10-15T00:22:33.620Z</dcterms:modified>
</cp:coreProperties>
</file>

<file path=docProps/custom.xml><?xml version="1.0" encoding="utf-8"?>
<Properties xmlns="http://schemas.openxmlformats.org/officeDocument/2006/custom-properties" xmlns:vt="http://schemas.openxmlformats.org/officeDocument/2006/docPropsVTypes"/>
</file>