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80" w:before="0" w:line="230"/>
        <w:jc w:val="both"/>
      </w:pPr>
      <w:r>
        <w:rPr>
          <w:rFonts w:ascii="Times New Roman" w:cs="Times New Roman" w:eastAsia="Times New Roman" w:hAnsi="Times New Roman"/>
          <w:sz w:val="20"/>
          <w:szCs w:val="20"/>
        </w:rPr>
        <w:t xml:space="preserve">Interview months selected annual ceilings: R61,800 single/R123,600 couple for October 2014–March 2015; R64,680/R129,360 for April–October 2015. The calculation used recorded monthly maxima of R1,350/R1,410 [24], [25] and assumed an annual grant D = 1.6A − 0.4B, where A is the annual maximum and B annual private income. Setting D to R1,200 gave the single ceilings; treating B as half the joint income doubled the couple ceilings. Equality passed. S1 tested alternative periods, the zero-payment boundary and the age-75 supplement. Arithmetic and implementation were checked; the official notices, operative formula, minimum-payment rule and legal spouse definition remain unverified.</w:t>
      </w:r>
    </w:p>
    <w:p>
      <w:pPr>
        <w:spacing w:after="80" w:before="0" w:line="230"/>
        <w:jc w:val="both"/>
      </w:pPr>
      <w:r>
        <w:rPr>
          <w:rFonts w:ascii="Times New Roman" w:cs="Times New Roman" w:eastAsia="Times New Roman" w:hAnsi="Times New Roman"/>
          <w:sz w:val="20"/>
          <w:szCs w:val="20"/>
        </w:rPr>
        <w:t xml:space="preserve">Marital responses selected research assumptions, rather than establishing legal spouse status. Never-married, widowed and divorced adults used the single ceiling. Married respondents required a reported resident spouse, a pointer to a different household member and that person's return pointer. Both private-income amounts had to be resolved; their sum was compared with the couple ceiling regardless of the spouse's age. Living-together, separated or unspecified status remained unresolved, as did nonresident, missing, unmatched, self or nonreciprocal spouse links. These cases were not assigned single status or zero partner income. S2 tested alternative partnership assumptions.</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The split kept households together and balanced the folds by whether any member reported non-receipt. Seed 201415 fixes this division. After interpreting skipped questions, the software filled missing predictors using training-group statistics only. It never filled missing eligibility or outcome information. Each adult received one out-of-fold (OOF) probability from a model trained without that adult's household.</w:t>
      </w:r>
    </w:p>
    <w:p>
      <w:pPr>
        <w:spacing w:after="80" w:before="0" w:line="230"/>
        <w:jc w:val="both"/>
      </w:pPr>
      <w:r>
        <w:rPr>
          <w:rFonts w:ascii="Times New Roman" w:cs="Times New Roman" w:eastAsia="Times New Roman" w:hAnsi="Times New Roman"/>
          <w:sz w:val="20"/>
          <w:szCs w:val="20"/>
        </w:rPr>
        <w:t xml:space="preserve">Evaluation measured average precision, AUC, Brier score, calibration slope and calibration-in-the-large. Ideal values are 1 for calibration slope and zero for calibration-in-the-large, which estimates an intercept correction with the slope fixed at 1. The intercept-only reference model uses the training group's non-receipt rate. Bootstrap intervals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fully establish legal eligibility: its resource measure omits assets, deemed income (income the law assigns rather than the survey observes) and deductions. Income and receipt reports may contain errors. Cross-sectional data cannot establish the order of events. Few events, unresolved eligibility, missing strata and resampling fixed predictions without refitting limit inference. Household sampling excludes institutionalised older adults. Participant usability and performance in another population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2026-10-14T09:57:23.739Z</dcterms:created>
  <dcterms:modified xsi:type="dcterms:W3CDTF">2026-10-14T09:57:23.739Z</dcterms:modified>
</cp:coreProperties>
</file>

<file path=docProps/custom.xml><?xml version="1.0" encoding="utf-8"?>
<Properties xmlns="http://schemas.openxmlformats.org/officeDocument/2006/custom-properties" xmlns:vt="http://schemas.openxmlformats.org/officeDocument/2006/docPropsVTypes"/>
</file>