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the research screen does not establish a South African Social Security Agency decision [5]. Missing spouse resources and unresolved answers can change the screened denominator and its non-receipt proportion.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tool using LCS 2014/2015 in KwaZulu-Natal. It documents cohort construction, describes person-weighted non-receipt, validates predictions in held-out households and assesses correctness, reproducibility and clarity.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screened adults and how alternative rules change it. RQ2 assesses prediction in held-out households. RQ3 assesses whether the tool reproduces the analysis and clearly presents screening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structured narrative review examined grant access, eligibility measurement and prediction using Scopus, Dimensions, IEEE Xplore, SABINET/African Journals Online, Google Scholar and Statistics South Africa/DataFirst. Search concepts included social assistance, eligibility, take-up, non-receipt, exclusion and prediction. Selection considered relevance to the research question, population, outcome and methodological contribution.</w:t>
      </w:r>
    </w:p>
    <w:p>
      <w:pPr>
        <w:spacing w:after="0" w:before="0" w:line="240" w:lineRule="auto"/>
        <w:ind w:firstLine="200"/>
        <w:jc w:val="both"/>
      </w:pPr>
      <w:r>
        <w:rPr>
          <w:rFonts w:ascii="Times New Roman" w:cs="Times New Roman" w:eastAsia="Times New Roman" w:hAnsi="Times New Roman"/>
          <w:sz w:val="20"/>
          <w:szCs w:val="20"/>
        </w:rPr>
        <w:t xml:space="preserve">The searches identified 511 records. Removing 136 duplicates left 375 records for title and abstract screening; 222 were excluded. Full-text assessment of the remaining 153 records excluded 98 and retained 55 sources across grants and populations. Supplementary Table S5 provides the eight recorded search strings, search date and source-specific counts. The synthesis compared programme, setting, unit of analysis, outcome definition, findings and limitations; these differences prevented a pooled estimate.</w:t>
      </w: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0" w:before="0" w:line="240" w:lineRule="auto"/>
        <w:ind w:firstLine="200"/>
        <w:jc w:val="both"/>
      </w:pPr>
      <w:r>
        <w:rPr>
          <w:rFonts w:ascii="Times New Roman" w:cs="Times New Roman" w:eastAsia="Times New Roman" w:hAnsi="Times New Roman"/>
          <w:sz w:val="20"/>
          <w:szCs w:val="20"/>
        </w:rPr>
        <w:t xml:space="preserve">Existing studies leave unclear how resource, partnership and grant-compatibility assumptions shape provincial person-level non-receipt estimates. Ralston studies rural age-eligible people [3]; Godfrey measures household receipt proportions [4]. This study connects explicit screening, sensitivity analysis, person-weighted description and household-held-out prediction through shared rules and inspectable software. It contributes a reproducible measurement workflow without establishing statutory entitlement, causal barriers, participant usability or performance elsewhere.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Studies describe paperwork, repeated visits, interrupted payments and difficult encounters [8], [9], [10], [14]. Other-grant [6], [7] and digital-access findings [15] suggest possible barriers, without establishing effects among older OPG applicants. High receipt can coexist with burden.</w:t>
      </w:r>
    </w:p>
    <w:p>
      <w:pPr>
        <w:spacing w:after="0" w:before="0" w:line="240" w:lineRule="auto"/>
        <w:ind w:firstLine="200"/>
        <w:jc w:val="both"/>
      </w:pPr>
      <w:r>
        <w:rPr>
          <w:rFonts w:ascii="Times New Roman" w:cs="Times New Roman" w:eastAsia="Times New Roman" w:hAnsi="Times New Roman"/>
          <w:sz w:val="20"/>
          <w:szCs w:val="20"/>
        </w:rPr>
        <w:t xml:space="preserve">The screen assigns PASS for satisfied observable conditions, FAIL for a known failed rule and UNRESOLVED for insufficient information. Receipt is assessed separately. Only PASS adults with resolved receipt enter description and prediction; contradictory answers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discrimination and calibration [16], [17]. Sample size and household dependence limit validation [18], [19]. TRIPOD informed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0" w:before="0" w:line="240" w:lineRule="auto"/>
        <w:ind w:firstLine="200"/>
        <w:jc w:val="both"/>
      </w:pPr>
      <w:r>
        <w:rPr>
          <w:rFonts w:ascii="Times New Roman" w:cs="Times New Roman" w:eastAsia="Times New Roman" w:hAnsi="Times New Roman"/>
          <w:sz w:val="20"/>
          <w:szCs w:val="20"/>
        </w:rPr>
        <w:t xml:space="preserve">Figure 1 links theory to LCS proxies: schooling reflects possible information resources; office distance and settlement reflect potential compliance effort. Age and sex provide demographic context. These proxies do not directly measure burden. Screening defines the denominator because age alone is insufficient and LCS omits legal conditions. Resources, partnership and grant compatibility define the population; reported receipt defines the outcome.</w:t>
      </w:r>
    </w:p>
    <w:p>
      <w:pPr>
        <w:spacing w:after="0" w:before="0" w:line="240" w:lineRule="auto"/>
        <w:ind w:firstLine="200"/>
        <w:jc w:val="both"/>
      </w:pPr>
      <w:r>
        <w:rPr>
          <w:rFonts w:ascii="Times New Roman" w:cs="Times New Roman" w:eastAsia="Times New Roman" w:hAnsi="Times New Roman"/>
          <w:sz w:val="20"/>
          <w:szCs w:val="20"/>
        </w:rPr>
        <w:t xml:space="preserve">Person weights describe non-receipt; household-held-out validation assesses prediction. Neither establishes causes. The artefact implements shared screening rules, separate receipt classifications, frozen-model scoring and inspectable reports. Application scores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person, household and person-income files through survey identifiers, checking duplicates, unmatched records and row counts. Questionnaire, metadata and COICOP (Classification of Individual Consumption According to Purpose) codes guided interpretation [21], [22], [23]. The study included sampled KZN residents aged 60+; the household survey excludes institutional residents. Screening used interview-month rules. Stats SA had hot-deck-imputed age and sex before release without record-level flags; model preprocessing addressed missing predictors separately.</w:t>
      </w:r>
    </w:p>
    <w:p>
      <w:pPr>
        <w:spacing w:after="0" w:before="0" w:line="240" w:lineRule="auto"/>
        <w:ind w:firstLine="20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Government Notice R211, a separate amendment in the same gazette, substituted D = 1.6A − 0.4B from 1 April 2014 in Schedule paragraph 2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0" w:before="0" w:line="240" w:lineRule="auto"/>
        <w:ind w:firstLine="20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0" w:before="0" w:line="240" w:lineRule="auto"/>
        <w:ind w:firstLine="20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used count and person-weighted proportions: p = Σ(wᵢYᵢ)/Σwᵢ, where wᵢ is the person weight and Yᵢ is 1 for non-receipt and 0 for receipt. Group comparisons are descriptive.</w:t>
      </w:r>
    </w:p>
    <w:p>
      <w:pPr>
        <w:spacing w:after="0" w:before="0" w:line="240" w:lineRule="auto"/>
        <w:ind w:firstLine="200"/>
        <w:jc w:val="both"/>
      </w:pPr>
      <w:r>
        <w:rPr>
          <w:rFonts w:ascii="Times New Roman" w:cs="Times New Roman" w:eastAsia="Times New Roman" w:hAnsi="Times New Roman"/>
          <w:sz w:val="20"/>
          <w:szCs w:val="20"/>
        </w:rPr>
        <w:t xml:space="preserve">Released files lack strata. Derived primary sampling units (PSUs), allowing repeated sampling of a group, supported approximate sampling uncertainty but cannot reproduce the full survey design. Eligibility-unresolved adults remain outside the proportion. Receipt bounds assign every unresolved PASS receipt answer to receipt or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0" w:before="0" w:line="240" w:lineRule="auto"/>
        <w:ind w:firstLine="200"/>
        <w:jc w:val="both"/>
      </w:pPr>
      <w:r>
        <w:rPr>
          <w:rFonts w:ascii="Times New Roman" w:cs="Times New Roman" w:eastAsia="Times New Roman" w:hAnsi="Times New Roman"/>
          <w:sz w:val="20"/>
          <w:szCs w:val="20"/>
        </w:rPr>
        <w:t xml:space="preserve">Rural formal settlement had 31 adults and one non-recipient. One seven-slope training fold contained 30 rural-formal adults and no event; its coefficient was about −21.88 and did not converge. Four of five folds converged. Decision D-052 combined rural formal with traditional settlement after examining this outcome pattern, without repeating that choice inside each training fold. The primary ordinary merged model is therefore retained as an exploratory reference. Its coefficients and performance are conditional on D-052; household-held-out testing does not validate the complete model-selection process and may be optimistic. Supplementary Table S2 retains the failed attempt as a diagnostic. Ridge regression compared both codings on the same household folds. Five inner household folds selected C by mean Brier score with training-only imputation and scaling; all ten outer fits chose C = 0.1 and converged. AUC was 0.756 for merged and 0.750 for separate coding. This comparison cannot remove outcome-informed selection or establish equivalence or superiority of either coding. Income, receipt, derived labels and marital status do not enter the primary model.</w:t>
      </w:r>
    </w:p>
    <w:p>
      <w:pPr>
        <w:spacing w:after="0" w:before="0" w:line="240" w:lineRule="auto"/>
        <w:ind w:firstLine="20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w:t>
      </w:r>
    </w:p>
    <w:p>
      <w:pPr>
        <w:spacing w:after="0" w:before="0" w:line="240" w:lineRule="auto"/>
        <w:ind w:firstLine="20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0" w:before="0" w:line="240" w:lineRule="auto"/>
        <w:ind w:firstLine="20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reported 95% bootstrap intervals are the 2.5 and 97.5 percentiles from 1,000 with-replacement household samples of fixed predictions, using seed 201415. Every selected household's adults were retained, and all samples contained both outcome classes. These intervals condition on the original split, preprocessing, fits and Decision D-052. They do not repeat model development or represent survey-design uncertainty. A separate sensitivity analysis used 20 household-grouped repetitions (seeds 201415–201434), relearning training-only imputation and refitting while keeping D-052 fixed. Each repetition pooled one held-out prediction per adult (Supplementary Table S3). Its medians, interquartile ranges and ranges describe variation across splits and refits, not 95% confidence intervals. The repetitions reuse participants and do not independently validate the coding decision.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 changes thresholds, S2 partnership, S3 grant compatibility, S4 income, S5 receipt period and S6 unresolved-receipt bounds. S7 uses complete cases; S8 replaces office access with marriage. S9 fits frequency-weighted models with unweighted preprocessing/evaluation, not full survey-design regression. S10 weights primary OOF measures without refitting; S11 groups folds by derived PSU. These checks remain separate from the primary analysis. Supplementary Tables S1–S5 provide rules, ridge comparisons, repeated refits, descriptive summaries and search records.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folds, seed and checksums. The full-cohort model, opg-kzn-six-slope-v1, stores coefficients and imputation settings in JSON. Uploads do not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covers context, validation, screening/receipt, prediction and exports. It accepts opg-screen-v1 CSVs with required household members for spouse checks. Validation checks schema, study context, duplicates, categories and numeric values; limits are 20 MiB/50,000 rows. Uploads remain in session memory. Displays and exports use generated labels and omit submitted identifiers, raw income and household links. Filters do not change summary denominators.</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The app shares screening rules and frozen-model settings. Supported PASS adults with resolved receipt are scored using training-data imputation; records missing every categorical predictor remain unscored. Integrity checks bind model/evaluation files to code. Uploaded scores remain separate from OOF results. Reports include classifications, reasons, probabilities, versions and an audit manifest. The downloadable package excludes microdata.</w:t>
      </w:r>
    </w:p>
    <w:p>
      <w:pPr>
        <w:spacing w:after="0" w:before="0" w:line="240" w:lineRule="auto"/>
        <w:ind w:firstLine="200"/>
        <w:jc w:val="both"/>
      </w:pPr>
      <w:r>
        <w:rPr>
          <w:rFonts w:ascii="Times New Roman" w:cs="Times New Roman" w:eastAsia="Times New Roman" w:hAnsi="Times New Roman"/>
          <w:sz w:val="20"/>
          <w:szCs w:val="20"/>
        </w:rPr>
        <w:t xml:space="preserve">Checks covered expected screening decisions, excluded predictors, linkage, repeatability, reports, saved scores and CLI–UI agreement, including invalid inputs and outdated results. The owner demonstrated Windows functionality. A task sheet supports future testing with three to five consenting participants; no participant study occurred.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adults, 67 reported non-receipt: 6.61% unweighted and 7.49% person-weighted. Using 345 derived PSUs gave a standard error of 1.3 percentage points and an approximate normal 95% interval of 4.9%–10.0%; missing strata limit it. All PASS answers agreed with preceding-year OPG income. Table V describes receipt-group composition before imputation, not non-receipt rates or predictions.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N = 946</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N = 67</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unw.; 69.8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unw.; 68.4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unw.; 70.4%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unw.; 53.4%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unw.; 33.0%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unw.; 80.8%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 (0.3%) unw.; 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 (0.0%) unw.; 0.0%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unw.; 36.2%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unw.; 66.2%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unw.; 72.0%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unw.; 40.3%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14 (1.5%) unw.; 1.8%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 (6.0%) unw.; 7.2% wtd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 is the unweighted count and percentage, or the unweighted mean age. wtd is the person-weighted percentage or mean. Missing predictors remain in the denominators. Supplementary Table S4 prints the unweighted and weighted values in separate columns. These summaries have no uncertainty intervals.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identifies each screening scenario separately. Changed cohorts were refitted; unchanged cohorts reused the primary predictions. Supplementary Table S1 defines every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Screening scenarios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S5</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non-recipients; performance is unweighted. S1 changes thresholds; S2 partnership; S3 incompatible grants; S4 income; S5 receipt period; S6 unresolved receipt. Supplementary Table S1 defines each rule. S1b and S1d admitted the same two adults under different rules. S1a, S1c, S4a, S4c, S5, S6a and S6b retained the S0 cohort and reused its predictions. Matching results do not imply equivalent rules or independent fits. No PASS receipt was unresolved, so S6a/S6b changed no records.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Held-out prediction</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are exploratory full-sample associations, not held-out performance or causal effects. Only 67 events supported six slopes; sparse data can destabilise coefficients and Wald intervals. The intervals also omit uncertainty from choosing the settlement coding. Across 100 overlapping training fits, the female and below-Grade-7 coefficients stayed negative, while the urban-informal coefficient changed sign. Sign consistency across these fits is not independent confirmation. Age, settlement and welfare-distance intervals included 1, indicating limited precision rather than evidence of no association. The 20 repeated splits gave 100 converged fits. AUC ranged from 0.733 to 0.773 (median 0.753) and the calibration slope from 0.738 to 0.943 (median 0.837). Supplementary Table S3 gives the median, interquartile range and range for each performance measure, and coefficient ranges. These describe sensitivity under the fixed coding, not confidence intervals.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The 26 checks comprised 22 synthetic screening cases, two income-schedule checks, one forbidden-predictor check and one run trace. Decisions matched specifications. Two research runs produced 14 byte-identical files and retained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describes historical KZN adults who pass screening and resolve receipt: 67/1,013, or 6.61% unweighted and 7.49% weighted. It does not measure unlawful denial or all legally entitled adults. The 187 eligibility-unresolved adults outnumbered events; excluding them changes the population, independently of sampling uncertainty.</w:t>
      </w:r>
    </w:p>
    <w:p>
      <w:pPr>
        <w:spacing w:after="0" w:before="0" w:line="240" w:lineRule="auto"/>
        <w:ind w:firstLine="200"/>
        <w:jc w:val="both"/>
      </w:pPr>
      <w:r>
        <w:rPr>
          <w:rFonts w:ascii="Times New Roman" w:cs="Times New Roman" w:eastAsia="Times New Roman" w:hAnsi="Times New Roman"/>
          <w:sz w:val="20"/>
          <w:szCs w:val="20"/>
        </w:rPr>
        <w:t xml:space="preserve">S2d added 68 people/two events, reducing weighted non-receipt to 7.12%. S3 added 19 people/15 events, raising it to 9.06%, the largest change. Similar AUC cannot justify screening rules. Different units and populations [3], [4] prevent direct comparisons. The provincial resource screen here is explicit; high receipt can coexist with access costs [13], [14].</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measures ranking, not classification accuracy. AP 0.203 summarises precision–recall ranking against 6.61% prevalence, not precision at one cutoff [16]. Brier improved by 0.0040, from 0.0618 to 0.0578: a modest probability-error reduction. Calibration-in-the-large 0.020, with an interval spanning zero, does not establish perfect agreement. Slope 0.836 suggests predictions may be too extreme, but its 0.591–1.133 interval includes 1 [17]. Only 67 events informed these checks [18]; most adults in the highest-score bin reported receipt.</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samples, predictors, fitting or evaluation. Complete-case Brier concerns different adults; S10 reweights unchanged predictions. These internal checks cannot establish model superiority or external reliability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Reproducibility and usability</w:t>
      </w:r>
    </w:p>
    <w:p>
      <w:pPr>
        <w:spacing w:after="0" w:before="0" w:line="240" w:lineRule="auto"/>
        <w:ind w:firstLine="20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0" w:before="0" w:line="240" w:lineRule="auto"/>
        <w:ind w:firstLine="20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Provinces and periods differ in services, policy and reporting. Administrative application/payment records differ from reported receipt and may contain linkage errors. Independent transfer testing requires comparable populations/outcomes, period-specific rules and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sensitivity results support explicit denominator construction; sex differences support demographic comparison, not burden mechanisms [3], [4]. Lower schooling accompanied receipt, contrary to a simple learning-cost expectation [13]. Screening selection or other resources could explain this, but neither was tested. Settlement and office-distance intervals included 1, leaving compliance-cost expectations unresolved. Psychological costs were unmeasured. The artefact implements these bounded choices reproducibly; proxy associations establish neither the theory’s causal mechanisms nor statutory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resource proxy omits assets, deemed income and deductions. Misreporting, cross-sectional ordering, few events, unresolved screening, missing strata and fixed-prediction resampling limit inference. Household sampling excludes institutionalised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The study used existing anonymised Stats SA LCS 2014/2015 data obtained through DataFirst [21]. The supervisor advised that formal ethical clearance was not required because the study involved no direct participation by human subjects or primary data collection. Stats SA is acknowledged as the data producer; the analyses result from the author's own processing. Applicable data-use and confidentiality conditions remain binding. Permission to redistribute survey files or all historical repository contents remains unconfirmed. Public demonstrations use synthetic records; downloadable packages exclude survey microdata, and reports omit submitted identifiers and raw income. The app does not decide grants or rank named applicants.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non-receipt was 6.6% unweighted and 7.5% person-weighted; alternatives gave 7.1%–9.1%. Five predictor groups/six slopes gave AUC 0.752, AP 0.203 and Brier 0.0578. Shared rules make screening, receipt and prediction inspectable. Future work should independently validate the frozen model before updating it and test intended users’ task success, errors, time and perceived ease. Legal entitlement, causal explanations, human usability and external predictive validity remain unestablished.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28, no. 1, pp. 75–85,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Art. no. 85, 2016,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33, no. 6, pp. 774–789,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22, no. 4, pp. 467–482,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Art. no. 25310, 2014,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w:t>
      </w:r>
      <w:r>
        <w:rPr>
          <w:rFonts w:ascii="Times New Roman" w:cs="Times New Roman" w:eastAsia="Times New Roman" w:hAnsi="Times New Roman"/>
          <w:sz w:val="16"/>
          <w:szCs w:val="16"/>
        </w:rPr>
        <w:t xml:space="preserve">, vol. 72, pp. 277–295,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 Serv. Res.</w:t>
      </w:r>
      <w:r>
        <w:rPr>
          <w:rFonts w:ascii="Times New Roman" w:cs="Times New Roman" w:eastAsia="Times New Roman" w:hAnsi="Times New Roman"/>
          <w:sz w:val="16"/>
          <w:szCs w:val="16"/>
        </w:rPr>
        <w:t xml:space="preserve">, vol. 51, nos. 5–6, pp. 1140–1150,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 Stud.</w:t>
      </w:r>
      <w:r>
        <w:rPr>
          <w:rFonts w:ascii="Times New Roman" w:cs="Times New Roman" w:eastAsia="Times New Roman" w:hAnsi="Times New Roman"/>
          <w:sz w:val="16"/>
          <w:szCs w:val="16"/>
        </w:rPr>
        <w:t xml:space="preserve">, vol. 56, no. 11, pp. 2113–2133,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 Res. Theory</w:t>
      </w:r>
      <w:r>
        <w:rPr>
          <w:rFonts w:ascii="Times New Roman" w:cs="Times New Roman" w:eastAsia="Times New Roman" w:hAnsi="Times New Roman"/>
          <w:sz w:val="16"/>
          <w:szCs w:val="16"/>
        </w:rPr>
        <w:t xml:space="preserve">, vol. 25, no. 1, pp. 43–69,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 Afr. J. Soc. Work Soc. Dev.</w:t>
      </w:r>
      <w:r>
        <w:rPr>
          <w:rFonts w:ascii="Times New Roman" w:cs="Times New Roman" w:eastAsia="Times New Roman" w:hAnsi="Times New Roman"/>
          <w:sz w:val="16"/>
          <w:szCs w:val="16"/>
        </w:rPr>
        <w:t xml:space="preserve">, vol. 34, no. 1, Art. no. 9052, 2022,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Art. no. e0118432, 2015,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Art. no. 230, 2019,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 Med.</w:t>
      </w:r>
      <w:r>
        <w:rPr>
          <w:rFonts w:ascii="Times New Roman" w:cs="Times New Roman" w:eastAsia="Times New Roman" w:hAnsi="Times New Roman"/>
          <w:sz w:val="16"/>
          <w:szCs w:val="16"/>
        </w:rPr>
        <w:t xml:space="preserve">, vol. 38, no. 7, pp. 1276–1296,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 Med.</w:t>
      </w:r>
      <w:r>
        <w:rPr>
          <w:rFonts w:ascii="Times New Roman" w:cs="Times New Roman" w:eastAsia="Times New Roman" w:hAnsi="Times New Roman"/>
          <w:sz w:val="16"/>
          <w:szCs w:val="16"/>
        </w:rPr>
        <w:t xml:space="preserve">, vol. 162, no. 1, pp. 55–63,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 DataFirst catalogue record: https://www.datafirst.uct.ac.za/dataportal/index.php/catalog/608.</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supporting documentation for the Living Conditions Survey 2014/2015, n.d.</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2014/15: Household Questionnaire, n.d.</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2026-10-22T07:50:03.924Z</dcterms:created>
  <dcterms:modified xsi:type="dcterms:W3CDTF">2026-10-22T07:50:03.925Z</dcterms:modified>
</cp:coreProperties>
</file>

<file path=docProps/custom.xml><?xml version="1.0" encoding="utf-8"?>
<Properties xmlns="http://schemas.openxmlformats.org/officeDocument/2006/custom-properties" xmlns:vt="http://schemas.openxmlformats.org/officeDocument/2006/docPropsVTypes"/>
</file>