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pacing w:after="80" w:before="80" w:line="220"/>
        <w:jc w:val="both"/>
        <w:rPr>
          <w:sz w:val="18"/>
          <w:szCs w:val="18"/>
        </w:rPr>
      </w:pPr>
      <w:r>
        <w:rPr>
          <w:rFonts w:ascii="Times New Roman" w:cs="Times New Roman" w:eastAsia="Times New Roman" w:hAnsi="Times New Roman"/>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w:t>
      </w:r>
    </w:p>
    <w:p>
      <w:pPr>
        <w:spacing w:after="8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w:t>
      </w:r>
    </w:p>
    <w:p>
      <w:pPr>
        <w:spacing w:after="80" w:before="0" w:line="230"/>
        <w:jc w:val="both"/>
      </w:pPr>
      <w:r>
        <w:rPr>
          <w:rFonts w:ascii="Times New Roman" w:cs="Times New Roman" w:eastAsia="Times New Roman" w:hAnsi="Times New Roman"/>
          <w:sz w:val="20"/>
          <w:szCs w:val="20"/>
        </w:rPr>
        <w:t xml:space="preserve">The analysis separates screening, reported receipt and legal entitlement. Passing the research screen does not mean approval by the South African Social Security Agency [5]. Non-receipt can reflect high income, no application, a pending decision or incomplete information. The analysis must define the screened group before calculating its non-receipt percentage; missing spouse income can change that group.</w:t>
      </w:r>
    </w:p>
    <w:p>
      <w:pPr>
        <w:spacing w:after="80" w:before="0" w:line="230"/>
        <w:jc w:val="both"/>
      </w:pPr>
      <w:r>
        <w:rPr>
          <w:rFonts w:ascii="Times New Roman" w:cs="Times New Roman" w:eastAsia="Times New Roman" w:hAnsi="Times New Roman"/>
          <w:sz w:val="20"/>
          <w:szCs w:val="20"/>
        </w:rPr>
        <w:t xml:space="preserve">The study aims to develop and evaluate an interpretable research tool for analysing reported OPG non-receipt among apparently eligible older adults in KwaZulu-Natal using the Living Conditions Survey (LCS) 2014/2015. Four objectives guide the work: document the included population, describe non-receipt using survey weights, test predictions on excluded households, and assess correctness, reproducibility and clarity.</w:t>
      </w:r>
    </w:p>
    <w:p>
      <w:pPr>
        <w:spacing w:after="8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The study combines documented rules, weighted percentages, tested predictions and a local interface to address them.</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Predictor Selection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w:t>
      </w:r>
    </w:p>
    <w:p>
      <w:pPr>
        <w:spacing w:after="80" w:before="0" w:line="230"/>
        <w:jc w:val="both"/>
      </w:pPr>
      <w:r>
        <w:rPr>
          <w:rFonts w:ascii="Times New Roman" w:cs="Times New Roman" w:eastAsia="Times New Roman" w:hAnsi="Times New Roman"/>
          <w:sz w:val="20"/>
          <w:szCs w:val="20"/>
        </w:rPr>
        <w:t xml:space="preserve">The literature review used thematic narrative synthesis to examine grant access, eligibility measurement and prediction. Searches covered Scopus, Dimensions, IEEE Xplore, SABINET/African Journals Online, Google Scholar and Statistics South Africa/DataFirst. Search concepts included social assistance, eligibility, take-up, non-receipt, exclusion and prediction. Sources were considered for relevance to the research question, population, outcome and methodological contribution. Studies were compared by programme, setting, unit of analysis, outcome, findings and limitations. Differences in these features prevent a pooled non-receipt estimate.</w:t>
      </w:r>
    </w:p>
    <w:p>
      <w:pPr>
        <w:spacing w:after="80" w:before="0" w:line="230"/>
        <w:jc w:val="both"/>
      </w:pPr>
      <w:r>
        <w:rPr>
          <w:rFonts w:ascii="Times New Roman" w:cs="Times New Roman" w:eastAsia="Times New Roman" w:hAnsi="Times New Roman"/>
          <w:sz w:val="20"/>
          <w:szCs w:val="20"/>
        </w:rPr>
        <w:t xml:space="preserve">The recorded search summary lists 511 records: 136 duplicates removed, 375 titles/abstracts screened, 222 excluded, 153 full texts assessed, 98 further exclusions and 55 retained sources. These sources cover several grants and populations, rather than 55 OPG studies. The available record documents the search concepts, broad selection criteria and aggregate counts. It does not preserve database-specific query strings, search dates and filters, original exports or record-level screening and exclusion decisions. The full 55-source extraction register is also unavailable. These omissions prevent independent reproduction of the search and verification of each selection decision. The synthesis therefore provides contextual evidence without establishing exhaustive literature coverage.</w:t>
      </w:r>
    </w:p>
    <w:p>
      <w:pPr>
        <w:spacing w:after="80" w:before="0" w:line="23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8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w:t>
      </w:r>
    </w:p>
    <w:p>
      <w:pPr>
        <w:spacing w:after="80" w:before="0" w:line="230"/>
        <w:jc w:val="both"/>
      </w:pPr>
      <w:r>
        <w:rPr>
          <w:rFonts w:ascii="Times New Roman" w:cs="Times New Roman" w:eastAsia="Times New Roman" w:hAnsi="Times New Roman"/>
          <w:sz w:val="20"/>
          <w:szCs w:val="20"/>
        </w:rPr>
        <w:t xml:space="preserve">The research gap concerns how these separate strands can support a reproducible, person-level analysis of OPG non-receipt in KwaZulu-Natal. Ralston's age-based rural receipt analysis [3] and Godfrey's household receipt proportions [4] do not directly provide non-receipt estimates after the resource screen used here. Evidence on other grants informs possible access barriers, but does not establish their effects among older OPG applicants. The study addresses this integration gap by documenting the screening denominator, testing how alternative rules change non-receipt estimates, and evaluating an interpretable model on excluded households. Shared rules connect the research command and application so that decisions, probabilities and reports remain inspectable. The specific contribution is a historical workflow that connects transparent screening, person-weighted description, household-held-out prediction and reproducible software. This supports scrutiny of assumptions and results without establishing legal entitlement, causal barriers, participant usability or performance elsewhere.</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w:t>
      </w:r>
    </w:p>
    <w:p>
      <w:pPr>
        <w:spacing w:after="80" w:before="0" w:line="23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w:t>
      </w:r>
    </w:p>
    <w:p>
      <w:pPr>
        <w:spacing w:after="80" w:before="0" w:line="230"/>
        <w:jc w:val="both"/>
      </w:pPr>
      <w:r>
        <w:rPr>
          <w:rFonts w:ascii="Times New Roman" w:cs="Times New Roman" w:eastAsia="Times New Roman" w:hAnsi="Times New Roman"/>
          <w:sz w:val="20"/>
          <w:szCs w:val="20"/>
        </w:rPr>
        <w:t xml:space="preserve">LCS does not record every legal condition or application experience. The screen checks age, resources, partnership and other-grant rules. It assigns PASS (the person meets the research conditions), FAIL (a known condition is not met) or UNRESOLVED (available information cannot resolve the decision). The analysis then checks receipt separately. Only adults who pass with clear receipt answers enter the prediction study. Unclear or contradictory answers remain unresolved.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Predictor Selection and Software Design</w:t>
      </w:r>
    </w:p>
    <w:p>
      <w:pPr>
        <w:spacing w:after="80" w:before="0" w:line="23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Administrative-burden theory and predictor selection</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w:t>
      </w:r>
    </w:p>
    <w:p>
      <w:pPr>
        <w:spacing w:after="80" w:before="0" w:line="230"/>
        <w:jc w:val="both"/>
      </w:pPr>
      <w:r>
        <w:rPr>
          <w:rFonts w:ascii="Times New Roman" w:cs="Times New Roman" w:eastAsia="Times New Roman" w:hAnsi="Times New Roman"/>
          <w:sz w:val="20"/>
          <w:szCs w:val="20"/>
        </w:rPr>
        <w:t xml:space="preserve">Few events motivate assessment of precision, calibration and ranking [16], [17]. Sample size and internal validation limit generalisation [18], [19]. Reporting follows TRIPOD (Transparent Reporting of a multivariable prediction model for Individual Prognosis Or Diagnosis) [20]. Software checks assess correctness and repeatability; usability requires participant evidence.</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Conceptual Framework</w:t>
      </w:r>
    </w:p>
    <w:p>
      <w:pPr>
        <w:spacing w:after="80" w:before="0" w:line="23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w:t>
      </w:r>
    </w:p>
    <w:p>
      <w:pPr>
        <w:spacing w:after="80" w:before="0" w:line="230"/>
        <w:jc w:val="both"/>
      </w:pPr>
      <w:r>
        <w:rPr>
          <w:rFonts w:ascii="Times New Roman" w:cs="Times New Roman" w:eastAsia="Times New Roman" w:hAnsi="Times New Roman"/>
          <w:sz w:val="20"/>
          <w:szCs w:val="20"/>
        </w:rPr>
        <w:t xml:space="preserve">Figure 1 separates theoretical constructs from LCS measurements. Schooling may reflect information resources; office distance and settlement relate to potential compliance effort. Age and sex provide demographic context. These proxies do not directly measure burden. Screening defines the denominator because age alone is insufficient and LCS cannot establish legal entitlement. Resource, partnership and other-grant rules define the population; incomplete information remains unresolved. Reported receipt defines a separate outcome.</w:t>
      </w:r>
    </w:p>
    <w:p>
      <w:pPr>
        <w:spacing w:after="80" w:before="0" w:line="230"/>
        <w:jc w:val="both"/>
      </w:pPr>
      <w:r>
        <w:rPr>
          <w:rFonts w:ascii="Times New Roman" w:cs="Times New Roman" w:eastAsia="Times New Roman" w:hAnsi="Times New Roman"/>
          <w:sz w:val="20"/>
          <w:szCs w:val="20"/>
        </w:rPr>
        <w:t xml:space="preserve">Person-weighted estimates describe non-receipt. Logistic regression describes associations; household-held-out validation tests predictions. Neither establishes causal mechanisms. The artefact implements the design through shared rules, separate receipt classifications, saved-model scoring and inspectable reports. Upload scores remain separate from held-out evaluation and never change screening or receipt.</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w:t>
      </w:r>
    </w:p>
    <w:p>
      <w:pPr>
        <w:spacing w:after="80" w:before="0" w:line="230"/>
        <w:jc w:val="both"/>
      </w:pPr>
      <w:r>
        <w:rPr>
          <w:rFonts w:ascii="Times New Roman" w:cs="Times New Roman" w:eastAsia="Times New Roman" w:hAnsi="Times New Roman"/>
          <w:sz w:val="20"/>
          <w:szCs w:val="20"/>
        </w:rPr>
        <w:t xml:space="preserve">The analysis linked the LCS 2014/2015 person, household and person-income files through survey identifiers. Checks covered duplicates, unmatched records and row counts. The questionnaire, metadata and COICOP (Classification of Individual Consumption According to Purpose) codes guided interpretation [21], [22], [23]. The study covered sampled KwaZulu-Natal residents aged 60 or older in completed years. The survey excludes older adults living in institutions. Screening used the rules for each interview month. Before releasing the data, Statistics South Africa used hot-deck imputation for age and sex. The released files do not identify these records. The model handled missing predictors separately.</w:t>
      </w:r>
    </w:p>
    <w:p>
      <w:pPr>
        <w:spacing w:after="80" w:before="0" w:line="230"/>
        <w:jc w:val="both"/>
      </w:pPr>
      <w:r>
        <w:rPr>
          <w:rFonts w:ascii="Times New Roman" w:cs="Times New Roman" w:eastAsia="Times New Roman" w:hAnsi="Times New Roman"/>
          <w:sz w:val="20"/>
          <w:szCs w:val="20"/>
        </w:rPr>
        <w:t xml:space="preserve">Table III shows each field's role. Summing income before linkage avoided duplicate person records.</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rules and receipt outcome</w:t>
      </w:r>
    </w:p>
    <w:p>
      <w:pPr>
        <w:spacing w:after="80" w:before="0" w:line="23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w:t>
      </w:r>
    </w:p>
    <w:p>
      <w:pPr>
        <w:spacing w:after="80" w:before="0" w:line="230"/>
        <w:jc w:val="both"/>
      </w:pPr>
      <w:r>
        <w:rPr>
          <w:rFonts w:ascii="Times New Roman" w:cs="Times New Roman" w:eastAsia="Times New Roman" w:hAnsi="Times New Roman"/>
          <w:sz w:val="20"/>
          <w:szCs w:val="20"/>
        </w:rPr>
        <w:t xml:space="preserve">The screen used annual research ceilings of R61,800 single/R123,600 couple for October 2014–March 2015 and R64,680/R129,360 for April–October 2015. Recorded monthly maxima of R1,350/R1,410 [24], [25] and the assumed formula D = 1.6A − 0.4B, with annual maximum A, annual private-income proxy B and minimum D = R1,200, yield these ceilings; half-joint income doubles the couple limit. Equality passed. S1 tested period, boundary and age-75 alternatives. GN R286, Schedule 2 and 4, specified 1.4A − 0.4B from 1 April 2011 [26]. GN R2119 (2022), Annexure A(2), (5), specifies 1.6A − 0.4B and R100 monthly minimum, but commenced in 2022 under regulation 41 [27]. The intervening formula and rate-notice chain remain unauthenticated; estimates are conditional on the research ceilings.</w:t>
      </w:r>
    </w:p>
    <w:p>
      <w:pPr>
        <w:spacing w:after="80" w:before="0" w:line="230"/>
        <w:jc w:val="both"/>
      </w:pPr>
      <w:r>
        <w:rPr>
          <w:rFonts w:ascii="Times New Roman" w:cs="Times New Roman" w:eastAsia="Times New Roman" w:hAnsi="Times New Roman"/>
          <w:sz w:val="20"/>
          <w:szCs w:val="20"/>
        </w:rPr>
        <w:t xml:space="preserve">Marital responses selected research assumptions, rather than establishing legal spouse status. Never-married, widowed and divorced adults used the single ceiling. For married respondents, a resident spouse and reciprocal household person-number pointers identified whose income to combine. Both amounts had to be resolved; their sum implemented the assumed couple-resource rule regardless of spouse age. Residence and reciprocity were research consistency requirements. Nonresident spouses remained unresolved because partner income was unavailable. Separated respondents lacked collected spouse details [23]. Cohabitation did not establish legal classification. These cases, unspecified status and missing or inconsistent links remained unresolved, without assumed single status or zero partner income. S2 tested alternatives.</w:t>
      </w:r>
    </w:p>
    <w:p>
      <w:pPr>
        <w:spacing w:after="80" w:before="0" w:line="23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w:t>
      </w:r>
    </w:p>
    <w:p>
      <w:pPr>
        <w:spacing w:after="80" w:before="0" w:line="23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w:t>
      </w:r>
    </w:p>
    <w:p>
      <w:pPr>
        <w:spacing w:after="80" w:before="0" w:line="230"/>
        <w:jc w:val="both"/>
      </w:pPr>
      <w:r>
        <w:rPr>
          <w:rFonts w:ascii="Times New Roman" w:cs="Times New Roman" w:eastAsia="Times New Roman" w:hAnsi="Times New Roman"/>
          <w:sz w:val="20"/>
          <w:szCs w:val="20"/>
        </w:rPr>
        <w:t xml:space="preserve">RQ1 used both the ordinary count proportion and the person-weighted proportion: p = Σ(wᵢYᵢ)/Σwᵢ. Here, wᵢ is a person's weight and Yᵢ equals 1 for non-receipt and 0 for receipt. Group comparisons describe differences; they do not establish causes.</w:t>
      </w:r>
    </w:p>
    <w:p>
      <w:pPr>
        <w:spacing w:after="80" w:before="0" w:line="230"/>
        <w:jc w:val="both"/>
      </w:pPr>
      <w:r>
        <w:rPr>
          <w:rFonts w:ascii="Times New Roman" w:cs="Times New Roman" w:eastAsia="Times New Roman" w:hAnsi="Times New Roman"/>
          <w:sz w:val="20"/>
          <w:szCs w:val="20"/>
        </w:rPr>
        <w:t xml:space="preserve">The released files lack strata. Derived primary sampling units (PSUs) supported an estimate of sampling uncertainty. The calculation allows a group to be sampled more than once. It cannot reproduce the complete survey design. Adults with unresolved screening information remain outside the proportion. Receipt bounds (the lowest and highest rates if all unclear PASS receipt answers mean receipt or all mean non-receipt) tested the effect of unclear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Model specification and validation</w:t>
      </w:r>
    </w:p>
    <w:p>
      <w:pPr>
        <w:spacing w:after="80" w:before="0" w:line="23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w:t>
      </w:r>
    </w:p>
    <w:p>
      <w:pPr>
        <w:spacing w:after="80" w:before="0" w:line="230"/>
        <w:jc w:val="both"/>
      </w:pPr>
      <w:r>
        <w:rPr>
          <w:rFonts w:ascii="Times New Roman" w:cs="Times New Roman" w:eastAsia="Times New Roman" w:hAnsi="Times New Roman"/>
          <w:sz w:val="20"/>
          <w:szCs w:val="20"/>
        </w:rPr>
        <w:t xml:space="preserve">Only one rural-formal adult reported non-receipt in the attempted seven-slope model. Excluding that person for testing left the training group with no such case in that category. Decision D-052 combined rural formal with traditional settlement to support estimation, without claiming that these settings are equivalent. Marital status affects screening; income, receipt, derived labels and marital status do not enter the primary model.</w:t>
      </w:r>
    </w:p>
    <w:p>
      <w:pPr>
        <w:spacing w:after="80" w:before="0" w:line="230"/>
        <w:jc w:val="both"/>
      </w:pPr>
      <w:r>
        <w:rPr>
          <w:rFonts w:ascii="Times New Roman" w:cs="Times New Roman" w:eastAsia="Times New Roman" w:hAnsi="Times New Roman"/>
          <w:sz w:val="20"/>
          <w:szCs w:val="20"/>
        </w:rPr>
        <w:t xml:space="preserve">Validation used five folds. The split kept households together and balanced the folds by whether any member reported non-receipt. Seed 201415 fixes this division. After interpreting skipped questions, the software filled missing predictors using training-group statistics only. It never filled missing eligibility or outcome information. Each adult received one out-of-fold (OOF) probability from a model trained without that adult's household.</w:t>
      </w:r>
    </w:p>
    <w:p>
      <w:pPr>
        <w:spacing w:after="80" w:before="0" w:line="230"/>
        <w:jc w:val="both"/>
      </w:pPr>
      <w:r>
        <w:rPr>
          <w:rFonts w:ascii="Times New Roman" w:cs="Times New Roman" w:eastAsia="Times New Roman" w:hAnsi="Times New Roman"/>
          <w:sz w:val="20"/>
          <w:szCs w:val="20"/>
        </w:rPr>
        <w:t xml:space="preserve">Evaluation measured average precision, AUC, Brier score, calibration slope and calibration-in-the-large. Ideal values are 1 for calibration slope and zero for calibration-in-the-large, which estimates an intercept correction with the slope fixed at 1. The intercept-only reference model uses the training group's non-receipt rate. Bootstrap intervals used 1,000 household samples and fixed OOF predictions. Without model refitting, these intervals omit uncertainty from repeating model development.</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Alternative assumptions</w:t>
      </w:r>
    </w:p>
    <w:p>
      <w:pPr>
        <w:spacing w:after="8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These results remain separate from the primary analysis.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w:t>
      </w:r>
    </w:p>
    <w:p>
      <w:pPr>
        <w:spacing w:after="80" w:before="0" w:line="23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seed, folds and checksums. The saved model stores coefficients and missing-value settings in JSON, without executable program code. Version opg-kzn-six-slope-v1 uses the model trained on all included adults. Uploads do not retrain it.</w:t>
      </w:r>
    </w:p>
    <w:p>
      <w:pPr>
        <w:spacing w:after="80" w:before="0" w:line="230"/>
        <w:jc w:val="both"/>
      </w:pPr>
      <w:r>
        <w:rPr>
          <w:rFonts w:ascii="Times New Roman" w:cs="Times New Roman" w:eastAsia="Times New Roman" w:hAnsi="Times New Roman"/>
          <w:sz w:val="20"/>
          <w:szCs w:val="20"/>
        </w:rPr>
        <w:t xml:space="preserve">The local Streamlit app has five sections: study context, upload/validation, eligibility/receipt, prediction/model and export/reproducibility. It accepts historical opg-screen-v1 CSV files, including household members needed to check spouse resources. Validation rejects incorrect schema, study context, duplicate identifiers, categories and numeric values. Limits are 20 MiB and 50,000 rows. Uploads stay in memory during the current session. Reports use generated row labels and omit submitted identifiers, raw income and household links. Users can filter views and exports; summary rates retain all uploaded adults who pass with resolved receipt.</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descr="Fig. 2. Research and app workflows share screening rules. Household-held-out predictions remain separate from app scores calculated using the model trained on all included adults." title="Fig. 2. Research and app workflows share screening rules. Household-held-out predictions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w:t>
      </w:r>
    </w:p>
    <w:p>
      <w:pPr>
        <w:spacing w:after="80" w:before="0" w:line="230"/>
        <w:jc w:val="both"/>
      </w:pPr>
      <w:r>
        <w:rPr>
          <w:rFonts w:ascii="Times New Roman" w:cs="Times New Roman" w:eastAsia="Times New Roman" w:hAnsi="Times New Roman"/>
          <w:sz w:val="20"/>
          <w:szCs w:val="20"/>
        </w:rPr>
        <w:t xml:space="preserve">The app reuses the screening rules and saved model settings. It scores only supported adults who pass with resolved receipt. Saved training statistics fill partly missing predictors; records missing every categorical predictor remain unscored. Integrity checks link model and evaluation files to the analysis and predictor code. The interface labels historical OOF results separately from uploaded scores; uploaded records may overlap training data. CSV, JSON and ZIP reports contain classifications, reasons, supported probabilities, versions and an audit manifest (settings and file checksums). The downloadable minimum viable product, or MVP, uses invented data and excludes raw survey files, historical respondent outputs and Git version history.</w:t>
      </w:r>
    </w:p>
    <w:p>
      <w:pPr>
        <w:spacing w:after="80" w:before="0" w:line="230"/>
        <w:jc w:val="both"/>
      </w:pPr>
      <w:r>
        <w:rPr>
          <w:rFonts w:ascii="Times New Roman" w:cs="Times New Roman" w:eastAsia="Times New Roman" w:hAnsi="Times New Roman"/>
          <w:sz w:val="20"/>
          <w:szCs w:val="20"/>
        </w:rPr>
        <w:t xml:space="preserve">Software checks compared screening decisions with expected results and tested excluded predictors, links, repeated runs, reports and saved predictions. Further checks compared the CLI (command-line interface) with the UI (user interface), including invalid inputs and outdated results. The owner's Windows walkthrough demonstrated local functionality. A task sheet supports future testing with three to five consenting participants; no participant study has taken place.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Study group and reported non-receipt</w:t>
      </w:r>
    </w:p>
    <w:p>
      <w:pPr>
        <w:spacing w:after="80" w:before="0" w:line="23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study group at each screening step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80" w:before="0" w:line="230"/>
        <w:jc w:val="both"/>
      </w:pPr>
      <w:r>
        <w:rPr>
          <w:rFonts w:ascii="Times New Roman" w:cs="Times New Roman" w:eastAsia="Times New Roman" w:hAnsi="Times New Roman"/>
          <w:sz w:val="20"/>
          <w:szCs w:val="20"/>
        </w:rPr>
        <w:t xml:space="preserve">Of these 1,013 adults, 67 reported non-receipt: 6.61% without weights and 7.49% with person weights. The calculation used 345 derived PSUs and gave a standard error of 1.3 percentage points. A bell-shaped sampling approximation gave a 95% confidence interval of 4.9%–10.0%. Missing strata limit this approximation. All 1,013 PASS answers agreed with preceding-year OPG income, so those checks changed nothing. Table V compares five predictors before filling missing values. Average age and percentages describe each receipt group. The percentages describe receipt-group composition, not non-receipt rates or predictions.</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receipt (U = unweighted; W = person-weighted)</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460"/>
        <w:gridCol w:w="1460"/>
      </w:tblGrid>
      <w:tr>
        <w:trPr>
          <w:cantSplit/>
          <w:tblHeader/>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U; W</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U; W</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Welfare office ≥5 km/unavailable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946 people; non-recipients: 67 people. U gives unweighted averages, or counts and percentages within each group. W gives person-weighted averages/percentages. Denominators retain missing predictors: three recipients lack schooling; 14 recipients/four non-recipients lack welfare-access values. These summaries have no uncertainty intervals.</w:t>
      </w:r>
    </w:p>
    <w:p>
      <w:pPr>
        <w:spacing w:after="80" w:before="0" w:line="230"/>
        <w:jc w:val="both"/>
      </w:pPr>
      <w:r>
        <w:rPr>
          <w:rFonts w:ascii="Times New Roman" w:cs="Times New Roman" w:eastAsia="Times New Roman" w:hAnsi="Times New Roman"/>
          <w:sz w:val="20"/>
          <w:szCs w:val="20"/>
        </w:rPr>
        <w:t xml:space="preserve">Non-recipients were younger before weighting, more often men, more educated and more often urban formal residents. Weights brought average ages closer.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sensitivity</w:t>
      </w:r>
    </w:p>
    <w:p>
      <w:pPr>
        <w:spacing w:after="80" w:before="0" w:line="230"/>
        <w:jc w:val="both"/>
      </w:pPr>
      <w:r>
        <w:rPr>
          <w:rFonts w:ascii="Times New Roman" w:cs="Times New Roman" w:eastAsia="Times New Roman" w:hAnsi="Times New Roman"/>
          <w:sz w:val="20"/>
          <w:szCs w:val="20"/>
        </w:rPr>
        <w:t xml:space="preserve">Table VI reports each scenario’s denominator and non-receipt events. Unw. and Wtd. abbreviate unweighted and person-weighted. Slope means calibration slope in Tables VI and VIII. Compared with S0, S1b/S1d added two people/two events. S2a, S2b, S2c and S2d added 59/4, 60/2, 8/0 and 68/2 people/events. S3 added 19 people/15 events; S4b removed six people but no events. Weighted non-receipt ranged from 7.12% to 9.06%.</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Changed screening rules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
        <w:gridCol w:w="760"/>
        <w:gridCol w:w="650"/>
        <w:gridCol w:w="650"/>
        <w:gridCol w:w="700"/>
        <w:gridCol w:w="900"/>
        <w:gridCol w:w="840"/>
      </w:tblGrid>
      <w:tr>
        <w:trPr>
          <w:cantSplit/>
          <w:tblHeader/>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Unw./Wtd. give unweighted/person-weighted non-receipt rates; performance uses no weights. S1b applies the 2015 ceiling throughout; S1d uses the zero-payout ceiling (the resource level where the grant formula pays zero). S2a/S2b treat living-together adults as couples/single. S2c treats separated adults as single; S2d treats both as single. S3 retains disability/war-veterans grant recipients (it adds no veterans). S4b retains social-assistance income.</w:t>
      </w:r>
    </w:p>
    <w:p>
      <w:pPr>
        <w:spacing w:after="80" w:before="0" w:line="230"/>
        <w:jc w:val="both"/>
      </w:pPr>
      <w:r>
        <w:rPr>
          <w:rFonts w:ascii="Times New Roman" w:cs="Times New Roman" w:eastAsia="Times New Roman" w:hAnsi="Times New Roman"/>
          <w:sz w:val="20"/>
          <w:szCs w:val="20"/>
        </w:rPr>
        <w:t xml:space="preserve">*S1a (2014 ceiling throughout), S1c (age-75 supplement), S4a (income adjusted for price changes, with the ceiling unchanged), S4c (excluding UIF, the Unemployment Insurance Fund, and similar transfers), S5 (preceding-year receipt) and S6a/S6b (receipt bounds) change nothing. Each keeps the denominator, events and measures. No PASS adult has unresolved receipt to bound.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Held-out prediction</w:t>
      </w:r>
    </w:p>
    <w:p>
      <w:pPr>
        <w:spacing w:after="80" w:before="0" w:line="23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00"/>
        <w:gridCol w:w="1640"/>
      </w:tblGrid>
      <w:tr>
        <w:trPr>
          <w:cantSplit/>
          <w:tblHeader/>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80" w:before="0" w:line="230"/>
        <w:jc w:val="both"/>
      </w:pPr>
      <w:r>
        <w:rPr>
          <w:rFonts w:ascii="Times New Roman" w:cs="Times New Roman" w:eastAsia="Times New Roman" w:hAnsi="Times New Roman"/>
          <w:sz w:val="20"/>
          <w:szCs w:val="20"/>
        </w:rPr>
        <w:t xml:space="preserve">The odds ratio for women versus men was 0.39. Its Wald interval was 0.23–0.66. Schooling below Grade 7 versus Grade 7 or above gave 0.24 (0.13–0.43). The model trained on all included adults produced these estimates. Age, settlement and welfare-distance intervals included 1. These associations describe odds, not probability reductions, held-out performance or causes.</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850"/>
        <w:gridCol w:w="700"/>
        <w:gridCol w:w="700"/>
        <w:gridCol w:w="900"/>
        <w:gridCol w:w="850"/>
      </w:tblGrid>
      <w:tr>
        <w:trPr>
          <w:cantSplit/>
          <w:tblHeader/>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w:t>
      </w:r>
    </w:p>
    <w:p>
      <w:pPr>
        <w:spacing w:after="80" w:before="0" w:line="230"/>
        <w:jc w:val="both"/>
      </w:pPr>
      <w:r>
        <w:rPr>
          <w:rFonts w:ascii="Times New Roman" w:cs="Times New Roman" w:eastAsia="Times New Roman" w:hAnsi="Times New Roman"/>
          <w:sz w:val="20"/>
          <w:szCs w:val="20"/>
        </w:rPr>
        <w:t xml:space="preserve">Across alternatives, AUC ranged from 0.736 to 0.763; Brier and calibration slopes also changed.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Software verification</w:t>
      </w:r>
    </w:p>
    <w:p>
      <w:pPr>
        <w:spacing w:after="80" w:before="0" w:line="230"/>
        <w:jc w:val="both"/>
      </w:pPr>
      <w:r>
        <w:rPr>
          <w:rFonts w:ascii="Times New Roman" w:cs="Times New Roman" w:eastAsia="Times New Roman" w:hAnsi="Times New Roman"/>
          <w:sz w:val="20"/>
          <w:szCs w:val="20"/>
        </w:rPr>
        <w:t xml:space="preserve">The 26 checks in Table IX included 22 synthetic screening cases (invented records with specified expected decisions), two income-schedule checks, one forbidden-predictor check and one run trace. Boundary, spouse, grant and receipt decisions matched their specifications. Two research runs produced 14 files with exactly matching contents and retained the study-group checksum.</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owner's Windows walkthrough produced six synthetic classifications: two resolved passes, one recipient and one non-recipient. Matching predictors gave both scores of 0.1853. The invented 50% rate is not the survey non-receipt rate. Screenshots and six extracted reports documented the walkthrough. The checks did not inspect the ZIP container. Regenerated outputs, checksums, summaries and model/source versions passed 50 checks. This verifies functions and exports, not independent execution or representative task times, errors or ease.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Scope of measured non-receipt</w:t>
      </w:r>
    </w:p>
    <w:p>
      <w:pPr>
        <w:spacing w:after="8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w:t>
      </w:r>
    </w:p>
    <w:p>
      <w:pPr>
        <w:spacing w:after="80" w:before="0" w:line="23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Predictive performance and interpretation</w:t>
      </w:r>
    </w:p>
    <w:p>
      <w:pPr>
        <w:spacing w:after="8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AP 0.203 summarises precision–recall ranking across cutoffs against a 6.61% event rate, not precision at one cutoff [16]. Brier fell from 0.0618 to 0.0578: a modest 0.0040 reduction in squared probability error. An intercept correction, with calibration slope fixed at 1, checks average bias. The ideal correction is zero. The estimate 0.020 and interval spanning zero do not prove perfect agreement. Slope 0.836 suggests predictions may be too extreme, but its 0.591–1.133 interval includes the ideal 1 [17]. Only 67 events informed these checks [18]. Most adults in even the highest-risk bin reported receipt.</w:t>
      </w:r>
    </w:p>
    <w:p>
      <w:pPr>
        <w:spacing w:after="80" w:before="0" w:line="230"/>
        <w:jc w:val="both"/>
      </w:pPr>
      <w:r>
        <w:rPr>
          <w:rFonts w:ascii="Times New Roman" w:cs="Times New Roman" w:eastAsia="Times New Roman" w:hAnsi="Times New Roman"/>
          <w:sz w:val="20"/>
          <w:szCs w:val="20"/>
        </w:rPr>
        <w:t xml:space="preserve">Table VIII separates sample, predictor and evaluation changes. S7 removed 21 people/four events (992/63). Its lower Brier concerns a different sample and cannot establish whether filling missing values is better. S8 substituted marriage for welfare access and performed similarly. S9 weighted fitting but not evaluation; it does not model the full survey design. S10 reweighted the same primary OOF predictions without retraining, raising Brier to 0.0641. S11 grouped folds by derived PSU and also performed similarly. S8–S11 retained 1,013 people/67 events. These checks expose internal assumptions; they do not establish model superiority or reliability elsewhere [19], [20].</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Reproducibility and usability</w:t>
      </w:r>
    </w:p>
    <w:p>
      <w:pPr>
        <w:spacing w:after="80" w:before="0" w:line="230"/>
        <w:jc w:val="both"/>
      </w:pPr>
      <w:r>
        <w:rPr>
          <w:rFonts w:ascii="Times New Roman" w:cs="Times New Roman" w:eastAsia="Times New Roman" w:hAnsi="Times New Roman"/>
          <w:sz w:val="20"/>
          <w:szCs w:val="20"/>
        </w:rPr>
        <w:t xml:space="preserve">RQ3 has six evidence layers. Synthetic cases check rule decisions; matching file contents check repeatability; UI–CLI agreement checks software paths; JSON reload checks saved-model predictions. The owner walkthrough checks a synthetic workflow; participant testing would assess human usability. Table IX supports the first five within tested conditions. Automated agreement cannot establish independent user ease, acceptance or field success. Saved sources and run/validation reports document versions, checksums and test conditions.</w:t>
      </w:r>
    </w:p>
    <w:p>
      <w:pPr>
        <w:spacing w:after="80" w:before="0" w:line="230"/>
        <w:jc w:val="both"/>
      </w:pPr>
      <w:r>
        <w:rPr>
          <w:rFonts w:ascii="Times New Roman" w:cs="Times New Roman" w:eastAsia="Times New Roman" w:hAnsi="Times New Roman"/>
          <w:sz w:val="20"/>
          <w:szCs w:val="20"/>
        </w:rPr>
        <w:t xml:space="preserve">The app separates historical OOF results from uploaded scores; uploads may overlap training data. Matching saved scores checks reloading, not new predictive accuracy. The software exposes its computations, but representative user clarity remains untested. The task sheet supports future testing.</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Transfer to other settings</w:t>
      </w:r>
    </w:p>
    <w:p>
      <w:pPr>
        <w:spacing w:after="80" w:before="0" w:line="230"/>
        <w:jc w:val="both"/>
      </w:pPr>
      <w:r>
        <w:rPr>
          <w:rFonts w:ascii="Times New Roman" w:cs="Times New Roman" w:eastAsia="Times New Roman" w:hAnsi="Times New Roman"/>
          <w:sz w:val="20"/>
          <w:szCs w:val="20"/>
        </w:rPr>
        <w:t xml:space="preserve">This study analysed screened KwaZulu-Natal adults in LCS 2014/2015. Provinces and periods differ in settlement, services, policy and reporting. Application, award and payment records measure different events from reported receipt and can contain linking errors. The study did not test the model on an independent province, period or administrative sample. Transfer requires comparable populations/outcomes, justified period-specific rules and independent ranking/calibration checks [19], [20]. Making the app available cannot establish suitability for today's applicants.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Synthesis of the Conceptual Framework</w:t>
      </w:r>
    </w:p>
    <w:p>
      <w:pPr>
        <w:spacing w:after="80" w:before="0" w:line="230"/>
        <w:jc w:val="both"/>
      </w:pPr>
      <w:r>
        <w:rPr>
          <w:rFonts w:ascii="Times New Roman" w:cs="Times New Roman" w:eastAsia="Times New Roman" w:hAnsi="Times New Roman"/>
          <w:sz w:val="20"/>
          <w:szCs w:val="20"/>
        </w:rPr>
        <w:t xml:space="preserve">Returning to Figure 1, screening sensitivity supported an explicit denominator, and sex differences supported demographic comparison without confirming burden mechanisms [3], [4]. Lower schooling accompanied receipt, contrary to a simple expectation that fewer information resources increase non-receipt [13]. Screening selection or other resources could account for this; neither explanation was tested. Office-distance and settlement intervals included 1, leaving compliance-cost expectations unresolved. Psychological costs remained untested because LCS did not measure them. Proxy associations do not directly test the theory. The artefact contributes a reproducible implementation of these bounded measurement choices. Separate, traceable rules, outcomes and predictions support inspection despite measurement limits, without establishing causes, legal entitlement or participant usability.</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w:t>
      </w:r>
    </w:p>
    <w:p>
      <w:pPr>
        <w:spacing w:after="80" w:before="0" w:line="230"/>
        <w:jc w:val="both"/>
      </w:pPr>
      <w:r>
        <w:rPr>
          <w:rFonts w:ascii="Times New Roman" w:cs="Times New Roman" w:eastAsia="Times New Roman" w:hAnsi="Times New Roman"/>
          <w:sz w:val="20"/>
          <w:szCs w:val="20"/>
        </w:rPr>
        <w:t xml:space="preserve">The survey cannot establish legal eligibility: its resource proxy omits assets, deemed income and deductions. Historical applicability of the formula remains unresolved. Respondents may misreport income and receipt. Cross-sectional data cannot establish the order of events. Few events, unresolved screening, missing strata and resampling fixed predictions without refitting limit inference. Household sampling excludes institutionalised older adults. Participant usability and performance elsewhere remain untested.</w:t>
      </w:r>
    </w:p>
    <w:p>
      <w:pPr>
        <w:spacing w:after="80" w:before="0" w:line="230"/>
        <w:jc w:val="both"/>
      </w:pPr>
      <w:r>
        <w:rPr>
          <w:rFonts w:ascii="Times New Roman" w:cs="Times New Roman" w:eastAsia="Times New Roman" w:hAnsi="Times New Roman"/>
          <w:sz w:val="20"/>
          <w:szCs w:val="20"/>
        </w:rPr>
        <w:t xml:space="preserve">Survey access conditions and disclosure requirements apply. Interface demonstrations and tests use synthetic records. The downloadable package excludes survey records. Displays and reports omit submitted identifiers and raw income. These controls do not establish disclosure review of every historical repository file. The project records contain no DUT (Durban University of Technology) ethics determination. The paper therefore claims no approval. The app explains measurement choices; it neither decides grants nor ranks named applicants.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w:t>
      </w:r>
    </w:p>
    <w:p>
      <w:pPr>
        <w:spacing w:after="80" w:before="0" w:line="230"/>
        <w:jc w:val="both"/>
      </w:pPr>
      <w:r>
        <w:rPr>
          <w:rFonts w:ascii="Times New Roman" w:cs="Times New Roman" w:eastAsia="Times New Roman" w:hAnsi="Times New Roman"/>
          <w:sz w:val="20"/>
          <w:szCs w:val="20"/>
        </w:rPr>
        <w:t xml:space="preserve">Historical screened non-receipt was 6.6% unweighted and 7.5% person-weighted; alternatives gave 7.1%–9.1%. Rules about other grants changed results more than the ceiling, and unresolved cases made the denominator central. Five predictor groups/six slopes gave AUC 0.752, AP 0.203 and Brier 0.0578: moderate internal ranking with slightly less probability error. The software reproduces screening, receipt categories and scores for inspection under tested conditions. The study provides a historical benchmark. It does not establish human usability, causes, legal entitlement or performance elsewhere.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[26] Dept. of Social Development, “Social Assistance Act: Amendment of regulations,” Government Notice R286, Government Gazette 34169, Mar. 31, 2011.</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[27] Dept. of Social Development, “Social Assistance Act: Regulations,” Government Notice R2119, Government Gazette 46459, May 31, 2022.</w:t>
      </w:r>
    </w:p>
    <w:p>
      <w:pPr>
        <w:sectPr>
          <w:type w:val="continuous"/>
          <w:pgSz w:w="12240" w:h="15840" w:orient="portrait"/>
          <w:pgMar w:top="1080" w:right="900" w:bottom="1440" w:left="900" w:header="708" w:footer="708" w:gutter="0"/>
          <w:pgNumType/>
          <w:cols w:space="360" w:num="2" w:equalWidth="true"/>
          <w:docGrid w:linePitch="360"/>
        </w:sectPr>
      </w:pPr>
    </w:p>
    <w:p>
      <w:pPr>
        <w:spacing w:after="0"/>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2026-10-14T23:28:53.823Z</dcterms:created>
  <dcterms:modified xsi:type="dcterms:W3CDTF">2026-10-14T23:28:53.824Z</dcterms:modified>
</cp:coreProperties>
</file>

<file path=docProps/custom.xml><?xml version="1.0" encoding="utf-8"?>
<Properties xmlns="http://schemas.openxmlformats.org/officeDocument/2006/custom-properties" xmlns:vt="http://schemas.openxmlformats.org/officeDocument/2006/docPropsVTypes"/>
</file>