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literature review covered grant access, non-receipt and prediction research from Scopus, Dimensions, IEEE Xplore, SABINET/African Journals Online, Google Scholar and Statistics South Africa/DataFirst. The recorded search summary lists 511 records: 136 duplicates removed, 375 titles/abstracts screened, 222 excluded, 153 full texts assessed, 98 further exclusions and 55 retained sources. These sources cover several grants and populations, rather than 55 OPG studies. Differences in grants, settings, units of analysis and outcomes prevent a pooled non-receipt estimate. Original search exports and detailed screening logs were unavailable for independent verification.</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This study combines an explicit screen, weighted description, testing on excluded households and inspectable software for this historical KwaZulu-Natal group.</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w:t>
      </w:r>
    </w:p>
    <w:p>
      <w:pPr>
        <w:spacing w:after="80" w:before="0" w:line="230"/>
        <w:jc w:val="both"/>
      </w:pPr>
      <w:r>
        <w:rPr>
          <w:rFonts w:ascii="Times New Roman" w:cs="Times New Roman" w:eastAsia="Times New Roman" w:hAnsi="Times New Roman"/>
          <w:sz w:val="20"/>
          <w:szCs w:val="20"/>
        </w:rPr>
        <w:t xml:space="preserve">Table II links five predictors to possible barriers. They are proxies, rather than direct measures of grant awareness, journeys or discrimination. LCS does not record application paperwork, travel spending, waiting, stigma or stress. The study used theory to choose predictors; the model cannot establish that barriers caused non-receipt.</w:t>
      </w:r>
    </w:p>
    <w:p>
      <w:pPr>
        <w:keepNext/>
        <w:spacing w:after="30" w:before="80" w:line="240" w:lineRule="auto"/>
        <w:jc w:val="center"/>
      </w:pPr>
      <w:r>
        <w:drawing>
          <wp:inline distT="0" distB="0" distL="0" distR="0">
            <wp:extent cx="3200400" cy="3105150"/>
            <wp:effectExtent t="0" r="0" b="0" l="0"/>
            <wp:docPr id="1" name="Fig. 1. Theory guides the choice of survey measures. Arrows show measurement choices and research steps; they do not show proven causes. The survey does not record every condition of legal entitlement." descr="Fig. 1. Theory guides the choice of survey measures. Arrows show measurement choices and research steps; they do not show proven causes. The survey does not record every condition of legal entitlement." title="Fig. 1. Theory guides the choice of survey measures. Arrows show measurement choices and research steps; they do not show proven causes. The survey does not record every condition of legal enti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105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Theory guides the choice of survey measures. Arrows show measurement choices and research steps; they do not show proven causes. The survey does not record every condition of legal entitlement.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Predictors suggested by the literature and their limits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2340"/>
      </w:tblGrid>
      <w:tr>
        <w:trPr>
          <w:cantSplit/>
          <w:tblHeader/>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Conceptual connection</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Observable coding and limit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differs across age groups [3]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Each decade above 60; does not record health or application history.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differs by sex [3], [4]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compared with male; does not measure social roles or discrimination.</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May help people find and understand information [10], [13]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compared with Grade 7 or above; does not measure awareness or literacy.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Where people live may affect service access [6], [14], [15]</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Two settlement comparisons with formal urban areas; does not measure office capacity.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Reaching an office may require effort [10], [14]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compared with nearer; does not record visits or travel costs.</w:t>
            </w:r>
          </w:p>
        </w:tc>
      </w:tr>
    </w:tbl>
    <w:p>
      <w:pPr>
        <w:spacing w:after="80" w:before="0" w:line="230"/>
        <w:jc w:val="both"/>
      </w:pPr>
      <w:r>
        <w:rPr>
          <w:rFonts w:ascii="Times New Roman" w:cs="Times New Roman" w:eastAsia="Times New Roman" w:hAnsi="Times New Roman"/>
          <w:sz w:val="20"/>
          <w:szCs w:val="20"/>
        </w:rPr>
        <w:t xml:space="preserve">Figure 1 separates screening, receipt and prediction; the tool displays each for inspection. Weighted percentages describe the screened population. Testing on excluded households checks prediction within this survey. The application scores uploaded records using saved model settings. These scores remain separate from test results and never change screening or receipt.</w:t>
      </w:r>
    </w:p>
    <w:p>
      <w:pPr>
        <w:spacing w:after="80" w:before="0" w:line="230"/>
        <w:jc w:val="both"/>
      </w:pPr>
      <w:r>
        <w:rPr>
          <w:rFonts w:ascii="Times New Roman" w:cs="Times New Roman" w:eastAsia="Times New Roman" w:hAnsi="Times New Roman"/>
          <w:sz w:val="20"/>
          <w:szCs w:val="20"/>
        </w:rPr>
        <w:t xml:space="preserve">With few non-recipients, the evaluation assessed precision and calibration, alongside ranking [16], [17]. The number of people studied and testing on excluded households limit conclusions [18], [19]. The paper uses TRIPOD (Transparent Reporting of a multivariable prediction model for Individual Prognosis Or Diagnosis) to describe methods and results [20]. Software checks support correctness and repeatability; assessing participant usability requires participants to try the app.</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w:t>
      </w:r>
    </w:p>
    <w:p>
      <w:pPr>
        <w:spacing w:after="80" w:before="0" w:line="230"/>
        <w:jc w:val="both"/>
      </w:pPr>
      <w:r>
        <w:rPr>
          <w:rFonts w:ascii="Times New Roman" w:cs="Times New Roman" w:eastAsia="Times New Roman" w:hAnsi="Times New Roman"/>
          <w:sz w:val="20"/>
          <w:szCs w:val="20"/>
        </w:rPr>
        <w:t xml:space="preserve">The screen summed reported yearly income to estimate private resources. It excluded social-assistance income so receiving a grant would not cause a failure. It did not divide household totals among individuals. A missing income record counts as zero only when the source indicator confirms no reported income; otherwise, the screen leaves it unresolved. Asset purchases do not measure total asset holdings. The data cannot establish the full legal asset test, income assigned under legal rules or permitted deductions.</w:t>
      </w:r>
    </w:p>
    <w:p>
      <w:pPr>
        <w:spacing w:after="80" w:before="0" w:line="230"/>
        <w:jc w:val="both"/>
      </w:pPr>
      <w:r>
        <w:rPr>
          <w:rFonts w:ascii="Times New Roman" w:cs="Times New Roman" w:eastAsia="Times New Roman" w:hAnsi="Times New Roman"/>
          <w:sz w:val="20"/>
          <w:szCs w:val="20"/>
        </w:rPr>
        <w:t xml:space="preserve">The income ceiling corresponds to a formula payment of R100 monthly. From April 2014, the ceilings are R61,800 for a single person and R123,600 for a couple; from April 2015, they are R64,680 and R129,360 [24], [25]. The screen included amounts exactly at the interview-month ceiling. These research limits do not establish legal eligibility. The legal formula and couple-threshold interpretation remain unverified. Alternative analyses tested thresholds and income definitions.</w:t>
      </w:r>
    </w:p>
    <w:p>
      <w:pPr>
        <w:spacing w:after="80" w:before="0" w:line="230"/>
        <w:jc w:val="both"/>
      </w:pPr>
      <w:r>
        <w:rPr>
          <w:rFonts w:ascii="Times New Roman" w:cs="Times New Roman" w:eastAsia="Times New Roman" w:hAnsi="Times New Roman"/>
          <w:sz w:val="20"/>
          <w:szCs w:val="20"/>
        </w:rPr>
        <w:t xml:space="preserve">For married adults, the screen combined applicant and spouse resources only after linking a resident spouse and confirming the relationship. Never-married, widowed and divorced adults use the single ceiling. Living-together, separated, absent-spouse and failed-link cases remain unresolved in the primary analysis. The screen does not treat unknown partner resources as zero or classify ambiguous partnerships as single. Alternative analyses relaxed these choices. An adult's own disability or war-veterans grant causes a failure. Caregiver child grants and grant-in-aid (an extra grant for people who need full-time care) do not exclude the adult or define OPG receipt. A known failure takes priority over missing information; the software retains all reasons.</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w:t>
      </w:r>
    </w:p>
    <w:p>
      <w:pPr>
        <w:spacing w:after="80" w:before="0" w:line="230"/>
        <w:jc w:val="both"/>
      </w:pPr>
      <w:r>
        <w:rPr>
          <w:rFonts w:ascii="Times New Roman" w:cs="Times New Roman" w:eastAsia="Times New Roman" w:hAnsi="Times New Roman"/>
          <w:sz w:val="20"/>
          <w:szCs w:val="20"/>
        </w:rPr>
        <w:t xml:space="preserve">Validation used five folds. The split kept households together and balanced the folds by whether any member reported non-receipt. Seed 201415 fixes this division. After interpreting skipped questions, the software filled missing predictors using training-group statistics only. It never filled missing eligibility or outcome information. Each adult received one out-of-fold (OOF) probability from a model trained without that adult's household.</w:t>
      </w:r>
    </w:p>
    <w:p>
      <w:pPr>
        <w:spacing w:after="80" w:before="0" w:line="230"/>
        <w:jc w:val="both"/>
      </w:pPr>
      <w:r>
        <w:rPr>
          <w:rFonts w:ascii="Times New Roman" w:cs="Times New Roman" w:eastAsia="Times New Roman" w:hAnsi="Times New Roman"/>
          <w:sz w:val="20"/>
          <w:szCs w:val="20"/>
        </w:rPr>
        <w:t xml:space="preserve">Evaluation measured average precision, AUC, Brier score, calibration slope and calibration-in-the-large. Ideal values are 1 for calibration slope and zero for calibration-in-the-large, which estimates an intercept correction with the slope fixed at 1. The intercept-only reference model uses the training group's non-receipt rate. Bootstrap intervals used 1,000 household samples and fixed OOF predictions. Without model refitting, these intervals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w:t>
      </w:r>
    </w:p>
    <w:p>
      <w:pPr>
        <w:spacing w:after="80" w:before="0" w:line="230"/>
        <w:jc w:val="both"/>
      </w:pPr>
      <w:r>
        <w:rPr>
          <w:rFonts w:ascii="Times New Roman" w:cs="Times New Roman" w:eastAsia="Times New Roman" w:hAnsi="Times New Roman"/>
          <w:sz w:val="20"/>
          <w:szCs w:val="20"/>
        </w:rPr>
        <w:t xml:space="preserve">Table II separates concepts from measured predictors. Schooling suggests learning costs; distance/settlement suggest compliance costs [13], [14]. The odds ratios describe the screened group, not OOF effects or measured burden. Lower schooling accompanied receipt, contrary to a simple information-barrier expectation. Fewer other resources or screening selection could explain this; the analysis tested neither explanation. Uncertain office/settlement associations neither confirm nor rule out compliance costs. The survey does not measure psychological costs. Without awareness, visits, document demands or administrative decisions, this analysis cannot explain non-receipt.</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The survey cannot fully establish legal eligibility: its resource measure omits assets, deemed income (income the law assigns rather than the survey observes) and deductions. Income and receipt reports may contain errors. Cross-sectional data cannot establish the order of events. Few events, unresolved eligibility, missing strata and resampling fixed predictions without refitting limit inference. Household sampling excludes institutionalised older adults. Participant usability and performance in another population remain untested.</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d1fd3a491510c9e70f4f71e8eab7b2bab9e7477.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2026-10-13T21:25:58.643Z</dcterms:created>
  <dcterms:modified xsi:type="dcterms:W3CDTF">2026-10-13T21:25:58.643Z</dcterms:modified>
</cp:coreProperties>
</file>

<file path=docProps/custom.xml><?xml version="1.0" encoding="utf-8"?>
<Properties xmlns="http://schemas.openxmlformats.org/officeDocument/2006/custom-properties" xmlns:vt="http://schemas.openxmlformats.org/officeDocument/2006/docPropsVTypes"/>
</file>