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40"/>
        <w:pBdr>
          <w:bottom w:val="single" w:sz="36" w:space="7" w:color="9DCB3B"/>
        </w:pBdr>
      </w:pPr>
      <w:r>
        <w:rPr>
          <w:rFonts w:ascii="Calibri" w:hAnsi="Calibri" w:eastAsia="Calibri"/>
          <w:b/>
          <w:color w:val="155C43"/>
          <w:sz w:val="22"/>
        </w:rPr>
        <w:t>ZOVUYO INNOVATIONS</w:t>
      </w:r>
    </w:p>
    <w:p>
      <w:pPr>
        <w:pStyle w:val="Title"/>
        <w:spacing w:before="920"/>
      </w:pPr>
      <w:r>
        <w:t>Smart GrowKit</w:t>
      </w:r>
    </w:p>
    <w:p>
      <w:pPr>
        <w:pStyle w:val="Title"/>
        <w:spacing w:before="0"/>
      </w:pPr>
      <w:r>
        <w:t>Source of Truth</w:t>
      </w:r>
    </w:p>
    <w:p>
      <w:pPr>
        <w:pStyle w:val="Subtitle"/>
      </w:pPr>
      <w:r>
        <w:t>Product • Business • Engineering • Delivery</w:t>
      </w:r>
    </w:p>
    <w:p>
      <w:pPr>
        <w:spacing w:before="480" w:after="360" w:line="283" w:lineRule="auto"/>
      </w:pPr>
      <w:r>
        <w:rPr>
          <w:rFonts w:ascii="Calibri" w:hAnsi="Calibri" w:eastAsia="Calibri"/>
          <w:color w:val="1F2A2A"/>
          <w:sz w:val="30"/>
        </w:rPr>
        <w:t>A controlled working baseline for building a safe, affordable, connected hydroponic grow system for urban South African households.</w:t>
      </w:r>
    </w:p>
    <w:tbl>
      <w:tblPr>
        <w:tblW w:type="dxa" w:w="9360"/>
        <w:jc w:val="center"/>
        <w:tblLayout w:type="fixed"/>
        <w:tblLook w:firstColumn="1" w:firstRow="1" w:lastColumn="0" w:lastRow="0" w:noHBand="0" w:noVBand="1" w:val="04A0"/>
      </w:tblPr>
      <w:tblGrid>
        <w:gridCol w:w="9360"/>
      </w:tblGrid>
      <w:tr>
        <w:trPr>
          <w:cantSplit/>
        </w:trPr>
        <w:tc>
          <w:tcPr>
            <w:tcW w:type="dxa" w:w="9360"/>
            <w:shd w:fill="EAF4EF"/>
            <w:tcMar>
              <w:top w:w="140" w:type="dxa"/>
              <w:start w:w="180" w:type="dxa"/>
              <w:bottom w:w="140" w:type="dxa"/>
              <w:end w:w="180" w:type="dxa"/>
            </w:tcMar>
            <w:tcBorders>
              <w:start w:val="single" w:sz="28" w:color="155C43"/>
            </w:tcBorders>
          </w:tcPr>
          <w:p>
            <w:pPr>
              <w:spacing w:after="40"/>
            </w:pPr>
            <w:r>
              <w:rPr>
                <w:rFonts w:ascii="Calibri" w:hAnsi="Calibri" w:eastAsia="Calibri"/>
                <w:b/>
                <w:color w:val="155C43"/>
                <w:sz w:val="17"/>
              </w:rPr>
              <w:t>BASELINE DECISION</w:t>
            </w:r>
          </w:p>
          <w:p>
            <w:pPr>
              <w:keepNext w:val="0"/>
              <w:keepLines/>
              <w:widowControl/>
              <w:spacing w:after="0"/>
            </w:pPr>
            <w:r>
              <w:t>Use the Smart-Gardening repository as a modular architecture reference—not as a product specification. Zovuyo Version 1 is designed around local autonomy, low-cost open integrations, South African household conditions, and the current prototype evidence.</w:t>
            </w:r>
          </w:p>
        </w:tc>
      </w:tr>
    </w:tbl>
    <w:p>
      <w:pPr>
        <w:spacing w:after="0"/>
      </w:pPr>
    </w:p>
    <w:tbl>
      <w:tblPr>
        <w:tblW w:type="dxa" w:w="9360"/>
        <w:jc w:val="center"/>
        <w:tblLayout w:type="fixed"/>
        <w:tblLook w:firstColumn="1" w:firstRow="1" w:lastColumn="0" w:lastRow="0" w:noHBand="0" w:noVBand="1" w:val="04A0"/>
      </w:tblPr>
      <w:tblGrid>
        <w:gridCol w:w="2750"/>
        <w:gridCol w:w="6610"/>
      </w:tblGrid>
      <w:tr>
        <w:trPr>
          <w:cantSplit/>
        </w:trPr>
        <w:tc>
          <w:tcPr>
            <w:tcW w:type="dxa" w:w="2750"/>
            <w:tcMar>
              <w:top w:w="105" w:type="dxa"/>
              <w:start w:w="135" w:type="dxa"/>
              <w:bottom w:w="105" w:type="dxa"/>
              <w:end w:w="135" w:type="dxa"/>
            </w:tcMar>
            <w:shd w:fill="FFFFFF"/>
            <w:tcBorders>
              <w:bottom w:val="single" w:sz="5" w:color="CAD8D2"/>
            </w:tcBorders>
          </w:tcPr>
          <w:p>
            <w:pPr>
              <w:spacing w:after="0"/>
            </w:pPr>
            <w:r>
              <w:rPr>
                <w:rFonts w:ascii="Calibri" w:hAnsi="Calibri" w:eastAsia="Calibri"/>
                <w:b/>
                <w:color w:val="0D3D2D"/>
                <w:sz w:val="18"/>
              </w:rPr>
              <w:t>Document ID</w:t>
            </w:r>
          </w:p>
        </w:tc>
        <w:tc>
          <w:tcPr>
            <w:tcW w:type="dxa" w:w="6610"/>
            <w:tcMar>
              <w:top w:w="105" w:type="dxa"/>
              <w:start w:w="135" w:type="dxa"/>
              <w:bottom w:w="105" w:type="dxa"/>
              <w:end w:w="135" w:type="dxa"/>
            </w:tcMar>
            <w:shd w:fill="FFFFFF"/>
            <w:tcBorders>
              <w:bottom w:val="single" w:sz="5" w:color="CAD8D2"/>
            </w:tcBorders>
          </w:tcPr>
          <w:p>
            <w:pPr>
              <w:spacing w:after="0"/>
            </w:pPr>
            <w:r>
              <w:rPr>
                <w:rFonts w:ascii="Calibri" w:hAnsi="Calibri" w:eastAsia="Calibri"/>
                <w:b w:val="0"/>
                <w:color w:val="1F2A2A"/>
                <w:sz w:val="18"/>
              </w:rPr>
              <w:t>ZI-SGK-SSOT-001</w:t>
            </w:r>
          </w:p>
        </w:tc>
      </w:tr>
      <w:tr>
        <w:trPr>
          <w:cantSplit/>
        </w:trPr>
        <w:tc>
          <w:tcPr>
            <w:tcW w:type="dxa" w:w="2750"/>
            <w:tcMar>
              <w:top w:w="105" w:type="dxa"/>
              <w:start w:w="135" w:type="dxa"/>
              <w:bottom w:w="105" w:type="dxa"/>
              <w:end w:w="135" w:type="dxa"/>
            </w:tcMar>
            <w:shd w:fill="F5F8F6"/>
            <w:tcBorders>
              <w:bottom w:val="single" w:sz="5" w:color="CAD8D2"/>
            </w:tcBorders>
          </w:tcPr>
          <w:p>
            <w:pPr>
              <w:spacing w:after="0"/>
            </w:pPr>
            <w:r>
              <w:rPr>
                <w:rFonts w:ascii="Calibri" w:hAnsi="Calibri" w:eastAsia="Calibri"/>
                <w:b/>
                <w:color w:val="0D3D2D"/>
                <w:sz w:val="18"/>
              </w:rPr>
              <w:t>Version / baseline date</w:t>
            </w:r>
          </w:p>
        </w:tc>
        <w:tc>
          <w:tcPr>
            <w:tcW w:type="dxa" w:w="6610"/>
            <w:tcMar>
              <w:top w:w="105" w:type="dxa"/>
              <w:start w:w="135" w:type="dxa"/>
              <w:bottom w:w="105" w:type="dxa"/>
              <w:end w:w="135" w:type="dxa"/>
            </w:tcMar>
            <w:shd w:fill="F5F8F6"/>
            <w:tcBorders>
              <w:bottom w:val="single" w:sz="5" w:color="CAD8D2"/>
            </w:tcBorders>
          </w:tcPr>
          <w:p>
            <w:pPr>
              <w:spacing w:after="0"/>
            </w:pPr>
            <w:r>
              <w:rPr>
                <w:rFonts w:ascii="Calibri" w:hAnsi="Calibri" w:eastAsia="Calibri"/>
                <w:b w:val="0"/>
                <w:color w:val="1F2A2A"/>
                <w:sz w:val="18"/>
              </w:rPr>
              <w:t>1.0 / 30 August 2026</w:t>
            </w:r>
          </w:p>
        </w:tc>
      </w:tr>
      <w:tr>
        <w:trPr>
          <w:cantSplit/>
        </w:trPr>
        <w:tc>
          <w:tcPr>
            <w:tcW w:type="dxa" w:w="2750"/>
            <w:tcMar>
              <w:top w:w="105" w:type="dxa"/>
              <w:start w:w="135" w:type="dxa"/>
              <w:bottom w:w="105" w:type="dxa"/>
              <w:end w:w="135" w:type="dxa"/>
            </w:tcMar>
            <w:shd w:fill="FFFFFF"/>
            <w:tcBorders>
              <w:bottom w:val="single" w:sz="5" w:color="CAD8D2"/>
            </w:tcBorders>
          </w:tcPr>
          <w:p>
            <w:pPr>
              <w:spacing w:after="0"/>
            </w:pPr>
            <w:r>
              <w:rPr>
                <w:rFonts w:ascii="Calibri" w:hAnsi="Calibri" w:eastAsia="Calibri"/>
                <w:b/>
                <w:color w:val="0D3D2D"/>
                <w:sz w:val="18"/>
              </w:rPr>
              <w:t>Status</w:t>
            </w:r>
          </w:p>
        </w:tc>
        <w:tc>
          <w:tcPr>
            <w:tcW w:type="dxa" w:w="6610"/>
            <w:tcMar>
              <w:top w:w="105" w:type="dxa"/>
              <w:start w:w="135" w:type="dxa"/>
              <w:bottom w:w="105" w:type="dxa"/>
              <w:end w:w="135" w:type="dxa"/>
            </w:tcMar>
            <w:shd w:fill="FFFFFF"/>
            <w:tcBorders>
              <w:bottom w:val="single" w:sz="5" w:color="CAD8D2"/>
            </w:tcBorders>
          </w:tcPr>
          <w:p>
            <w:pPr>
              <w:spacing w:after="0"/>
            </w:pPr>
            <w:r>
              <w:rPr>
                <w:rFonts w:ascii="Calibri" w:hAnsi="Calibri" w:eastAsia="Calibri"/>
                <w:b w:val="0"/>
                <w:color w:val="1F2A2A"/>
                <w:sz w:val="18"/>
              </w:rPr>
              <w:t>Controlling working baseline</w:t>
            </w:r>
          </w:p>
        </w:tc>
      </w:tr>
      <w:tr>
        <w:trPr>
          <w:cantSplit/>
        </w:trPr>
        <w:tc>
          <w:tcPr>
            <w:tcW w:type="dxa" w:w="2750"/>
            <w:tcMar>
              <w:top w:w="105" w:type="dxa"/>
              <w:start w:w="135" w:type="dxa"/>
              <w:bottom w:w="105" w:type="dxa"/>
              <w:end w:w="135" w:type="dxa"/>
            </w:tcMar>
            <w:shd w:fill="F5F8F6"/>
            <w:tcBorders>
              <w:bottom w:val="single" w:sz="5" w:color="CAD8D2"/>
            </w:tcBorders>
          </w:tcPr>
          <w:p>
            <w:pPr>
              <w:spacing w:after="0"/>
            </w:pPr>
            <w:r>
              <w:rPr>
                <w:rFonts w:ascii="Calibri" w:hAnsi="Calibri" w:eastAsia="Calibri"/>
                <w:b/>
                <w:color w:val="0D3D2D"/>
                <w:sz w:val="18"/>
              </w:rPr>
              <w:t>Document owner</w:t>
            </w:r>
          </w:p>
        </w:tc>
        <w:tc>
          <w:tcPr>
            <w:tcW w:type="dxa" w:w="6610"/>
            <w:tcMar>
              <w:top w:w="105" w:type="dxa"/>
              <w:start w:w="135" w:type="dxa"/>
              <w:bottom w:w="105" w:type="dxa"/>
              <w:end w:w="135" w:type="dxa"/>
            </w:tcMar>
            <w:shd w:fill="F5F8F6"/>
            <w:tcBorders>
              <w:bottom w:val="single" w:sz="5" w:color="CAD8D2"/>
            </w:tcBorders>
          </w:tcPr>
          <w:p>
            <w:pPr>
              <w:spacing w:after="0"/>
            </w:pPr>
            <w:r>
              <w:rPr>
                <w:rFonts w:ascii="Calibri" w:hAnsi="Calibri" w:eastAsia="Calibri"/>
                <w:b w:val="0"/>
                <w:color w:val="1F2A2A"/>
                <w:sz w:val="18"/>
              </w:rPr>
              <w:t>Zovuyo Innovations</w:t>
            </w:r>
          </w:p>
        </w:tc>
      </w:tr>
      <w:tr>
        <w:trPr>
          <w:cantSplit/>
        </w:trPr>
        <w:tc>
          <w:tcPr>
            <w:tcW w:type="dxa" w:w="2750"/>
            <w:tcMar>
              <w:top w:w="105" w:type="dxa"/>
              <w:start w:w="135" w:type="dxa"/>
              <w:bottom w:w="105" w:type="dxa"/>
              <w:end w:w="135" w:type="dxa"/>
            </w:tcMar>
            <w:shd w:fill="FFFFFF"/>
            <w:tcBorders>
              <w:bottom w:val="single" w:sz="5" w:color="CAD8D2"/>
            </w:tcBorders>
          </w:tcPr>
          <w:p>
            <w:pPr>
              <w:spacing w:after="0"/>
            </w:pPr>
            <w:r>
              <w:rPr>
                <w:rFonts w:ascii="Calibri" w:hAnsi="Calibri" w:eastAsia="Calibri"/>
                <w:b/>
                <w:color w:val="0D3D2D"/>
                <w:sz w:val="18"/>
              </w:rPr>
              <w:t>Product owner</w:t>
            </w:r>
          </w:p>
        </w:tc>
        <w:tc>
          <w:tcPr>
            <w:tcW w:type="dxa" w:w="6610"/>
            <w:tcMar>
              <w:top w:w="105" w:type="dxa"/>
              <w:start w:w="135" w:type="dxa"/>
              <w:bottom w:w="105" w:type="dxa"/>
              <w:end w:w="135" w:type="dxa"/>
            </w:tcMar>
            <w:shd w:fill="FFFFFF"/>
            <w:tcBorders>
              <w:bottom w:val="single" w:sz="5" w:color="CAD8D2"/>
            </w:tcBorders>
          </w:tcPr>
          <w:p>
            <w:pPr>
              <w:spacing w:after="0"/>
            </w:pPr>
            <w:r>
              <w:rPr>
                <w:rFonts w:ascii="Calibri" w:hAnsi="Calibri" w:eastAsia="Calibri"/>
                <w:b w:val="0"/>
                <w:color w:val="1F2A2A"/>
                <w:sz w:val="18"/>
              </w:rPr>
              <w:t>Oluhle Jawe, Founder</w:t>
            </w:r>
          </w:p>
        </w:tc>
      </w:tr>
      <w:tr>
        <w:trPr>
          <w:cantSplit/>
        </w:trPr>
        <w:tc>
          <w:tcPr>
            <w:tcW w:type="dxa" w:w="2750"/>
            <w:tcMar>
              <w:top w:w="105" w:type="dxa"/>
              <w:start w:w="135" w:type="dxa"/>
              <w:bottom w:w="105" w:type="dxa"/>
              <w:end w:w="135" w:type="dxa"/>
            </w:tcMar>
            <w:shd w:fill="F5F8F6"/>
            <w:tcBorders>
              <w:bottom w:val="single" w:sz="5" w:color="CAD8D2"/>
            </w:tcBorders>
          </w:tcPr>
          <w:p>
            <w:pPr>
              <w:spacing w:after="0"/>
            </w:pPr>
            <w:r>
              <w:rPr>
                <w:rFonts w:ascii="Calibri" w:hAnsi="Calibri" w:eastAsia="Calibri"/>
                <w:b/>
                <w:color w:val="0D3D2D"/>
                <w:sz w:val="18"/>
              </w:rPr>
              <w:t>Next review trigger</w:t>
            </w:r>
          </w:p>
        </w:tc>
        <w:tc>
          <w:tcPr>
            <w:tcW w:type="dxa" w:w="6610"/>
            <w:tcMar>
              <w:top w:w="105" w:type="dxa"/>
              <w:start w:w="135" w:type="dxa"/>
              <w:bottom w:w="105" w:type="dxa"/>
              <w:end w:w="135" w:type="dxa"/>
            </w:tcMar>
            <w:shd w:fill="F5F8F6"/>
            <w:tcBorders>
              <w:bottom w:val="single" w:sz="5" w:color="CAD8D2"/>
            </w:tcBorders>
          </w:tcPr>
          <w:p>
            <w:pPr>
              <w:spacing w:after="0"/>
            </w:pPr>
            <w:r>
              <w:rPr>
                <w:rFonts w:ascii="Calibri" w:hAnsi="Calibri" w:eastAsia="Calibri"/>
                <w:b w:val="0"/>
                <w:color w:val="1F2A2A"/>
                <w:sz w:val="18"/>
              </w:rPr>
              <w:t>Any approved scope, architecture, safety or cost change</w:t>
            </w:r>
          </w:p>
        </w:tc>
      </w:tr>
    </w:tbl>
    <w:p>
      <w:pPr>
        <w:pStyle w:val="Heading1"/>
        <w:pageBreakBefore/>
        <w:pBdr>
          <w:bottom w:val="single" w:sz="12" w:space="4" w:color="155C43"/>
        </w:pBdr>
      </w:pPr>
      <w:r>
        <w:t>1. Document control and executive direction</w:t>
      </w:r>
    </w:p>
    <w:p>
      <w:pPr>
        <w:keepNext/>
        <w:keepLines w:val="0"/>
        <w:widowControl/>
        <w:spacing w:after="160"/>
      </w:pPr>
      <w:r>
        <w:rPr>
          <w:rFonts w:ascii="Calibri" w:hAnsi="Calibri" w:eastAsia="Calibri"/>
          <w:i/>
          <w:color w:val="5A6864"/>
          <w:sz w:val="21"/>
        </w:rPr>
        <w:t>This section defines how the baseline is governed and what the team is building now.</w:t>
      </w:r>
    </w:p>
    <w:p>
      <w:pPr>
        <w:pStyle w:val="Heading2"/>
      </w:pPr>
      <w:r>
        <w:t>1.1 How to use this document</w:t>
      </w:r>
    </w:p>
    <w:p>
      <w:pPr>
        <w:keepNext w:val="0"/>
        <w:keepLines/>
        <w:widowControl/>
      </w:pPr>
      <w:r>
        <w:t>This document is the single source of truth for the Smart GrowKit Version 1 programme. Where earlier plans, requirements, drawings, bills of materials, schedules or status reports conflict with it, this baseline governs until an approved decision changes it.</w:t>
      </w:r>
    </w:p>
    <w:p>
      <w:pPr>
        <w:spacing w:after="80" w:line="283" w:lineRule="auto"/>
        <w:ind w:left="540" w:hanging="271"/>
        <w:keepNext w:val="0"/>
        <w:keepLines/>
        <w:widowControl/>
        <w:numPr>
          <w:ilvl w:val="0"/>
          <w:numId w:val="10"/>
        </w:numPr>
      </w:pPr>
      <w:r>
        <w:t>Product, business and engineering decisions are recorded here before implementation.</w:t>
      </w:r>
    </w:p>
    <w:p>
      <w:pPr>
        <w:spacing w:after="80" w:line="283" w:lineRule="auto"/>
        <w:ind w:left="540" w:hanging="271"/>
        <w:keepNext w:val="0"/>
        <w:keepLines/>
        <w:widowControl/>
        <w:numPr>
          <w:ilvl w:val="0"/>
          <w:numId w:val="10"/>
        </w:numPr>
      </w:pPr>
      <w:r>
        <w:t>Measured prototype evidence overrides estimates; estimates must remain labelled provisional.</w:t>
      </w:r>
    </w:p>
    <w:p>
      <w:pPr>
        <w:spacing w:after="80" w:line="283" w:lineRule="auto"/>
        <w:ind w:left="540" w:hanging="271"/>
        <w:keepNext w:val="0"/>
        <w:keepLines/>
        <w:widowControl/>
        <w:numPr>
          <w:ilvl w:val="0"/>
          <w:numId w:val="10"/>
        </w:numPr>
      </w:pPr>
      <w:r>
        <w:t>Every material change receives an owner, date, rationale and impact in the decision log.</w:t>
      </w:r>
    </w:p>
    <w:p>
      <w:pPr>
        <w:spacing w:after="80" w:line="283" w:lineRule="auto"/>
        <w:ind w:left="540" w:hanging="271"/>
        <w:keepNext w:val="0"/>
        <w:keepLines/>
        <w:widowControl/>
        <w:numPr>
          <w:ilvl w:val="0"/>
          <w:numId w:val="10"/>
        </w:numPr>
      </w:pPr>
      <w:r>
        <w:t>Source code, schematics, calibration records and tests remain separate controlled evidence linked from this baseline.</w:t>
      </w:r>
    </w:p>
    <w:p>
      <w:pPr>
        <w:pStyle w:val="Heading2"/>
      </w:pPr>
      <w:r>
        <w:t>1.2 Evidence precedence</w:t>
      </w:r>
    </w:p>
    <w:p>
      <w:pPr>
        <w:spacing w:after="80" w:line="283" w:lineRule="auto"/>
        <w:ind w:left="540" w:hanging="271"/>
        <w:keepNext w:val="0"/>
        <w:keepLines/>
        <w:widowControl/>
        <w:numPr>
          <w:ilvl w:val="0"/>
          <w:numId w:val="11"/>
        </w:numPr>
      </w:pPr>
      <w:r>
        <w:t>This Source of Truth and its approved revisions.</w:t>
      </w:r>
    </w:p>
    <w:p>
      <w:pPr>
        <w:spacing w:after="80" w:line="283" w:lineRule="auto"/>
        <w:ind w:left="540" w:hanging="271"/>
        <w:keepNext w:val="0"/>
        <w:keepLines/>
        <w:widowControl/>
        <w:numPr>
          <w:ilvl w:val="0"/>
          <w:numId w:val="11"/>
        </w:numPr>
      </w:pPr>
      <w:r>
        <w:t>Current validated test results, signed-off electrical design, BOM and CAD dimensions.</w:t>
      </w:r>
    </w:p>
    <w:p>
      <w:pPr>
        <w:spacing w:after="80" w:line="283" w:lineRule="auto"/>
        <w:ind w:left="540" w:hanging="271"/>
        <w:keepNext w:val="0"/>
        <w:keepLines/>
        <w:widowControl/>
        <w:numPr>
          <w:ilvl w:val="0"/>
          <w:numId w:val="11"/>
        </w:numPr>
      </w:pPr>
      <w:r>
        <w:t>August 2026 project status evidence and current repository state.</w:t>
      </w:r>
    </w:p>
    <w:p>
      <w:pPr>
        <w:spacing w:after="80" w:line="283" w:lineRule="auto"/>
        <w:ind w:left="540" w:hanging="271"/>
        <w:keepNext w:val="0"/>
        <w:keepLines/>
        <w:widowControl/>
        <w:numPr>
          <w:ilvl w:val="0"/>
          <w:numId w:val="11"/>
        </w:numPr>
      </w:pPr>
      <w:r>
        <w:t>2026 requirements and design documents.</w:t>
      </w:r>
    </w:p>
    <w:p>
      <w:pPr>
        <w:spacing w:after="80" w:line="283" w:lineRule="auto"/>
        <w:ind w:left="540" w:hanging="271"/>
        <w:keepNext w:val="0"/>
        <w:keepLines/>
        <w:widowControl/>
        <w:numPr>
          <w:ilvl w:val="0"/>
          <w:numId w:val="11"/>
        </w:numPr>
      </w:pPr>
      <w:r>
        <w:t>2025 electrical drawings and component notes.</w:t>
      </w:r>
    </w:p>
    <w:p>
      <w:pPr>
        <w:spacing w:after="80" w:line="283" w:lineRule="auto"/>
        <w:ind w:left="540" w:hanging="271"/>
        <w:keepNext w:val="0"/>
        <w:keepLines/>
        <w:widowControl/>
        <w:numPr>
          <w:ilvl w:val="0"/>
          <w:numId w:val="11"/>
        </w:numPr>
      </w:pPr>
      <w:r>
        <w:t>2024 GreenSpace concept and business-plan material, retained as historical context only.</w:t>
      </w:r>
    </w:p>
    <w:p>
      <w:pPr>
        <w:pStyle w:val="Heading2"/>
      </w:pPr>
      <w:r>
        <w:t>1.3 Executive direction</w:t>
      </w:r>
    </w:p>
    <w:tbl>
      <w:tblPr>
        <w:tblW w:type="dxa" w:w="9360"/>
        <w:jc w:val="center"/>
        <w:tblLayout w:type="fixed"/>
        <w:tblLook w:firstColumn="1" w:firstRow="1" w:lastColumn="0" w:lastRow="0" w:noHBand="0" w:noVBand="1" w:val="04A0"/>
      </w:tblPr>
      <w:tblGrid>
        <w:gridCol w:w="9360"/>
      </w:tblGrid>
      <w:tr>
        <w:trPr>
          <w:cantSplit/>
        </w:trPr>
        <w:tc>
          <w:tcPr>
            <w:tcW w:type="dxa" w:w="9360"/>
            <w:shd w:fill="EAF4EF"/>
            <w:tcMar>
              <w:top w:w="140" w:type="dxa"/>
              <w:start w:w="180" w:type="dxa"/>
              <w:bottom w:w="140" w:type="dxa"/>
              <w:end w:w="180" w:type="dxa"/>
            </w:tcMar>
            <w:tcBorders>
              <w:start w:val="single" w:sz="28" w:color="155C43"/>
            </w:tcBorders>
          </w:tcPr>
          <w:p>
            <w:pPr>
              <w:spacing w:after="40"/>
            </w:pPr>
            <w:r>
              <w:rPr>
                <w:rFonts w:ascii="Calibri" w:hAnsi="Calibri" w:eastAsia="Calibri"/>
                <w:b/>
                <w:color w:val="155C43"/>
                <w:sz w:val="17"/>
              </w:rPr>
              <w:t>VERSION 1 GOAL</w:t>
            </w:r>
          </w:p>
          <w:p>
            <w:pPr>
              <w:keepNext w:val="0"/>
              <w:keepLines/>
              <w:widowControl/>
              <w:spacing w:after="0"/>
            </w:pPr>
            <w:r>
              <w:t>Prove a compact three-tier hydroponic grow system that can run safely and autonomously without internet, measure the core growing conditions, sync useful records when connected, and support one complete leafy-green grow cycle.</w:t>
            </w:r>
          </w:p>
        </w:tc>
      </w:tr>
    </w:tbl>
    <w:p>
      <w:pPr>
        <w:spacing w:after="0"/>
      </w:pPr>
    </w:p>
    <w:tbl>
      <w:tblPr>
        <w:tblW w:type="dxa" w:w="9360"/>
        <w:jc w:val="center"/>
        <w:tblLayout w:type="fixed"/>
        <w:tblLook w:firstColumn="1" w:firstRow="1" w:lastColumn="0" w:lastRow="0" w:noHBand="0" w:noVBand="1" w:val="04A0"/>
      </w:tblPr>
      <w:tblGrid>
        <w:gridCol w:w="2600"/>
        <w:gridCol w:w="6760"/>
      </w:tblGrid>
      <w:tr>
        <w:trPr>
          <w:tblHeader w:val="true"/>
          <w:cantSplit/>
        </w:trPr>
        <w:tc>
          <w:tcPr>
            <w:tcW w:type="dxa" w:w="26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Decision area</w:t>
            </w:r>
          </w:p>
        </w:tc>
        <w:tc>
          <w:tcPr>
            <w:tcW w:type="dxa" w:w="67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Version 1 baseline</w:t>
            </w:r>
          </w:p>
        </w:tc>
      </w:tr>
      <w:tr>
        <w:trPr>
          <w:cantSplit/>
        </w:trPr>
        <w:tc>
          <w:tcPr>
            <w:tcW w:type="dxa" w:w="2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Product</w:t>
            </w:r>
          </w:p>
        </w:tc>
        <w:tc>
          <w:tcPr>
            <w:tcW w:type="dxa" w:w="6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Three-tier NFT Smart GrowKit for 12–15 leafy greens/herbs.</w:t>
            </w:r>
          </w:p>
        </w:tc>
      </w:tr>
      <w:tr>
        <w:trPr>
          <w:cantSplit/>
        </w:trPr>
        <w:tc>
          <w:tcPr>
            <w:tcW w:type="dxa" w:w="2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Control</w:t>
            </w:r>
          </w:p>
        </w:tc>
        <w:tc>
          <w:tcPr>
            <w:tcW w:type="dxa" w:w="6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ESP32 local automation; cloud failure must not stop the grow cycle.</w:t>
            </w:r>
          </w:p>
        </w:tc>
      </w:tr>
      <w:tr>
        <w:trPr>
          <w:cantSplit/>
        </w:trPr>
        <w:tc>
          <w:tcPr>
            <w:tcW w:type="dxa" w:w="2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Power</w:t>
            </w:r>
          </w:p>
        </w:tc>
        <w:tc>
          <w:tcPr>
            <w:tcW w:type="dxa" w:w="6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External certified 12 V DC supply; low-voltage electronics within the wet frame.</w:t>
            </w:r>
          </w:p>
        </w:tc>
      </w:tr>
      <w:tr>
        <w:trPr>
          <w:cantSplit/>
        </w:trPr>
        <w:tc>
          <w:tcPr>
            <w:tcW w:type="dxa" w:w="2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Data</w:t>
            </w:r>
          </w:p>
        </w:tc>
        <w:tc>
          <w:tcPr>
            <w:tcW w:type="dxa" w:w="6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Supabase Postgres as the system of record for cloud data.</w:t>
            </w:r>
          </w:p>
        </w:tc>
      </w:tr>
      <w:tr>
        <w:trPr>
          <w:cantSplit/>
        </w:trPr>
        <w:tc>
          <w:tcPr>
            <w:tcW w:type="dxa" w:w="2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Integration</w:t>
            </w:r>
          </w:p>
        </w:tc>
        <w:tc>
          <w:tcPr>
            <w:tcW w:type="dxa" w:w="6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MQTT + Node-RED, using free/open-source services during prototype and pilot.</w:t>
            </w:r>
          </w:p>
        </w:tc>
      </w:tr>
      <w:tr>
        <w:trPr>
          <w:cantSplit/>
        </w:trPr>
        <w:tc>
          <w:tcPr>
            <w:tcW w:type="dxa" w:w="2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User experience</w:t>
            </w:r>
          </w:p>
        </w:tc>
        <w:tc>
          <w:tcPr>
            <w:tcW w:type="dxa" w:w="6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Mobile-first PWA for monitoring, settings, alerts and maintenance.</w:t>
            </w:r>
          </w:p>
        </w:tc>
      </w:tr>
      <w:tr>
        <w:trPr>
          <w:cantSplit/>
        </w:trPr>
        <w:tc>
          <w:tcPr>
            <w:tcW w:type="dxa" w:w="2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Release boundary</w:t>
            </w:r>
          </w:p>
        </w:tc>
        <w:tc>
          <w:tcPr>
            <w:tcW w:type="dxa" w:w="6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Manual pH correction; no camera, AI, CO₂ control or automatic nutrient dosing.</w:t>
            </w:r>
          </w:p>
        </w:tc>
      </w:tr>
    </w:tbl>
    <w:p>
      <w:pPr>
        <w:spacing w:after="0"/>
      </w:pPr>
    </w:p>
    <w:p>
      <w:pPr>
        <w:pStyle w:val="Heading1"/>
        <w:pBdr>
          <w:bottom w:val="single" w:sz="12" w:space="4" w:color="155C43"/>
        </w:pBdr>
      </w:pPr>
      <w:r>
        <w:t>2. Business and product foundation</w:t>
      </w:r>
    </w:p>
    <w:p>
      <w:pPr>
        <w:keepNext/>
        <w:keepLines w:val="0"/>
        <w:widowControl/>
        <w:spacing w:after="160"/>
      </w:pPr>
      <w:r>
        <w:rPr>
          <w:rFonts w:ascii="Calibri" w:hAnsi="Calibri" w:eastAsia="Calibri"/>
          <w:i/>
          <w:color w:val="5A6864"/>
          <w:sz w:val="21"/>
        </w:rPr>
        <w:t>The business requirements stay intact; the product boundary is made testable and commercially honest.</w:t>
      </w:r>
    </w:p>
    <w:p>
      <w:pPr>
        <w:pStyle w:val="Heading2"/>
      </w:pPr>
      <w:r>
        <w:t>2.1 Vision and purpose</w:t>
      </w:r>
    </w:p>
    <w:p>
      <w:pPr>
        <w:keepNext w:val="0"/>
        <w:keepLines/>
        <w:widowControl/>
      </w:pPr>
      <w:r>
        <w:t>Zovuyo Innovations exists to make reliable home food growing practical for urban South Africans with limited space, time and gardening experience. The Smart GrowKit uses hydroponics, automation and simple digital guidance to help households grow fresh leafy produce throughout the year.</w:t>
      </w:r>
    </w:p>
    <w:p>
      <w:pPr>
        <w:pStyle w:val="Heading2"/>
      </w:pPr>
      <w:r>
        <w:t>2.2 Primary customer</w:t>
      </w:r>
    </w:p>
    <w:tbl>
      <w:tblPr>
        <w:tblW w:type="dxa" w:w="9360"/>
        <w:jc w:val="center"/>
        <w:tblLayout w:type="fixed"/>
        <w:tblLook w:firstColumn="1" w:firstRow="1" w:lastColumn="0" w:lastRow="0" w:noHBand="0" w:noVBand="1" w:val="04A0"/>
      </w:tblPr>
      <w:tblGrid>
        <w:gridCol w:w="2200"/>
        <w:gridCol w:w="7160"/>
      </w:tblGrid>
      <w:tr>
        <w:trPr>
          <w:tblHeader w:val="true"/>
          <w:cantSplit/>
        </w:trPr>
        <w:tc>
          <w:tcPr>
            <w:tcW w:type="dxa" w:w="22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Dimension</w:t>
            </w:r>
          </w:p>
        </w:tc>
        <w:tc>
          <w:tcPr>
            <w:tcW w:type="dxa" w:w="71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Working definition</w:t>
            </w:r>
          </w:p>
        </w:tc>
      </w:tr>
      <w:tr>
        <w:trPr>
          <w:cantSplit/>
        </w:trPr>
        <w:tc>
          <w:tcPr>
            <w:tcW w:type="dxa" w:w="22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Who</w:t>
            </w:r>
          </w:p>
        </w:tc>
        <w:tc>
          <w:tcPr>
            <w:tcW w:type="dxa" w:w="71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Urban and peri-urban households; initially Durban/eThekwini and similar climates.</w:t>
            </w:r>
          </w:p>
        </w:tc>
      </w:tr>
      <w:tr>
        <w:trPr>
          <w:cantSplit/>
        </w:trPr>
        <w:tc>
          <w:tcPr>
            <w:tcW w:type="dxa" w:w="22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Context</w:t>
            </w:r>
          </w:p>
        </w:tc>
        <w:tc>
          <w:tcPr>
            <w:tcW w:type="dxa" w:w="71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Limited floor area, unreliable gardening routines, high food costs, smartphone access.</w:t>
            </w:r>
          </w:p>
        </w:tc>
      </w:tr>
      <w:tr>
        <w:trPr>
          <w:cantSplit/>
        </w:trPr>
        <w:tc>
          <w:tcPr>
            <w:tcW w:type="dxa" w:w="22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Needs</w:t>
            </w:r>
          </w:p>
        </w:tc>
        <w:tc>
          <w:tcPr>
            <w:tcW w:type="dxa" w:w="71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Simple setup, predictable operation, low maintenance, clear alerts, local support.</w:t>
            </w:r>
          </w:p>
        </w:tc>
      </w:tr>
      <w:tr>
        <w:trPr>
          <w:cantSplit/>
        </w:trPr>
        <w:tc>
          <w:tcPr>
            <w:tcW w:type="dxa" w:w="22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Initial crops</w:t>
            </w:r>
          </w:p>
        </w:tc>
        <w:tc>
          <w:tcPr>
            <w:tcW w:type="dxa" w:w="71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Leafy greens and herbs with relatively short cycles and similar nutrient needs.</w:t>
            </w:r>
          </w:p>
        </w:tc>
      </w:tr>
      <w:tr>
        <w:trPr>
          <w:cantSplit/>
        </w:trPr>
        <w:tc>
          <w:tcPr>
            <w:tcW w:type="dxa" w:w="22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Buying logic</w:t>
            </w:r>
          </w:p>
        </w:tc>
        <w:tc>
          <w:tcPr>
            <w:tcW w:type="dxa" w:w="71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Convenience, food freshness, learning and household resilience—not unproven financial payback.</w:t>
            </w:r>
          </w:p>
        </w:tc>
      </w:tr>
    </w:tbl>
    <w:p>
      <w:pPr>
        <w:spacing w:after="0"/>
      </w:pPr>
    </w:p>
    <w:p>
      <w:pPr>
        <w:pStyle w:val="Heading2"/>
      </w:pPr>
      <w:r>
        <w:t>2.3 Value proposition</w:t>
      </w:r>
    </w:p>
    <w:p>
      <w:pPr>
        <w:spacing w:after="80" w:line="283" w:lineRule="auto"/>
        <w:ind w:left="540" w:hanging="271"/>
        <w:keepNext w:val="0"/>
        <w:keepLines/>
        <w:widowControl/>
        <w:numPr>
          <w:ilvl w:val="0"/>
          <w:numId w:val="12"/>
        </w:numPr>
      </w:pPr>
      <w:r>
        <w:t>Automates recurring pump, light and airflow tasks while keeping manual override available.</w:t>
      </w:r>
    </w:p>
    <w:p>
      <w:pPr>
        <w:spacing w:after="80" w:line="283" w:lineRule="auto"/>
        <w:ind w:left="540" w:hanging="271"/>
        <w:keepNext w:val="0"/>
        <w:keepLines/>
        <w:widowControl/>
        <w:numPr>
          <w:ilvl w:val="0"/>
          <w:numId w:val="12"/>
        </w:numPr>
      </w:pPr>
      <w:r>
        <w:t>Shows pH, EC, water level, water temperature, air temperature and humidity in plain language.</w:t>
      </w:r>
    </w:p>
    <w:p>
      <w:pPr>
        <w:spacing w:after="80" w:line="283" w:lineRule="auto"/>
        <w:ind w:left="540" w:hanging="271"/>
        <w:keepNext w:val="0"/>
        <w:keepLines/>
        <w:widowControl/>
        <w:numPr>
          <w:ilvl w:val="0"/>
          <w:numId w:val="12"/>
        </w:numPr>
      </w:pPr>
      <w:r>
        <w:t>Continues essential operation during internet outages and synchronises later.</w:t>
      </w:r>
    </w:p>
    <w:p>
      <w:pPr>
        <w:spacing w:after="80" w:line="283" w:lineRule="auto"/>
        <w:ind w:left="540" w:hanging="271"/>
        <w:keepNext w:val="0"/>
        <w:keepLines/>
        <w:widowControl/>
        <w:numPr>
          <w:ilvl w:val="0"/>
          <w:numId w:val="12"/>
        </w:numPr>
      </w:pPr>
      <w:r>
        <w:t>Uses a compact vertical footprint suited to homes, balconies and protected patios.</w:t>
      </w:r>
    </w:p>
    <w:p>
      <w:pPr>
        <w:spacing w:after="80" w:line="283" w:lineRule="auto"/>
        <w:ind w:left="540" w:hanging="271"/>
        <w:keepNext w:val="0"/>
        <w:keepLines/>
        <w:widowControl/>
        <w:numPr>
          <w:ilvl w:val="0"/>
          <w:numId w:val="12"/>
        </w:numPr>
      </w:pPr>
      <w:r>
        <w:t>Provides crop profiles, alerts and maintenance guidance rather than raw sensor numbers alone.</w:t>
      </w:r>
    </w:p>
    <w:p>
      <w:pPr>
        <w:pStyle w:val="Heading2"/>
      </w:pPr>
      <w:r>
        <w:t>2.4 Commercial guardrails</w:t>
      </w:r>
    </w:p>
    <w:tbl>
      <w:tblPr>
        <w:tblW w:type="dxa" w:w="9360"/>
        <w:jc w:val="center"/>
        <w:tblLayout w:type="fixed"/>
        <w:tblLook w:firstColumn="1" w:firstRow="1" w:lastColumn="0" w:lastRow="0" w:noHBand="0" w:noVBand="1" w:val="04A0"/>
      </w:tblPr>
      <w:tblGrid>
        <w:gridCol w:w="2150"/>
        <w:gridCol w:w="1800"/>
        <w:gridCol w:w="5410"/>
      </w:tblGrid>
      <w:tr>
        <w:trPr>
          <w:tblHeader w:val="true"/>
          <w:cantSplit/>
        </w:trPr>
        <w:tc>
          <w:tcPr>
            <w:tcW w:type="dxa" w:w="21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Metric</w:t>
            </w:r>
          </w:p>
        </w:tc>
        <w:tc>
          <w:tcPr>
            <w:tcW w:type="dxa" w:w="18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Target</w:t>
            </w:r>
          </w:p>
        </w:tc>
        <w:tc>
          <w:tcPr>
            <w:tcW w:type="dxa" w:w="541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Status / evidence required</w:t>
            </w:r>
          </w:p>
        </w:tc>
      </w:tr>
      <w:tr>
        <w:trPr>
          <w:cantSplit/>
        </w:trPr>
        <w:tc>
          <w:tcPr>
            <w:tcW w:type="dxa" w:w="2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Manufacturing cost</w:t>
            </w:r>
          </w:p>
        </w:tc>
        <w:tc>
          <w:tcPr>
            <w:tcW w:type="dxa" w:w="1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&lt; R4,500 per unit</w:t>
            </w:r>
          </w:p>
        </w:tc>
        <w:tc>
          <w:tcPr>
            <w:tcW w:type="dxa" w:w="54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Provisional; validate with complete production BOM and labour.</w:t>
            </w:r>
          </w:p>
        </w:tc>
      </w:tr>
      <w:tr>
        <w:trPr>
          <w:cantSplit/>
        </w:trPr>
        <w:tc>
          <w:tcPr>
            <w:tcW w:type="dxa" w:w="21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Retail price</w:t>
            </w:r>
          </w:p>
        </w:tc>
        <w:tc>
          <w:tcPr>
            <w:tcW w:type="dxa" w:w="1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R7,500–R9,999</w:t>
            </w:r>
          </w:p>
        </w:tc>
        <w:tc>
          <w:tcPr>
            <w:tcW w:type="dxa" w:w="54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Provisional; validate with customer interviews and channel margin.</w:t>
            </w:r>
          </w:p>
        </w:tc>
      </w:tr>
      <w:tr>
        <w:trPr>
          <w:cantSplit/>
        </w:trPr>
        <w:tc>
          <w:tcPr>
            <w:tcW w:type="dxa" w:w="2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Electricity</w:t>
            </w:r>
          </w:p>
        </w:tc>
        <w:tc>
          <w:tcPr>
            <w:tcW w:type="dxa" w:w="1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&lt; R350/month</w:t>
            </w:r>
          </w:p>
        </w:tc>
        <w:tc>
          <w:tcPr>
            <w:tcW w:type="dxa" w:w="54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Validate from measured wattage, duty cycle and local tariff.</w:t>
            </w:r>
          </w:p>
        </w:tc>
      </w:tr>
      <w:tr>
        <w:trPr>
          <w:cantSplit/>
        </w:trPr>
        <w:tc>
          <w:tcPr>
            <w:tcW w:type="dxa" w:w="21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Consumables</w:t>
            </w:r>
          </w:p>
        </w:tc>
        <w:tc>
          <w:tcPr>
            <w:tcW w:type="dxa" w:w="1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&lt; R150/month</w:t>
            </w:r>
          </w:p>
        </w:tc>
        <w:tc>
          <w:tcPr>
            <w:tcW w:type="dxa" w:w="54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Validate nutrient, seedling, pH and replacement-item usage.</w:t>
            </w:r>
          </w:p>
        </w:tc>
      </w:tr>
      <w:tr>
        <w:trPr>
          <w:cantSplit/>
        </w:trPr>
        <w:tc>
          <w:tcPr>
            <w:tcW w:type="dxa" w:w="2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Useful capacity</w:t>
            </w:r>
          </w:p>
        </w:tc>
        <w:tc>
          <w:tcPr>
            <w:tcW w:type="dxa" w:w="1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12–15 plants</w:t>
            </w:r>
          </w:p>
        </w:tc>
        <w:tc>
          <w:tcPr>
            <w:tcW w:type="dxa" w:w="54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Validate spacing, light distribution and crop trial.</w:t>
            </w:r>
          </w:p>
        </w:tc>
      </w:tr>
      <w:tr>
        <w:trPr>
          <w:cantSplit/>
        </w:trPr>
        <w:tc>
          <w:tcPr>
            <w:tcW w:type="dxa" w:w="21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Pilot objective</w:t>
            </w:r>
          </w:p>
        </w:tc>
        <w:tc>
          <w:tcPr>
            <w:tcW w:type="dxa" w:w="1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Reliable complete grow cycle</w:t>
            </w:r>
          </w:p>
        </w:tc>
        <w:tc>
          <w:tcPr>
            <w:tcW w:type="dxa" w:w="54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Measure yield, uptime, interventions and user effort.</w:t>
            </w:r>
          </w:p>
        </w:tc>
      </w:tr>
    </w:tbl>
    <w:p>
      <w:pPr>
        <w:spacing w:after="0"/>
      </w:pPr>
    </w:p>
    <w:tbl>
      <w:tblPr>
        <w:tblW w:type="dxa" w:w="9360"/>
        <w:jc w:val="center"/>
        <w:tblLayout w:type="fixed"/>
        <w:tblLook w:firstColumn="1" w:firstRow="1" w:lastColumn="0" w:lastRow="0" w:noHBand="0" w:noVBand="1" w:val="04A0"/>
      </w:tblPr>
      <w:tblGrid>
        <w:gridCol w:w="9360"/>
      </w:tblGrid>
      <w:tr>
        <w:trPr>
          <w:cantSplit/>
        </w:trPr>
        <w:tc>
          <w:tcPr>
            <w:tcW w:type="dxa" w:w="9360"/>
            <w:shd w:fill="FFF4D9"/>
            <w:tcMar>
              <w:top w:w="140" w:type="dxa"/>
              <w:start w:w="180" w:type="dxa"/>
              <w:bottom w:w="140" w:type="dxa"/>
              <w:end w:w="180" w:type="dxa"/>
            </w:tcMar>
            <w:tcBorders>
              <w:start w:val="single" w:sz="28" w:color="155C43"/>
            </w:tcBorders>
          </w:tcPr>
          <w:p>
            <w:pPr>
              <w:spacing w:after="40"/>
            </w:pPr>
            <w:r>
              <w:rPr>
                <w:rFonts w:ascii="Calibri" w:hAnsi="Calibri" w:eastAsia="Calibri"/>
                <w:b/>
                <w:color w:val="155C43"/>
                <w:sz w:val="17"/>
              </w:rPr>
              <w:t>CLAIMS DISCIPLINE</w:t>
            </w:r>
          </w:p>
          <w:p>
            <w:pPr>
              <w:keepNext w:val="0"/>
              <w:keepLines/>
              <w:widowControl/>
              <w:spacing w:after="0"/>
            </w:pPr>
            <w:r>
              <w:t>Do not publish yield, water-saving, payback or food-cost claims until a controlled grow trial produces traceable evidence.</w:t>
            </w:r>
          </w:p>
        </w:tc>
      </w:tr>
    </w:tbl>
    <w:p>
      <w:pPr>
        <w:spacing w:after="0"/>
      </w:pPr>
    </w:p>
    <w:p>
      <w:pPr>
        <w:pStyle w:val="Heading1"/>
        <w:pBdr>
          <w:bottom w:val="single" w:sz="12" w:space="4" w:color="155C43"/>
        </w:pBdr>
      </w:pPr>
      <w:r>
        <w:t>3. Version 1 product scope</w:t>
      </w:r>
    </w:p>
    <w:p>
      <w:pPr>
        <w:keepNext/>
        <w:keepLines w:val="0"/>
        <w:widowControl/>
        <w:spacing w:after="160"/>
      </w:pPr>
      <w:r>
        <w:rPr>
          <w:rFonts w:ascii="Calibri" w:hAnsi="Calibri" w:eastAsia="Calibri"/>
          <w:i/>
          <w:color w:val="5A6864"/>
          <w:sz w:val="21"/>
        </w:rPr>
        <w:t>A deliberately narrow release that can be built, tested, demonstrated and costed.</w:t>
      </w:r>
    </w:p>
    <w:p>
      <w:pPr>
        <w:pStyle w:val="Heading2"/>
      </w:pPr>
      <w:r>
        <w:t>3.1 Physical baseline</w:t>
      </w:r>
    </w:p>
    <w:tbl>
      <w:tblPr>
        <w:tblW w:type="dxa" w:w="9360"/>
        <w:jc w:val="center"/>
        <w:tblLayout w:type="fixed"/>
        <w:tblLook w:firstColumn="1" w:firstRow="1" w:lastColumn="0" w:lastRow="0" w:noHBand="0" w:noVBand="1" w:val="04A0"/>
      </w:tblPr>
      <w:tblGrid>
        <w:gridCol w:w="1900"/>
        <w:gridCol w:w="4030"/>
        <w:gridCol w:w="3430"/>
      </w:tblGrid>
      <w:tr>
        <w:trPr>
          <w:tblHeader w:val="true"/>
          <w:cantSplit/>
        </w:trPr>
        <w:tc>
          <w:tcPr>
            <w:tcW w:type="dxa" w:w="19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Attribute</w:t>
            </w:r>
          </w:p>
        </w:tc>
        <w:tc>
          <w:tcPr>
            <w:tcW w:type="dxa" w:w="403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Baseline</w:t>
            </w:r>
          </w:p>
        </w:tc>
        <w:tc>
          <w:tcPr>
            <w:tcW w:type="dxa" w:w="343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Verification</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Growing method</w:t>
            </w:r>
          </w:p>
        </w:tc>
        <w:tc>
          <w:tcPr>
            <w:tcW w:type="dxa" w:w="40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Three-tier nutrient film technique (NFT)</w:t>
            </w:r>
          </w:p>
        </w:tc>
        <w:tc>
          <w:tcPr>
            <w:tcW w:type="dxa" w:w="3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Water-flow and root-zone test</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Plant capacity</w:t>
            </w:r>
          </w:p>
        </w:tc>
        <w:tc>
          <w:tcPr>
            <w:tcW w:type="dxa" w:w="40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12–15 leafy greens/herbs</w:t>
            </w:r>
          </w:p>
        </w:tc>
        <w:tc>
          <w:tcPr>
            <w:tcW w:type="dxa" w:w="3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CAD spacing + full crop trial</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Maximum envelope</w:t>
            </w:r>
          </w:p>
        </w:tc>
        <w:tc>
          <w:tcPr>
            <w:tcW w:type="dxa" w:w="40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2,000 H × 600 W × 450 D mm</w:t>
            </w:r>
          </w:p>
        </w:tc>
        <w:tc>
          <w:tcPr>
            <w:tcW w:type="dxa" w:w="3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Provisional until CAD/prototype measure</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Reservoir</w:t>
            </w:r>
          </w:p>
        </w:tc>
        <w:tc>
          <w:tcPr>
            <w:tcW w:type="dxa" w:w="40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20 L nominal</w:t>
            </w:r>
          </w:p>
        </w:tc>
        <w:tc>
          <w:tcPr>
            <w:tcW w:type="dxa" w:w="3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Working volume and low-level margin test</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Location</w:t>
            </w:r>
          </w:p>
        </w:tc>
        <w:tc>
          <w:tcPr>
            <w:tcW w:type="dxa" w:w="40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Indoor, balcony or protected patio</w:t>
            </w:r>
          </w:p>
        </w:tc>
        <w:tc>
          <w:tcPr>
            <w:tcW w:type="dxa" w:w="3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Electronics remain weather protected</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Mobility</w:t>
            </w:r>
          </w:p>
        </w:tc>
        <w:tc>
          <w:tcPr>
            <w:tcW w:type="dxa" w:w="40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Relocate only after draining reservoir</w:t>
            </w:r>
          </w:p>
        </w:tc>
        <w:tc>
          <w:tcPr>
            <w:tcW w:type="dxa" w:w="3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Dry mass target &lt; 25 kg</w:t>
            </w:r>
          </w:p>
        </w:tc>
      </w:tr>
    </w:tbl>
    <w:p>
      <w:pPr>
        <w:spacing w:after="0"/>
      </w:pPr>
    </w:p>
    <w:p>
      <w:pPr>
        <w:pStyle w:val="Heading2"/>
      </w:pPr>
      <w:r>
        <w:t>3.2 Core sensing baseline</w:t>
      </w:r>
    </w:p>
    <w:tbl>
      <w:tblPr>
        <w:tblW w:type="dxa" w:w="9360"/>
        <w:jc w:val="center"/>
        <w:tblLayout w:type="fixed"/>
        <w:tblLook w:firstColumn="1" w:firstRow="1" w:lastColumn="0" w:lastRow="0" w:noHBand="0" w:noVBand="1" w:val="04A0"/>
      </w:tblPr>
      <w:tblGrid>
        <w:gridCol w:w="780"/>
        <w:gridCol w:w="2570"/>
        <w:gridCol w:w="2900"/>
        <w:gridCol w:w="3110"/>
      </w:tblGrid>
      <w:tr>
        <w:trPr>
          <w:tblHeader w:val="true"/>
          <w:cantSplit/>
        </w:trPr>
        <w:tc>
          <w:tcPr>
            <w:tcW w:type="dxa" w:w="78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ID</w:t>
            </w:r>
          </w:p>
        </w:tc>
        <w:tc>
          <w:tcPr>
            <w:tcW w:type="dxa" w:w="257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Measurement</w:t>
            </w:r>
          </w:p>
        </w:tc>
        <w:tc>
          <w:tcPr>
            <w:tcW w:type="dxa" w:w="29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Purpose</w:t>
            </w:r>
          </w:p>
        </w:tc>
        <w:tc>
          <w:tcPr>
            <w:tcW w:type="dxa" w:w="311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Version 1 rule</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S-01</w:t>
            </w:r>
          </w:p>
        </w:tc>
        <w:tc>
          <w:tcPr>
            <w:tcW w:type="dxa" w:w="25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Air temperature + relative humidity</w:t>
            </w:r>
          </w:p>
        </w:tc>
        <w:tc>
          <w:tcPr>
            <w:tcW w:type="dxa" w:w="2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Growing environment and ventilation</w:t>
            </w:r>
          </w:p>
        </w:tc>
        <w:tc>
          <w:tcPr>
            <w:tcW w:type="dxa" w:w="31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One combined digital module</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S-02</w:t>
            </w:r>
          </w:p>
        </w:tc>
        <w:tc>
          <w:tcPr>
            <w:tcW w:type="dxa" w:w="25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Water temperature</w:t>
            </w:r>
          </w:p>
        </w:tc>
        <w:tc>
          <w:tcPr>
            <w:tcW w:type="dxa" w:w="2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Nutrient/root-zone protection</w:t>
            </w:r>
          </w:p>
        </w:tc>
        <w:tc>
          <w:tcPr>
            <w:tcW w:type="dxa" w:w="31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Waterproof probe</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S-03</w:t>
            </w:r>
          </w:p>
        </w:tc>
        <w:tc>
          <w:tcPr>
            <w:tcW w:type="dxa" w:w="25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pH</w:t>
            </w:r>
          </w:p>
        </w:tc>
        <w:tc>
          <w:tcPr>
            <w:tcW w:type="dxa" w:w="2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Nutrient availability guidance</w:t>
            </w:r>
          </w:p>
        </w:tc>
        <w:tc>
          <w:tcPr>
            <w:tcW w:type="dxa" w:w="31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Calibrated probe; manual correction</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S-04</w:t>
            </w:r>
          </w:p>
        </w:tc>
        <w:tc>
          <w:tcPr>
            <w:tcW w:type="dxa" w:w="25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Electrical conductivity (EC)</w:t>
            </w:r>
          </w:p>
        </w:tc>
        <w:tc>
          <w:tcPr>
            <w:tcW w:type="dxa" w:w="2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Nutrient strength guidance</w:t>
            </w:r>
          </w:p>
        </w:tc>
        <w:tc>
          <w:tcPr>
            <w:tcW w:type="dxa" w:w="31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Calibrated probe</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S-05</w:t>
            </w:r>
          </w:p>
        </w:tc>
        <w:tc>
          <w:tcPr>
            <w:tcW w:type="dxa" w:w="25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Water level</w:t>
            </w:r>
          </w:p>
        </w:tc>
        <w:tc>
          <w:tcPr>
            <w:tcW w:type="dxa" w:w="2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Prevent dry pump and alert refill</w:t>
            </w:r>
          </w:p>
        </w:tc>
        <w:tc>
          <w:tcPr>
            <w:tcW w:type="dxa" w:w="31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Prefer non-contact or protected sensor</w:t>
            </w:r>
          </w:p>
        </w:tc>
      </w:tr>
    </w:tbl>
    <w:p>
      <w:pPr>
        <w:spacing w:after="0"/>
      </w:pPr>
    </w:p>
    <w:p>
      <w:pPr>
        <w:pStyle w:val="Heading2"/>
      </w:pPr>
      <w:r>
        <w:t>3.3 Controlled outputs</w:t>
      </w:r>
    </w:p>
    <w:tbl>
      <w:tblPr>
        <w:tblW w:type="dxa" w:w="9360"/>
        <w:jc w:val="center"/>
        <w:tblLayout w:type="fixed"/>
        <w:tblLook w:firstColumn="1" w:firstRow="1" w:lastColumn="0" w:lastRow="0" w:noHBand="0" w:noVBand="1" w:val="04A0"/>
      </w:tblPr>
      <w:tblGrid>
        <w:gridCol w:w="2100"/>
        <w:gridCol w:w="4460"/>
        <w:gridCol w:w="2800"/>
      </w:tblGrid>
      <w:tr>
        <w:trPr>
          <w:tblHeader w:val="true"/>
          <w:cantSplit/>
        </w:trPr>
        <w:tc>
          <w:tcPr>
            <w:tcW w:type="dxa" w:w="21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Output</w:t>
            </w:r>
          </w:p>
        </w:tc>
        <w:tc>
          <w:tcPr>
            <w:tcW w:type="dxa" w:w="44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Baseline behavior</w:t>
            </w:r>
          </w:p>
        </w:tc>
        <w:tc>
          <w:tcPr>
            <w:tcW w:type="dxa" w:w="28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Safety state</w:t>
            </w:r>
          </w:p>
        </w:tc>
      </w:tr>
      <w:tr>
        <w:trPr>
          <w:cantSplit/>
        </w:trPr>
        <w:tc>
          <w:tcPr>
            <w:tcW w:type="dxa" w:w="2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Circulation pump</w:t>
            </w:r>
          </w:p>
        </w:tc>
        <w:tc>
          <w:tcPr>
            <w:tcW w:type="dxa" w:w="44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Schedule + low-level interlock + manual override</w:t>
            </w:r>
          </w:p>
        </w:tc>
        <w:tc>
          <w:tcPr>
            <w:tcW w:type="dxa" w:w="2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Off on low level or controller fault</w:t>
            </w:r>
          </w:p>
        </w:tc>
      </w:tr>
      <w:tr>
        <w:trPr>
          <w:cantSplit/>
        </w:trPr>
        <w:tc>
          <w:tcPr>
            <w:tcW w:type="dxa" w:w="21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Grow light</w:t>
            </w:r>
          </w:p>
        </w:tc>
        <w:tc>
          <w:tcPr>
            <w:tcW w:type="dxa" w:w="44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Daily photoperiod schedule + override</w:t>
            </w:r>
          </w:p>
        </w:tc>
        <w:tc>
          <w:tcPr>
            <w:tcW w:type="dxa" w:w="2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Off on controller fault</w:t>
            </w:r>
          </w:p>
        </w:tc>
      </w:tr>
      <w:tr>
        <w:trPr>
          <w:cantSplit/>
        </w:trPr>
        <w:tc>
          <w:tcPr>
            <w:tcW w:type="dxa" w:w="2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Ventilation fan</w:t>
            </w:r>
          </w:p>
        </w:tc>
        <w:tc>
          <w:tcPr>
            <w:tcW w:type="dxa" w:w="44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Temperature/humidity rule + minimum cycle</w:t>
            </w:r>
          </w:p>
        </w:tc>
        <w:tc>
          <w:tcPr>
            <w:tcW w:type="dxa" w:w="2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Configurable; default off</w:t>
            </w:r>
          </w:p>
        </w:tc>
      </w:tr>
      <w:tr>
        <w:trPr>
          <w:cantSplit/>
        </w:trPr>
        <w:tc>
          <w:tcPr>
            <w:tcW w:type="dxa" w:w="21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Water heater</w:t>
            </w:r>
          </w:p>
        </w:tc>
        <w:tc>
          <w:tcPr>
            <w:tcW w:type="dxa" w:w="44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Conditional option after engineering validation</w:t>
            </w:r>
          </w:p>
        </w:tc>
        <w:tc>
          <w:tcPr>
            <w:tcW w:type="dxa" w:w="2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Off on sensor fault/over-temperature</w:t>
            </w:r>
          </w:p>
        </w:tc>
      </w:tr>
    </w:tbl>
    <w:p>
      <w:pPr>
        <w:spacing w:after="0"/>
      </w:pPr>
    </w:p>
    <w:p>
      <w:pPr>
        <w:pStyle w:val="Heading2"/>
      </w:pPr>
      <w:r>
        <w:t>3.4 Explicitly outside Version 1</w:t>
      </w:r>
    </w:p>
    <w:p>
      <w:pPr>
        <w:spacing w:after="80" w:line="283" w:lineRule="auto"/>
        <w:ind w:left="540" w:hanging="271"/>
        <w:keepNext w:val="0"/>
        <w:keepLines/>
        <w:widowControl/>
        <w:numPr>
          <w:ilvl w:val="0"/>
          <w:numId w:val="13"/>
        </w:numPr>
      </w:pPr>
      <w:r>
        <w:t>Automatic pH or nutrient chemical dosing; correction remains guided and manual.</w:t>
      </w:r>
    </w:p>
    <w:p>
      <w:pPr>
        <w:spacing w:after="80" w:line="283" w:lineRule="auto"/>
        <w:ind w:left="540" w:hanging="271"/>
        <w:keepNext w:val="0"/>
        <w:keepLines/>
        <w:widowControl/>
        <w:numPr>
          <w:ilvl w:val="0"/>
          <w:numId w:val="13"/>
        </w:numPr>
      </w:pPr>
      <w:r>
        <w:t>Camera, time-lapse, image recognition, pest detection or crop-yield AI.</w:t>
      </w:r>
    </w:p>
    <w:p>
      <w:pPr>
        <w:spacing w:after="80" w:line="283" w:lineRule="auto"/>
        <w:ind w:left="540" w:hanging="271"/>
        <w:keepNext w:val="0"/>
        <w:keepLines/>
        <w:widowControl/>
        <w:numPr>
          <w:ilvl w:val="0"/>
          <w:numId w:val="13"/>
        </w:numPr>
      </w:pPr>
      <w:r>
        <w:t>CO₂ sensing or control, household voice-assistant integration, and multi-site fleet optimisation.</w:t>
      </w:r>
    </w:p>
    <w:p>
      <w:pPr>
        <w:spacing w:after="80" w:line="283" w:lineRule="auto"/>
        <w:ind w:left="540" w:hanging="271"/>
        <w:keepNext w:val="0"/>
        <w:keepLines/>
        <w:widowControl/>
        <w:numPr>
          <w:ilvl w:val="0"/>
          <w:numId w:val="13"/>
        </w:numPr>
      </w:pPr>
      <w:r>
        <w:t>Formal production certification and mass manufacture; V1 prepares evidence for those later gates.</w:t>
      </w:r>
    </w:p>
    <w:p>
      <w:pPr>
        <w:pStyle w:val="Heading1"/>
        <w:pageBreakBefore/>
        <w:pBdr>
          <w:bottom w:val="single" w:sz="12" w:space="4" w:color="155C43"/>
        </w:pBdr>
      </w:pPr>
      <w:r>
        <w:t>4. Target system architecture</w:t>
      </w:r>
    </w:p>
    <w:p>
      <w:pPr>
        <w:keepNext/>
        <w:keepLines w:val="0"/>
        <w:widowControl/>
        <w:spacing w:after="160"/>
      </w:pPr>
      <w:r>
        <w:rPr>
          <w:rFonts w:ascii="Calibri" w:hAnsi="Calibri" w:eastAsia="Calibri"/>
          <w:i/>
          <w:color w:val="5A6864"/>
          <w:sz w:val="21"/>
        </w:rPr>
        <w:t>The cloud adds visibility and convenience; the GrowKit remains responsible for safe local control.</w:t>
      </w:r>
    </w:p>
    <w:p>
      <w:pPr>
        <w:spacing w:after="8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zovuyo_architecture.png"/>
                    <pic:cNvPicPr/>
                  </pic:nvPicPr>
                  <pic:blipFill>
                    <a:blip r:embed="rId9"/>
                    <a:stretch>
                      <a:fillRect/>
                    </a:stretch>
                  </pic:blipFill>
                  <pic:spPr>
                    <a:xfrm>
                      <a:off x="0" y="0"/>
                      <a:ext cx="5806440" cy="3870960"/>
                    </a:xfrm>
                    <a:prstGeom prst="rect"/>
                  </pic:spPr>
                </pic:pic>
              </a:graphicData>
            </a:graphic>
          </wp:inline>
        </w:drawing>
      </w:r>
    </w:p>
    <w:p>
      <w:pPr>
        <w:spacing w:after="160"/>
        <w:jc w:val="center"/>
      </w:pPr>
      <w:r>
        <w:rPr>
          <w:rFonts w:ascii="Calibri" w:hAnsi="Calibri" w:eastAsia="Calibri"/>
          <w:i/>
          <w:color w:val="5A6864"/>
          <w:sz w:val="16"/>
        </w:rPr>
        <w:t>Figure 1. Zovuyo Version 1 logical architecture and data flow.</w:t>
      </w:r>
    </w:p>
    <w:p>
      <w:pPr>
        <w:pStyle w:val="Heading2"/>
      </w:pPr>
      <w:r>
        <w:t>4.1 Architecture principles</w:t>
      </w:r>
    </w:p>
    <w:p>
      <w:pPr>
        <w:spacing w:after="80" w:line="283" w:lineRule="auto"/>
        <w:ind w:left="540" w:hanging="271"/>
        <w:keepNext w:val="0"/>
        <w:keepLines/>
        <w:widowControl/>
        <w:numPr>
          <w:ilvl w:val="0"/>
          <w:numId w:val="14"/>
        </w:numPr>
      </w:pPr>
      <w:r>
        <w:t>Local-first: pump, light, fan, heater interlocks and fallback schedules run on the ESP32.</w:t>
      </w:r>
    </w:p>
    <w:p>
      <w:pPr>
        <w:spacing w:after="80" w:line="283" w:lineRule="auto"/>
        <w:ind w:left="540" w:hanging="271"/>
        <w:keepNext w:val="0"/>
        <w:keepLines/>
        <w:widowControl/>
        <w:numPr>
          <w:ilvl w:val="0"/>
          <w:numId w:val="14"/>
        </w:numPr>
      </w:pPr>
      <w:r>
        <w:t>Store-and-forward: measurements are buffered locally during outages and synchronised after reconnection.</w:t>
      </w:r>
    </w:p>
    <w:p>
      <w:pPr>
        <w:spacing w:after="80" w:line="283" w:lineRule="auto"/>
        <w:ind w:left="540" w:hanging="271"/>
        <w:keepNext w:val="0"/>
        <w:keepLines/>
        <w:widowControl/>
        <w:numPr>
          <w:ilvl w:val="0"/>
          <w:numId w:val="14"/>
        </w:numPr>
      </w:pPr>
      <w:r>
        <w:t>Loose coupling: MQTT topics isolate firmware from web/database implementation details.</w:t>
      </w:r>
    </w:p>
    <w:p>
      <w:pPr>
        <w:spacing w:after="80" w:line="283" w:lineRule="auto"/>
        <w:ind w:left="540" w:hanging="271"/>
        <w:keepNext w:val="0"/>
        <w:keepLines/>
        <w:widowControl/>
        <w:numPr>
          <w:ilvl w:val="0"/>
          <w:numId w:val="14"/>
        </w:numPr>
      </w:pPr>
      <w:r>
        <w:t>One cloud record: Supabase Postgres holds users, kits, configuration, time-series records and audit history.</w:t>
      </w:r>
    </w:p>
    <w:p>
      <w:pPr>
        <w:spacing w:after="80" w:line="283" w:lineRule="auto"/>
        <w:ind w:left="540" w:hanging="271"/>
        <w:keepNext w:val="0"/>
        <w:keepLines/>
        <w:widowControl/>
        <w:numPr>
          <w:ilvl w:val="0"/>
          <w:numId w:val="14"/>
        </w:numPr>
      </w:pPr>
      <w:r>
        <w:t>Least privilege: every device and user receives only the minimum data and command permissions required.</w:t>
      </w:r>
    </w:p>
    <w:p>
      <w:pPr>
        <w:spacing w:after="80" w:line="283" w:lineRule="auto"/>
        <w:ind w:left="540" w:hanging="271"/>
        <w:keepNext w:val="0"/>
        <w:keepLines/>
        <w:widowControl/>
        <w:numPr>
          <w:ilvl w:val="0"/>
          <w:numId w:val="14"/>
        </w:numPr>
      </w:pPr>
      <w:r>
        <w:t>Replaceable services: standard MQTT, HTTP and Postgres interfaces reduce dependency on one vendor.</w:t>
      </w:r>
    </w:p>
    <w:tbl>
      <w:tblPr>
        <w:tblW w:type="dxa" w:w="9360"/>
        <w:jc w:val="center"/>
        <w:tblLayout w:type="fixed"/>
        <w:tblLook w:firstColumn="1" w:firstRow="1" w:lastColumn="0" w:lastRow="0" w:noHBand="0" w:noVBand="1" w:val="04A0"/>
      </w:tblPr>
      <w:tblGrid>
        <w:gridCol w:w="9360"/>
      </w:tblGrid>
      <w:tr>
        <w:trPr>
          <w:cantSplit/>
        </w:trPr>
        <w:tc>
          <w:tcPr>
            <w:tcW w:type="dxa" w:w="9360"/>
            <w:shd w:fill="FFF4D9"/>
            <w:tcMar>
              <w:top w:w="140" w:type="dxa"/>
              <w:start w:w="180" w:type="dxa"/>
              <w:bottom w:w="140" w:type="dxa"/>
              <w:end w:w="180" w:type="dxa"/>
            </w:tcMar>
            <w:tcBorders>
              <w:start w:val="single" w:sz="28" w:color="155C43"/>
            </w:tcBorders>
          </w:tcPr>
          <w:p>
            <w:pPr>
              <w:spacing w:after="40"/>
            </w:pPr>
            <w:r>
              <w:rPr>
                <w:rFonts w:ascii="Calibri" w:hAnsi="Calibri" w:eastAsia="Calibri"/>
                <w:b/>
                <w:color w:val="155C43"/>
                <w:sz w:val="17"/>
              </w:rPr>
              <w:t>COMMAND BOUNDARY</w:t>
            </w:r>
          </w:p>
          <w:p>
            <w:pPr>
              <w:keepNext w:val="0"/>
              <w:keepLines/>
              <w:widowControl/>
              <w:spacing w:after="0"/>
            </w:pPr>
            <w:r>
              <w:t>The browser never receives MQTT broker credentials. User commands are authenticated, validated and recorded before the integration layer publishes them to a device.</w:t>
            </w:r>
          </w:p>
        </w:tc>
      </w:tr>
    </w:tbl>
    <w:p>
      <w:pPr>
        <w:spacing w:after="0"/>
      </w:pPr>
    </w:p>
    <w:p>
      <w:pPr>
        <w:pStyle w:val="Heading1"/>
        <w:pBdr>
          <w:bottom w:val="single" w:sz="12" w:space="4" w:color="155C43"/>
        </w:pBdr>
      </w:pPr>
      <w:r>
        <w:t>5. Technology baseline and repository structure</w:t>
      </w:r>
    </w:p>
    <w:p>
      <w:pPr>
        <w:keepNext/>
        <w:keepLines w:val="0"/>
        <w:widowControl/>
        <w:spacing w:after="160"/>
      </w:pPr>
      <w:r>
        <w:rPr>
          <w:rFonts w:ascii="Calibri" w:hAnsi="Calibri" w:eastAsia="Calibri"/>
          <w:i/>
          <w:color w:val="5A6864"/>
          <w:sz w:val="21"/>
        </w:rPr>
        <w:t>Free tiers support prototyping and pilots; production viability must be reviewed against current limits and service-level needs.</w:t>
      </w:r>
    </w:p>
    <w:p>
      <w:pPr>
        <w:pStyle w:val="Heading2"/>
      </w:pPr>
      <w:r>
        <w:t>5.1 Approved prototype stack</w:t>
      </w:r>
    </w:p>
    <w:tbl>
      <w:tblPr>
        <w:tblW w:type="dxa" w:w="9360"/>
        <w:jc w:val="center"/>
        <w:tblLayout w:type="fixed"/>
        <w:tblLook w:firstColumn="1" w:firstRow="1" w:lastColumn="0" w:lastRow="0" w:noHBand="0" w:noVBand="1" w:val="04A0"/>
      </w:tblPr>
      <w:tblGrid>
        <w:gridCol w:w="1760"/>
        <w:gridCol w:w="2790"/>
        <w:gridCol w:w="4810"/>
      </w:tblGrid>
      <w:tr>
        <w:trPr>
          <w:tblHeader w:val="true"/>
          <w:cantSplit/>
        </w:trPr>
        <w:tc>
          <w:tcPr>
            <w:tcW w:type="dxa" w:w="17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Layer</w:t>
            </w:r>
          </w:p>
        </w:tc>
        <w:tc>
          <w:tcPr>
            <w:tcW w:type="dxa" w:w="279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Baseline choice</w:t>
            </w:r>
          </w:p>
        </w:tc>
        <w:tc>
          <w:tcPr>
            <w:tcW w:type="dxa" w:w="481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Role / guardrail</w:t>
            </w:r>
          </w:p>
        </w:tc>
      </w:tr>
      <w:tr>
        <w:trPr>
          <w:cantSplit/>
        </w:trPr>
        <w:tc>
          <w:tcPr>
            <w:tcW w:type="dxa" w:w="1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Firmware</w:t>
            </w:r>
          </w:p>
        </w:tc>
        <w:tc>
          <w:tcPr>
            <w:tcW w:type="dxa" w:w="279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ESP32 + PlatformIO / Arduino</w:t>
            </w:r>
          </w:p>
        </w:tc>
        <w:tc>
          <w:tcPr>
            <w:tcW w:type="dxa" w:w="48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Deterministic local sensing and control; versioned builds.</w:t>
            </w:r>
          </w:p>
        </w:tc>
      </w:tr>
      <w:tr>
        <w:trPr>
          <w:cantSplit/>
        </w:trPr>
        <w:tc>
          <w:tcPr>
            <w:tcW w:type="dxa" w:w="1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Messaging—field</w:t>
            </w:r>
          </w:p>
        </w:tc>
        <w:tc>
          <w:tcPr>
            <w:tcW w:type="dxa" w:w="279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HiveMQ Cloud Serverless Free</w:t>
            </w:r>
          </w:p>
        </w:tc>
        <w:tc>
          <w:tcPr>
            <w:tcW w:type="dxa" w:w="48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MQTT over TLS; suitable for prototype/pilot, no uptime SLA.</w:t>
            </w:r>
          </w:p>
        </w:tc>
      </w:tr>
      <w:tr>
        <w:trPr>
          <w:cantSplit/>
        </w:trPr>
        <w:tc>
          <w:tcPr>
            <w:tcW w:type="dxa" w:w="1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Messaging—local development</w:t>
            </w:r>
          </w:p>
        </w:tc>
        <w:tc>
          <w:tcPr>
            <w:tcW w:type="dxa" w:w="279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Eclipse Mosquitto</w:t>
            </w:r>
          </w:p>
        </w:tc>
        <w:tc>
          <w:tcPr>
            <w:tcW w:type="dxa" w:w="48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Open-source broker for bench tests and offline development.</w:t>
            </w:r>
          </w:p>
        </w:tc>
      </w:tr>
      <w:tr>
        <w:trPr>
          <w:cantSplit/>
        </w:trPr>
        <w:tc>
          <w:tcPr>
            <w:tcW w:type="dxa" w:w="1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Integration</w:t>
            </w:r>
          </w:p>
        </w:tc>
        <w:tc>
          <w:tcPr>
            <w:tcW w:type="dxa" w:w="279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Node-RED</w:t>
            </w:r>
          </w:p>
        </w:tc>
        <w:tc>
          <w:tcPr>
            <w:tcW w:type="dxa" w:w="48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Validate payloads, route events, run non-safety rules and notifications.</w:t>
            </w:r>
          </w:p>
        </w:tc>
      </w:tr>
      <w:tr>
        <w:trPr>
          <w:cantSplit/>
        </w:trPr>
        <w:tc>
          <w:tcPr>
            <w:tcW w:type="dxa" w:w="1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Database / auth / API</w:t>
            </w:r>
          </w:p>
        </w:tc>
        <w:tc>
          <w:tcPr>
            <w:tcW w:type="dxa" w:w="279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Supabase Free</w:t>
            </w:r>
          </w:p>
        </w:tc>
        <w:tc>
          <w:tcPr>
            <w:tcW w:type="dxa" w:w="48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Postgres, Auth, REST, Realtime and Row Level Security.</w:t>
            </w:r>
          </w:p>
        </w:tc>
      </w:tr>
      <w:tr>
        <w:trPr>
          <w:cantSplit/>
        </w:trPr>
        <w:tc>
          <w:tcPr>
            <w:tcW w:type="dxa" w:w="1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Customer application</w:t>
            </w:r>
          </w:p>
        </w:tc>
        <w:tc>
          <w:tcPr>
            <w:tcW w:type="dxa" w:w="279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React + Vite PWA</w:t>
            </w:r>
          </w:p>
        </w:tc>
        <w:tc>
          <w:tcPr>
            <w:tcW w:type="dxa" w:w="48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Mobile-first monitoring, settings and maintenance experience.</w:t>
            </w:r>
          </w:p>
        </w:tc>
      </w:tr>
      <w:tr>
        <w:trPr>
          <w:cantSplit/>
        </w:trPr>
        <w:tc>
          <w:tcPr>
            <w:tcW w:type="dxa" w:w="1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Static hosting</w:t>
            </w:r>
          </w:p>
        </w:tc>
        <w:tc>
          <w:tcPr>
            <w:tcW w:type="dxa" w:w="279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Cloudflare Pages Free</w:t>
            </w:r>
          </w:p>
        </w:tc>
        <w:tc>
          <w:tcPr>
            <w:tcW w:type="dxa" w:w="48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Git-based web deployment for prototype/pilot.</w:t>
            </w:r>
          </w:p>
        </w:tc>
      </w:tr>
      <w:tr>
        <w:trPr>
          <w:cantSplit/>
        </w:trPr>
        <w:tc>
          <w:tcPr>
            <w:tcW w:type="dxa" w:w="1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Engineering views</w:t>
            </w:r>
          </w:p>
        </w:tc>
        <w:tc>
          <w:tcPr>
            <w:tcW w:type="dxa" w:w="279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Grafana Cloud Free</w:t>
            </w:r>
          </w:p>
        </w:tc>
        <w:tc>
          <w:tcPr>
            <w:tcW w:type="dxa" w:w="48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Internal diagnostics; not the primary customer interface.</w:t>
            </w:r>
          </w:p>
        </w:tc>
      </w:tr>
      <w:tr>
        <w:trPr>
          <w:cantSplit/>
        </w:trPr>
        <w:tc>
          <w:tcPr>
            <w:tcW w:type="dxa" w:w="1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Notifications</w:t>
            </w:r>
          </w:p>
        </w:tc>
        <w:tc>
          <w:tcPr>
            <w:tcW w:type="dxa" w:w="279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Telegram Bot API</w:t>
            </w:r>
          </w:p>
        </w:tc>
        <w:tc>
          <w:tcPr>
            <w:tcW w:type="dxa" w:w="48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Prototype alerts; SMS/WhatsApp evaluated when funded.</w:t>
            </w:r>
          </w:p>
        </w:tc>
      </w:tr>
      <w:tr>
        <w:trPr>
          <w:cantSplit/>
        </w:trPr>
        <w:tc>
          <w:tcPr>
            <w:tcW w:type="dxa" w:w="1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Source and CI</w:t>
            </w:r>
          </w:p>
        </w:tc>
        <w:tc>
          <w:tcPr>
            <w:tcW w:type="dxa" w:w="279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GitHub + GitHub Actions</w:t>
            </w:r>
          </w:p>
        </w:tc>
        <w:tc>
          <w:tcPr>
            <w:tcW w:type="dxa" w:w="48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Version control, review, tests and controlled releases.</w:t>
            </w:r>
          </w:p>
        </w:tc>
      </w:tr>
    </w:tbl>
    <w:p>
      <w:pPr>
        <w:spacing w:after="0"/>
      </w:pPr>
    </w:p>
    <w:tbl>
      <w:tblPr>
        <w:tblW w:type="dxa" w:w="9360"/>
        <w:jc w:val="center"/>
        <w:tblLayout w:type="fixed"/>
        <w:tblLook w:firstColumn="1" w:firstRow="1" w:lastColumn="0" w:lastRow="0" w:noHBand="0" w:noVBand="1" w:val="04A0"/>
      </w:tblPr>
      <w:tblGrid>
        <w:gridCol w:w="9360"/>
      </w:tblGrid>
      <w:tr>
        <w:trPr>
          <w:cantSplit/>
        </w:trPr>
        <w:tc>
          <w:tcPr>
            <w:tcW w:type="dxa" w:w="9360"/>
            <w:shd w:fill="FFF4D9"/>
            <w:tcMar>
              <w:top w:w="140" w:type="dxa"/>
              <w:start w:w="180" w:type="dxa"/>
              <w:bottom w:w="140" w:type="dxa"/>
              <w:end w:w="180" w:type="dxa"/>
            </w:tcMar>
            <w:tcBorders>
              <w:start w:val="single" w:sz="28" w:color="155C43"/>
            </w:tcBorders>
          </w:tcPr>
          <w:p>
            <w:pPr>
              <w:spacing w:after="40"/>
            </w:pPr>
            <w:r>
              <w:rPr>
                <w:rFonts w:ascii="Calibri" w:hAnsi="Calibri" w:eastAsia="Calibri"/>
                <w:b/>
                <w:color w:val="155C43"/>
                <w:sz w:val="17"/>
              </w:rPr>
              <w:t>FREE-TIER RULE</w:t>
            </w:r>
          </w:p>
          <w:p>
            <w:pPr>
              <w:keepNext w:val="0"/>
              <w:keepLines/>
              <w:widowControl/>
              <w:spacing w:after="0"/>
            </w:pPr>
            <w:r>
              <w:t>Free limits and terms can change. Confirm connection, storage, inactivity, deployment and support limits before each pilot or production decision.</w:t>
            </w:r>
          </w:p>
        </w:tc>
      </w:tr>
    </w:tbl>
    <w:p>
      <w:pPr>
        <w:spacing w:after="0"/>
      </w:pPr>
    </w:p>
    <w:p>
      <w:pPr>
        <w:pStyle w:val="Heading2"/>
      </w:pPr>
      <w:r>
        <w:t>5.2 Repository structure</w:t>
      </w:r>
    </w:p>
    <w:tbl>
      <w:tblPr>
        <w:tblW w:type="dxa" w:w="9360"/>
        <w:jc w:val="center"/>
        <w:tblLayout w:type="fixed"/>
        <w:tblLook w:firstColumn="1" w:firstRow="1" w:lastColumn="0" w:lastRow="0" w:noHBand="0" w:noVBand="1" w:val="04A0"/>
      </w:tblPr>
      <w:tblGrid>
        <w:gridCol w:w="9360"/>
      </w:tblGrid>
      <w:tr>
        <w:tc>
          <w:tcPr>
            <w:tcW w:type="dxa" w:w="9360"/>
            <w:shd w:fill="10251E"/>
            <w:tcMar>
              <w:top w:w="150" w:type="dxa"/>
              <w:start w:w="180" w:type="dxa"/>
              <w:bottom w:w="150" w:type="dxa"/>
              <w:end w:w="180" w:type="dxa"/>
            </w:tcMar>
          </w:tcPr>
          <w:p>
            <w:pPr>
              <w:spacing w:after="0"/>
            </w:pPr>
            <w:r>
              <w:rPr>
                <w:rFonts w:ascii="Courier New" w:hAnsi="Courier New" w:eastAsia="Courier New"/>
                <w:color w:val="EAF4EF"/>
                <w:sz w:val="16"/>
              </w:rPr>
              <w:t>smart-growkit/</w:t>
            </w:r>
            <w:r>
              <w:br/>
            </w:r>
            <w:r>
              <w:rPr>
                <w:rFonts w:ascii="Courier New" w:hAnsi="Courier New" w:eastAsia="Courier New"/>
                <w:color w:val="EAF4EF"/>
                <w:sz w:val="16"/>
              </w:rPr>
              <w:t>├── firmware/              # ESP32 application, drivers and local rules</w:t>
            </w:r>
            <w:r>
              <w:br/>
            </w:r>
            <w:r>
              <w:rPr>
                <w:rFonts w:ascii="Courier New" w:hAnsi="Courier New" w:eastAsia="Courier New"/>
                <w:color w:val="EAF4EF"/>
                <w:sz w:val="16"/>
              </w:rPr>
              <w:t>├── integration/node-red/  # Flows, validation and deployment notes</w:t>
            </w:r>
            <w:r>
              <w:br/>
            </w:r>
            <w:r>
              <w:rPr>
                <w:rFonts w:ascii="Courier New" w:hAnsi="Courier New" w:eastAsia="Courier New"/>
                <w:color w:val="EAF4EF"/>
                <w:sz w:val="16"/>
              </w:rPr>
              <w:t>├── web/                   # React/Vite progressive web app</w:t>
            </w:r>
            <w:r>
              <w:br/>
            </w:r>
            <w:r>
              <w:rPr>
                <w:rFonts w:ascii="Courier New" w:hAnsi="Courier New" w:eastAsia="Courier New"/>
                <w:color w:val="EAF4EF"/>
                <w:sz w:val="16"/>
              </w:rPr>
              <w:t>├── database/              # Supabase schema, RLS policies and migrations</w:t>
            </w:r>
            <w:r>
              <w:br/>
            </w:r>
            <w:r>
              <w:rPr>
                <w:rFonts w:ascii="Courier New" w:hAnsi="Courier New" w:eastAsia="Courier New"/>
                <w:color w:val="EAF4EF"/>
                <w:sz w:val="16"/>
              </w:rPr>
              <w:t>├── plant-profiles/        # Versioned crop targets and guidance</w:t>
            </w:r>
            <w:r>
              <w:br/>
            </w:r>
            <w:r>
              <w:rPr>
                <w:rFonts w:ascii="Courier New" w:hAnsi="Courier New" w:eastAsia="Courier New"/>
                <w:color w:val="EAF4EF"/>
                <w:sz w:val="16"/>
              </w:rPr>
              <w:t>├── hardware/              # Schematics, pin map, CAD references and BOM</w:t>
            </w:r>
            <w:r>
              <w:br/>
            </w:r>
            <w:r>
              <w:rPr>
                <w:rFonts w:ascii="Courier New" w:hAnsi="Courier New" w:eastAsia="Courier New"/>
                <w:color w:val="EAF4EF"/>
                <w:sz w:val="16"/>
              </w:rPr>
              <w:t>├── tests/                 # Bench, integration, safety and grow-trial evidence</w:t>
            </w:r>
            <w:r>
              <w:br/>
            </w:r>
            <w:r>
              <w:rPr>
                <w:rFonts w:ascii="Courier New" w:hAnsi="Courier New" w:eastAsia="Courier New"/>
                <w:color w:val="EAF4EF"/>
                <w:sz w:val="16"/>
              </w:rPr>
              <w:t>├── docs/                  # Decisions, operations and maintenance guides</w:t>
            </w:r>
            <w:r>
              <w:br/>
            </w:r>
            <w:r>
              <w:rPr>
                <w:rFonts w:ascii="Courier New" w:hAnsi="Courier New" w:eastAsia="Courier New"/>
                <w:color w:val="EAF4EF"/>
                <w:sz w:val="16"/>
              </w:rPr>
              <w:t>├── .github/workflows/     # Build, lint and test automation</w:t>
            </w:r>
            <w:r>
              <w:br/>
            </w:r>
            <w:r>
              <w:rPr>
                <w:rFonts w:ascii="Courier New" w:hAnsi="Courier New" w:eastAsia="Courier New"/>
                <w:color w:val="EAF4EF"/>
                <w:sz w:val="16"/>
              </w:rPr>
              <w:t>├── .env.example           # Variable names only—never real secrets</w:t>
            </w:r>
            <w:r>
              <w:br/>
            </w:r>
            <w:r>
              <w:rPr>
                <w:rFonts w:ascii="Courier New" w:hAnsi="Courier New" w:eastAsia="Courier New"/>
                <w:color w:val="EAF4EF"/>
                <w:sz w:val="16"/>
              </w:rPr>
              <w:t>└── README.md              # Setup, architecture and release status</w:t>
            </w:r>
          </w:p>
        </w:tc>
      </w:tr>
    </w:tbl>
    <w:p>
      <w:pPr>
        <w:spacing w:after="0"/>
      </w:pPr>
    </w:p>
    <w:p>
      <w:pPr>
        <w:pStyle w:val="Heading1"/>
        <w:pBdr>
          <w:bottom w:val="single" w:sz="12" w:space="4" w:color="155C43"/>
        </w:pBdr>
      </w:pPr>
      <w:r>
        <w:t>6. Adaptation of the Smart-Gardening reference</w:t>
      </w:r>
    </w:p>
    <w:p>
      <w:pPr>
        <w:keepNext/>
        <w:keepLines w:val="0"/>
        <w:widowControl/>
        <w:spacing w:after="160"/>
      </w:pPr>
      <w:r>
        <w:rPr>
          <w:rFonts w:ascii="Calibri" w:hAnsi="Calibri" w:eastAsia="Calibri"/>
          <w:i/>
          <w:color w:val="5A6864"/>
          <w:sz w:val="21"/>
        </w:rPr>
        <w:t>Reuse the reference project’s boundaries and patterns; replace infrastructure and features that do not serve Zovuyo V1.</w:t>
      </w:r>
    </w:p>
    <w:tbl>
      <w:tblPr>
        <w:tblW w:type="dxa" w:w="9360"/>
        <w:jc w:val="center"/>
        <w:tblLayout w:type="fixed"/>
        <w:tblLook w:firstColumn="1" w:firstRow="1" w:lastColumn="0" w:lastRow="0" w:noHBand="0" w:noVBand="1" w:val="04A0"/>
      </w:tblPr>
      <w:tblGrid>
        <w:gridCol w:w="2430"/>
        <w:gridCol w:w="4800"/>
        <w:gridCol w:w="2130"/>
      </w:tblGrid>
      <w:tr>
        <w:trPr>
          <w:tblHeader w:val="true"/>
          <w:cantSplit/>
        </w:trPr>
        <w:tc>
          <w:tcPr>
            <w:tcW w:type="dxa" w:w="243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Reference pattern</w:t>
            </w:r>
          </w:p>
        </w:tc>
        <w:tc>
          <w:tcPr>
            <w:tcW w:type="dxa" w:w="48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Zovuyo adaptation</w:t>
            </w:r>
          </w:p>
        </w:tc>
        <w:tc>
          <w:tcPr>
            <w:tcW w:type="dxa" w:w="213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Decision</w:t>
            </w:r>
          </w:p>
        </w:tc>
      </w:tr>
      <w:tr>
        <w:trPr>
          <w:cantSplit/>
        </w:trPr>
        <w:tc>
          <w:tcPr>
            <w:tcW w:type="dxa" w:w="2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ESP32 sensor node with PlatformIO</w:t>
            </w:r>
          </w:p>
        </w:tc>
        <w:tc>
          <w:tcPr>
            <w:tcW w:type="dxa" w:w="4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Single ESP32 controller with modular sensor and actuator drivers</w:t>
            </w:r>
          </w:p>
        </w:tc>
        <w:tc>
          <w:tcPr>
            <w:tcW w:type="dxa" w:w="21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Keep</w:t>
            </w:r>
          </w:p>
        </w:tc>
      </w:tr>
      <w:tr>
        <w:trPr>
          <w:cantSplit/>
        </w:trPr>
        <w:tc>
          <w:tcPr>
            <w:tcW w:type="dxa" w:w="2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AWS IoT Core MQTT</w:t>
            </w:r>
          </w:p>
        </w:tc>
        <w:tc>
          <w:tcPr>
            <w:tcW w:type="dxa" w:w="4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HiveMQ Cloud Free for field pilot; Mosquitto for local development</w:t>
            </w:r>
          </w:p>
        </w:tc>
        <w:tc>
          <w:tcPr>
            <w:tcW w:type="dxa" w:w="21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Replace</w:t>
            </w:r>
          </w:p>
        </w:tc>
      </w:tr>
      <w:tr>
        <w:trPr>
          <w:cantSplit/>
        </w:trPr>
        <w:tc>
          <w:tcPr>
            <w:tcW w:type="dxa" w:w="2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NestJS service on AWS ECS/EC2</w:t>
            </w:r>
          </w:p>
        </w:tc>
        <w:tc>
          <w:tcPr>
            <w:tcW w:type="dxa" w:w="4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Node-RED integration plus Supabase generated API initially</w:t>
            </w:r>
          </w:p>
        </w:tc>
        <w:tc>
          <w:tcPr>
            <w:tcW w:type="dxa" w:w="21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Simplify</w:t>
            </w:r>
          </w:p>
        </w:tc>
      </w:tr>
      <w:tr>
        <w:trPr>
          <w:cantSplit/>
        </w:trPr>
        <w:tc>
          <w:tcPr>
            <w:tcW w:type="dxa" w:w="2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DynamoDB + RDS + S3</w:t>
            </w:r>
          </w:p>
        </w:tc>
        <w:tc>
          <w:tcPr>
            <w:tcW w:type="dxa" w:w="4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One Supabase Postgres project; Storage only if later required</w:t>
            </w:r>
          </w:p>
        </w:tc>
        <w:tc>
          <w:tcPr>
            <w:tcW w:type="dxa" w:w="21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Consolidate</w:t>
            </w:r>
          </w:p>
        </w:tc>
      </w:tr>
      <w:tr>
        <w:trPr>
          <w:cantSplit/>
        </w:trPr>
        <w:tc>
          <w:tcPr>
            <w:tcW w:type="dxa" w:w="2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AWS Cognito</w:t>
            </w:r>
          </w:p>
        </w:tc>
        <w:tc>
          <w:tcPr>
            <w:tcW w:type="dxa" w:w="4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Supabase Auth + RLS</w:t>
            </w:r>
          </w:p>
        </w:tc>
        <w:tc>
          <w:tcPr>
            <w:tcW w:type="dxa" w:w="21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Replace</w:t>
            </w:r>
          </w:p>
        </w:tc>
      </w:tr>
      <w:tr>
        <w:trPr>
          <w:cantSplit/>
        </w:trPr>
        <w:tc>
          <w:tcPr>
            <w:tcW w:type="dxa" w:w="2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React web app</w:t>
            </w:r>
          </w:p>
        </w:tc>
        <w:tc>
          <w:tcPr>
            <w:tcW w:type="dxa" w:w="4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React/Vite mobile-first PWA</w:t>
            </w:r>
          </w:p>
        </w:tc>
        <w:tc>
          <w:tcPr>
            <w:tcW w:type="dxa" w:w="21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Keep / modernise</w:t>
            </w:r>
          </w:p>
        </w:tc>
      </w:tr>
      <w:tr>
        <w:trPr>
          <w:cantSplit/>
        </w:trPr>
        <w:tc>
          <w:tcPr>
            <w:tcW w:type="dxa" w:w="2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Plant API</w:t>
            </w:r>
          </w:p>
        </w:tc>
        <w:tc>
          <w:tcPr>
            <w:tcW w:type="dxa" w:w="4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Versioned plant_profiles table in the same database</w:t>
            </w:r>
          </w:p>
        </w:tc>
        <w:tc>
          <w:tcPr>
            <w:tcW w:type="dxa" w:w="21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Consolidate</w:t>
            </w:r>
          </w:p>
        </w:tc>
      </w:tr>
      <w:tr>
        <w:trPr>
          <w:cantSplit/>
        </w:trPr>
        <w:tc>
          <w:tcPr>
            <w:tcW w:type="dxa" w:w="2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Raspberry Pi camera and relay</w:t>
            </w:r>
          </w:p>
        </w:tc>
        <w:tc>
          <w:tcPr>
            <w:tcW w:type="dxa" w:w="4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ESP32 handles control; camera deferred</w:t>
            </w:r>
          </w:p>
        </w:tc>
        <w:tc>
          <w:tcPr>
            <w:tcW w:type="dxa" w:w="21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Remove from V1</w:t>
            </w:r>
          </w:p>
        </w:tc>
      </w:tr>
      <w:tr>
        <w:trPr>
          <w:cantSplit/>
        </w:trPr>
        <w:tc>
          <w:tcPr>
            <w:tcW w:type="dxa" w:w="2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Cloud-side data charts</w:t>
            </w:r>
          </w:p>
        </w:tc>
        <w:tc>
          <w:tcPr>
            <w:tcW w:type="dxa" w:w="4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Customer PWA + optional Grafana engineering dashboards</w:t>
            </w:r>
          </w:p>
        </w:tc>
        <w:tc>
          <w:tcPr>
            <w:tcW w:type="dxa" w:w="21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Keep / split audiences</w:t>
            </w:r>
          </w:p>
        </w:tc>
      </w:tr>
      <w:tr>
        <w:trPr>
          <w:cantSplit/>
        </w:trPr>
        <w:tc>
          <w:tcPr>
            <w:tcW w:type="dxa" w:w="24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GitHub Actions CI/CD</w:t>
            </w:r>
          </w:p>
        </w:tc>
        <w:tc>
          <w:tcPr>
            <w:tcW w:type="dxa" w:w="48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Firmware, database and web quality gates</w:t>
            </w:r>
          </w:p>
        </w:tc>
        <w:tc>
          <w:tcPr>
            <w:tcW w:type="dxa" w:w="21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Keep</w:t>
            </w:r>
          </w:p>
        </w:tc>
      </w:tr>
      <w:tr>
        <w:trPr>
          <w:cantSplit/>
        </w:trPr>
        <w:tc>
          <w:tcPr>
            <w:tcW w:type="dxa" w:w="24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Certificates and private keys in repository</w:t>
            </w:r>
          </w:p>
        </w:tc>
        <w:tc>
          <w:tcPr>
            <w:tcW w:type="dxa" w:w="48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Secrets injected at deployment; per-device credentials</w:t>
            </w:r>
          </w:p>
        </w:tc>
        <w:tc>
          <w:tcPr>
            <w:tcW w:type="dxa" w:w="21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Reject</w:t>
            </w:r>
          </w:p>
        </w:tc>
      </w:tr>
    </w:tbl>
    <w:p>
      <w:pPr>
        <w:spacing w:after="0"/>
      </w:pPr>
    </w:p>
    <w:p>
      <w:pPr>
        <w:pStyle w:val="Heading2"/>
      </w:pPr>
      <w:r>
        <w:t>6.1 What this means in practice</w:t>
      </w:r>
    </w:p>
    <w:p>
      <w:pPr>
        <w:spacing w:after="80" w:line="283" w:lineRule="auto"/>
        <w:ind w:left="540" w:hanging="271"/>
        <w:keepNext w:val="0"/>
        <w:keepLines/>
        <w:widowControl/>
        <w:numPr>
          <w:ilvl w:val="0"/>
          <w:numId w:val="15"/>
        </w:numPr>
      </w:pPr>
      <w:r>
        <w:t>Do not port the reference repository line-for-line; create a clean Zovuyo repository with the structure in §5.2.</w:t>
      </w:r>
    </w:p>
    <w:p>
      <w:pPr>
        <w:spacing w:after="80" w:line="283" w:lineRule="auto"/>
        <w:ind w:left="540" w:hanging="271"/>
        <w:keepNext w:val="0"/>
        <w:keepLines/>
        <w:widowControl/>
        <w:numPr>
          <w:ilvl w:val="0"/>
          <w:numId w:val="15"/>
        </w:numPr>
      </w:pPr>
      <w:r>
        <w:t>Preserve separation between device firmware, integration, web interface, plant knowledge and tests.</w:t>
      </w:r>
    </w:p>
    <w:p>
      <w:pPr>
        <w:spacing w:after="80" w:line="283" w:lineRule="auto"/>
        <w:ind w:left="540" w:hanging="271"/>
        <w:keepNext w:val="0"/>
        <w:keepLines/>
        <w:widowControl/>
        <w:numPr>
          <w:ilvl w:val="0"/>
          <w:numId w:val="15"/>
        </w:numPr>
      </w:pPr>
      <w:r>
        <w:t>Start with one deployable system and one database. Introduce additional services only when a measured constraint demands them.</w:t>
      </w:r>
    </w:p>
    <w:p>
      <w:pPr>
        <w:spacing w:after="80" w:line="283" w:lineRule="auto"/>
        <w:ind w:left="540" w:hanging="271"/>
        <w:keepNext w:val="0"/>
        <w:keepLines/>
        <w:widowControl/>
        <w:numPr>
          <w:ilvl w:val="0"/>
          <w:numId w:val="15"/>
        </w:numPr>
      </w:pPr>
      <w:r>
        <w:t>Treat the reference as learning material. Review its dependencies, licences and security before reusing code.</w:t>
      </w:r>
    </w:p>
    <w:p>
      <w:pPr>
        <w:pStyle w:val="Heading1"/>
        <w:pBdr>
          <w:bottom w:val="single" w:sz="12" w:space="4" w:color="155C43"/>
        </w:pBdr>
      </w:pPr>
      <w:r>
        <w:t>7. Data and integration contract</w:t>
      </w:r>
    </w:p>
    <w:p>
      <w:pPr>
        <w:keepNext/>
        <w:keepLines w:val="0"/>
        <w:widowControl/>
        <w:spacing w:after="160"/>
      </w:pPr>
      <w:r>
        <w:rPr>
          <w:rFonts w:ascii="Calibri" w:hAnsi="Calibri" w:eastAsia="Calibri"/>
          <w:i/>
          <w:color w:val="5A6864"/>
          <w:sz w:val="21"/>
        </w:rPr>
        <w:t>Stable identifiers and contracts allow hardware, cloud and user-interface work to progress independently.</w:t>
      </w:r>
    </w:p>
    <w:p>
      <w:pPr>
        <w:pStyle w:val="Heading2"/>
      </w:pPr>
      <w:r>
        <w:t>7.1 System-of-record entities</w:t>
      </w:r>
    </w:p>
    <w:tbl>
      <w:tblPr>
        <w:tblW w:type="dxa" w:w="9360"/>
        <w:jc w:val="center"/>
        <w:tblLayout w:type="fixed"/>
        <w:tblLook w:firstColumn="1" w:firstRow="1" w:lastColumn="0" w:lastRow="0" w:noHBand="0" w:noVBand="1" w:val="04A0"/>
      </w:tblPr>
      <w:tblGrid>
        <w:gridCol w:w="1900"/>
        <w:gridCol w:w="3220"/>
        <w:gridCol w:w="4240"/>
      </w:tblGrid>
      <w:tr>
        <w:trPr>
          <w:tblHeader w:val="true"/>
          <w:cantSplit/>
        </w:trPr>
        <w:tc>
          <w:tcPr>
            <w:tcW w:type="dxa" w:w="19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Entity</w:t>
            </w:r>
          </w:p>
        </w:tc>
        <w:tc>
          <w:tcPr>
            <w:tcW w:type="dxa" w:w="322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Purpose</w:t>
            </w:r>
          </w:p>
        </w:tc>
        <w:tc>
          <w:tcPr>
            <w:tcW w:type="dxa" w:w="424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Minimum key fields</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profiles</w:t>
            </w:r>
          </w:p>
        </w:tc>
        <w:tc>
          <w:tcPr>
            <w:tcW w:type="dxa" w:w="32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User preferences and support metadata</w:t>
            </w:r>
          </w:p>
        </w:tc>
        <w:tc>
          <w:tcPr>
            <w:tcW w:type="dxa" w:w="42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user_id, name, locale, notification_preferences</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growkits</w:t>
            </w:r>
          </w:p>
        </w:tc>
        <w:tc>
          <w:tcPr>
            <w:tcW w:type="dxa" w:w="32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Owned product instance and installation</w:t>
            </w:r>
          </w:p>
        </w:tc>
        <w:tc>
          <w:tcPr>
            <w:tcW w:type="dxa" w:w="42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growkit_id, owner_id, name, timezone, location_label</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devices</w:t>
            </w:r>
          </w:p>
        </w:tc>
        <w:tc>
          <w:tcPr>
            <w:tcW w:type="dxa" w:w="32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Controller identity and health</w:t>
            </w:r>
          </w:p>
        </w:tc>
        <w:tc>
          <w:tcPr>
            <w:tcW w:type="dxa" w:w="42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device_id, growkit_id, firmware_version, last_seen, status</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plant_profiles</w:t>
            </w:r>
          </w:p>
        </w:tc>
        <w:tc>
          <w:tcPr>
            <w:tcW w:type="dxa" w:w="32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Versioned crop targets and guidance</w:t>
            </w:r>
          </w:p>
        </w:tc>
        <w:tc>
          <w:tcPr>
            <w:tcW w:type="dxa" w:w="42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profile_id, crop, stage, targets, source, version</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grow_cycles</w:t>
            </w:r>
          </w:p>
        </w:tc>
        <w:tc>
          <w:tcPr>
            <w:tcW w:type="dxa" w:w="32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 planting run and its outcome</w:t>
            </w:r>
          </w:p>
        </w:tc>
        <w:tc>
          <w:tcPr>
            <w:tcW w:type="dxa" w:w="42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cycle_id, growkit_id, profile_id, planted_at, harvested_at, outcome</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sensor_readings</w:t>
            </w:r>
          </w:p>
        </w:tc>
        <w:tc>
          <w:tcPr>
            <w:tcW w:type="dxa" w:w="32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Time-stamped measured conditions</w:t>
            </w:r>
          </w:p>
        </w:tc>
        <w:tc>
          <w:tcPr>
            <w:tcW w:type="dxa" w:w="42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device_id, observed_at, metric, value, unit, quality</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actuator_events</w:t>
            </w:r>
          </w:p>
        </w:tc>
        <w:tc>
          <w:tcPr>
            <w:tcW w:type="dxa" w:w="32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Output state and reason</w:t>
            </w:r>
          </w:p>
        </w:tc>
        <w:tc>
          <w:tcPr>
            <w:tcW w:type="dxa" w:w="42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device_id, occurred_at, actuator, state, source, reason</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alerts</w:t>
            </w:r>
          </w:p>
        </w:tc>
        <w:tc>
          <w:tcPr>
            <w:tcW w:type="dxa" w:w="32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Detected issue and acknowledgement</w:t>
            </w:r>
          </w:p>
        </w:tc>
        <w:tc>
          <w:tcPr>
            <w:tcW w:type="dxa" w:w="42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alert_id, growkit_id, severity, type, opened_at, closed_at</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maintenance_tasks</w:t>
            </w:r>
          </w:p>
        </w:tc>
        <w:tc>
          <w:tcPr>
            <w:tcW w:type="dxa" w:w="32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Cleaning, calibration and refill work</w:t>
            </w:r>
          </w:p>
        </w:tc>
        <w:tc>
          <w:tcPr>
            <w:tcW w:type="dxa" w:w="42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task_id, due_at, status, completed_at, evidence</w:t>
            </w:r>
          </w:p>
        </w:tc>
      </w:tr>
      <w:tr>
        <w:trPr>
          <w:cantSplit/>
        </w:trPr>
        <w:tc>
          <w:tcPr>
            <w:tcW w:type="dxa" w:w="1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device_configs</w:t>
            </w:r>
          </w:p>
        </w:tc>
        <w:tc>
          <w:tcPr>
            <w:tcW w:type="dxa" w:w="32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Versioned desired settings</w:t>
            </w:r>
          </w:p>
        </w:tc>
        <w:tc>
          <w:tcPr>
            <w:tcW w:type="dxa" w:w="42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device_id, config_version, effective_at, checksum, settings</w:t>
            </w:r>
          </w:p>
        </w:tc>
      </w:tr>
      <w:tr>
        <w:trPr>
          <w:cantSplit/>
        </w:trPr>
        <w:tc>
          <w:tcPr>
            <w:tcW w:type="dxa" w:w="1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command_queue</w:t>
            </w:r>
          </w:p>
        </w:tc>
        <w:tc>
          <w:tcPr>
            <w:tcW w:type="dxa" w:w="32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Authenticated command lifecycle</w:t>
            </w:r>
          </w:p>
        </w:tc>
        <w:tc>
          <w:tcPr>
            <w:tcW w:type="dxa" w:w="42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command_id, device_id, requested_by, command, status, expires_at</w:t>
            </w:r>
          </w:p>
        </w:tc>
      </w:tr>
    </w:tbl>
    <w:p>
      <w:pPr>
        <w:spacing w:after="0"/>
      </w:pPr>
    </w:p>
    <w:p>
      <w:pPr>
        <w:pStyle w:val="Heading2"/>
      </w:pPr>
      <w:r>
        <w:t>7.2 Data ownership and retention</w:t>
      </w:r>
    </w:p>
    <w:p>
      <w:pPr>
        <w:spacing w:after="80" w:line="283" w:lineRule="auto"/>
        <w:ind w:left="540" w:hanging="271"/>
        <w:keepNext w:val="0"/>
        <w:keepLines/>
        <w:widowControl/>
        <w:numPr>
          <w:ilvl w:val="0"/>
          <w:numId w:val="16"/>
        </w:numPr>
      </w:pPr>
      <w:r>
        <w:t>Each row belongs to a user through growkit ownership; Supabase RLS enforces isolation.</w:t>
      </w:r>
    </w:p>
    <w:p>
      <w:pPr>
        <w:spacing w:after="80" w:line="283" w:lineRule="auto"/>
        <w:ind w:left="540" w:hanging="271"/>
        <w:keepNext w:val="0"/>
        <w:keepLines/>
        <w:widowControl/>
        <w:numPr>
          <w:ilvl w:val="0"/>
          <w:numId w:val="16"/>
        </w:numPr>
      </w:pPr>
      <w:r>
        <w:t>Raw telemetry is retained at full resolution for the active pilot, then downsampled according to a documented retention policy.</w:t>
      </w:r>
    </w:p>
    <w:p>
      <w:pPr>
        <w:spacing w:after="80" w:line="283" w:lineRule="auto"/>
        <w:ind w:left="540" w:hanging="271"/>
        <w:keepNext w:val="0"/>
        <w:keepLines/>
        <w:widowControl/>
        <w:numPr>
          <w:ilvl w:val="0"/>
          <w:numId w:val="16"/>
        </w:numPr>
      </w:pPr>
      <w:r>
        <w:t>Timestamps use UTC in storage and the growkit timezone for display and schedules.</w:t>
      </w:r>
    </w:p>
    <w:p>
      <w:pPr>
        <w:spacing w:after="80" w:line="283" w:lineRule="auto"/>
        <w:ind w:left="540" w:hanging="271"/>
        <w:keepNext w:val="0"/>
        <w:keepLines/>
        <w:widowControl/>
        <w:numPr>
          <w:ilvl w:val="0"/>
          <w:numId w:val="16"/>
        </w:numPr>
      </w:pPr>
      <w:r>
        <w:t>Every measurement carries a quality state: valid, stale, out-of-range, calibrating or fault.</w:t>
      </w:r>
    </w:p>
    <w:p>
      <w:pPr>
        <w:spacing w:after="80" w:line="283" w:lineRule="auto"/>
        <w:ind w:left="540" w:hanging="271"/>
        <w:keepNext w:val="0"/>
        <w:keepLines/>
        <w:widowControl/>
        <w:numPr>
          <w:ilvl w:val="0"/>
          <w:numId w:val="16"/>
        </w:numPr>
      </w:pPr>
      <w:r>
        <w:t>Plant profiles are versioned so an active grow cycle does not silently change when guidance is updated.</w:t>
      </w:r>
    </w:p>
    <w:p>
      <w:pPr>
        <w:pStyle w:val="Heading1"/>
        <w:pBdr>
          <w:bottom w:val="single" w:sz="12" w:space="4" w:color="155C43"/>
        </w:pBdr>
      </w:pPr>
      <w:r>
        <w:t>8. Messaging and telemetry contract</w:t>
      </w:r>
    </w:p>
    <w:p>
      <w:pPr>
        <w:keepNext/>
        <w:keepLines w:val="0"/>
        <w:widowControl/>
        <w:spacing w:after="160"/>
      </w:pPr>
      <w:r>
        <w:rPr>
          <w:rFonts w:ascii="Calibri" w:hAnsi="Calibri" w:eastAsia="Calibri"/>
          <w:i/>
          <w:color w:val="5A6864"/>
          <w:sz w:val="21"/>
        </w:rPr>
        <w:t>The first integration contract is intentionally small, versioned and observable.</w:t>
      </w:r>
    </w:p>
    <w:p>
      <w:pPr>
        <w:pStyle w:val="Heading2"/>
      </w:pPr>
      <w:r>
        <w:t>8.1 MQTT topics</w:t>
      </w:r>
    </w:p>
    <w:tbl>
      <w:tblPr>
        <w:tblW w:type="dxa" w:w="9360"/>
        <w:jc w:val="center"/>
        <w:tblLayout w:type="fixed"/>
        <w:tblLook w:firstColumn="1" w:firstRow="1" w:lastColumn="0" w:lastRow="0" w:noHBand="0" w:noVBand="1" w:val="04A0"/>
      </w:tblPr>
      <w:tblGrid>
        <w:gridCol w:w="3660"/>
        <w:gridCol w:w="1600"/>
        <w:gridCol w:w="4100"/>
      </w:tblGrid>
      <w:tr>
        <w:trPr>
          <w:tblHeader w:val="true"/>
          <w:cantSplit/>
        </w:trPr>
        <w:tc>
          <w:tcPr>
            <w:tcW w:type="dxa" w:w="36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Topic</w:t>
            </w:r>
          </w:p>
        </w:tc>
        <w:tc>
          <w:tcPr>
            <w:tcW w:type="dxa" w:w="16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Direction</w:t>
            </w:r>
          </w:p>
        </w:tc>
        <w:tc>
          <w:tcPr>
            <w:tcW w:type="dxa" w:w="41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Purpose / delivery rule</w:t>
            </w:r>
          </w:p>
        </w:tc>
      </w:tr>
      <w:tr>
        <w:trPr>
          <w:cantSplit/>
        </w:trPr>
        <w:tc>
          <w:tcPr>
            <w:tcW w:type="dxa" w:w="36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zovuyo/{deviceId}/telemetry</w:t>
            </w:r>
          </w:p>
        </w:tc>
        <w:tc>
          <w:tcPr>
            <w:tcW w:type="dxa" w:w="1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Device → cloud</w:t>
            </w:r>
          </w:p>
        </w:tc>
        <w:tc>
          <w:tcPr>
            <w:tcW w:type="dxa" w:w="4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Periodic readings; QoS 1; not retained.</w:t>
            </w:r>
          </w:p>
        </w:tc>
      </w:tr>
      <w:tr>
        <w:trPr>
          <w:cantSplit/>
        </w:trPr>
        <w:tc>
          <w:tcPr>
            <w:tcW w:type="dxa" w:w="36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zovuyo/{deviceId}/state</w:t>
            </w:r>
          </w:p>
        </w:tc>
        <w:tc>
          <w:tcPr>
            <w:tcW w:type="dxa" w:w="1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Device → cloud</w:t>
            </w:r>
          </w:p>
        </w:tc>
        <w:tc>
          <w:tcPr>
            <w:tcW w:type="dxa" w:w="41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Current output and mode summary; retained.</w:t>
            </w:r>
          </w:p>
        </w:tc>
      </w:tr>
      <w:tr>
        <w:trPr>
          <w:cantSplit/>
        </w:trPr>
        <w:tc>
          <w:tcPr>
            <w:tcW w:type="dxa" w:w="36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zovuyo/{deviceId}/alerts</w:t>
            </w:r>
          </w:p>
        </w:tc>
        <w:tc>
          <w:tcPr>
            <w:tcW w:type="dxa" w:w="1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Device → cloud</w:t>
            </w:r>
          </w:p>
        </w:tc>
        <w:tc>
          <w:tcPr>
            <w:tcW w:type="dxa" w:w="4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Immediate safety/operational event; QoS 1.</w:t>
            </w:r>
          </w:p>
        </w:tc>
      </w:tr>
      <w:tr>
        <w:trPr>
          <w:cantSplit/>
        </w:trPr>
        <w:tc>
          <w:tcPr>
            <w:tcW w:type="dxa" w:w="36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zovuyo/{deviceId}/availability</w:t>
            </w:r>
          </w:p>
        </w:tc>
        <w:tc>
          <w:tcPr>
            <w:tcW w:type="dxa" w:w="1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Device → cloud</w:t>
            </w:r>
          </w:p>
        </w:tc>
        <w:tc>
          <w:tcPr>
            <w:tcW w:type="dxa" w:w="41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Online/offline using Last Will and Testament; retained.</w:t>
            </w:r>
          </w:p>
        </w:tc>
      </w:tr>
      <w:tr>
        <w:trPr>
          <w:cantSplit/>
        </w:trPr>
        <w:tc>
          <w:tcPr>
            <w:tcW w:type="dxa" w:w="36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zovuyo/{deviceId}/commands</w:t>
            </w:r>
          </w:p>
        </w:tc>
        <w:tc>
          <w:tcPr>
            <w:tcW w:type="dxa" w:w="1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Cloud → device</w:t>
            </w:r>
          </w:p>
        </w:tc>
        <w:tc>
          <w:tcPr>
            <w:tcW w:type="dxa" w:w="4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Short-lived authenticated command; QoS 1.</w:t>
            </w:r>
          </w:p>
        </w:tc>
      </w:tr>
      <w:tr>
        <w:trPr>
          <w:cantSplit/>
        </w:trPr>
        <w:tc>
          <w:tcPr>
            <w:tcW w:type="dxa" w:w="36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zovuyo/{deviceId}/config</w:t>
            </w:r>
          </w:p>
        </w:tc>
        <w:tc>
          <w:tcPr>
            <w:tcW w:type="dxa" w:w="1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Cloud → device</w:t>
            </w:r>
          </w:p>
        </w:tc>
        <w:tc>
          <w:tcPr>
            <w:tcW w:type="dxa" w:w="41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Versioned desired configuration; retained.</w:t>
            </w:r>
          </w:p>
        </w:tc>
      </w:tr>
      <w:tr>
        <w:trPr>
          <w:cantSplit/>
        </w:trPr>
        <w:tc>
          <w:tcPr>
            <w:tcW w:type="dxa" w:w="36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zovuyo/{deviceId}/ack</w:t>
            </w:r>
          </w:p>
        </w:tc>
        <w:tc>
          <w:tcPr>
            <w:tcW w:type="dxa" w:w="1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Device → cloud</w:t>
            </w:r>
          </w:p>
        </w:tc>
        <w:tc>
          <w:tcPr>
            <w:tcW w:type="dxa" w:w="4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Command/config acknowledgement and reason.</w:t>
            </w:r>
          </w:p>
        </w:tc>
      </w:tr>
    </w:tbl>
    <w:p>
      <w:pPr>
        <w:spacing w:after="0"/>
      </w:pPr>
    </w:p>
    <w:p>
      <w:pPr>
        <w:pStyle w:val="Heading2"/>
      </w:pPr>
      <w:r>
        <w:t>8.2 Canonical telemetry payload</w:t>
      </w:r>
    </w:p>
    <w:tbl>
      <w:tblPr>
        <w:tblW w:type="dxa" w:w="9360"/>
        <w:jc w:val="center"/>
        <w:tblLayout w:type="fixed"/>
        <w:tblLook w:firstColumn="1" w:firstRow="1" w:lastColumn="0" w:lastRow="0" w:noHBand="0" w:noVBand="1" w:val="04A0"/>
      </w:tblPr>
      <w:tblGrid>
        <w:gridCol w:w="9360"/>
      </w:tblGrid>
      <w:tr>
        <w:tc>
          <w:tcPr>
            <w:tcW w:type="dxa" w:w="9360"/>
            <w:shd w:fill="10251E"/>
            <w:tcMar>
              <w:top w:w="150" w:type="dxa"/>
              <w:start w:w="180" w:type="dxa"/>
              <w:bottom w:w="150" w:type="dxa"/>
              <w:end w:w="180" w:type="dxa"/>
            </w:tcMar>
          </w:tcPr>
          <w:p>
            <w:pPr>
              <w:spacing w:after="0"/>
            </w:pPr>
            <w:r>
              <w:rPr>
                <w:rFonts w:ascii="Courier New" w:hAnsi="Courier New" w:eastAsia="Courier New"/>
                <w:color w:val="EAF4EF"/>
                <w:sz w:val="16"/>
              </w:rPr>
              <w:t>{</w:t>
            </w:r>
            <w:r>
              <w:br/>
            </w:r>
            <w:r>
              <w:rPr>
                <w:rFonts w:ascii="Courier New" w:hAnsi="Courier New" w:eastAsia="Courier New"/>
                <w:color w:val="EAF4EF"/>
                <w:sz w:val="16"/>
              </w:rPr>
              <w:t xml:space="preserve">  "schema_version": "1.0",</w:t>
            </w:r>
            <w:r>
              <w:br/>
            </w:r>
            <w:r>
              <w:rPr>
                <w:rFonts w:ascii="Courier New" w:hAnsi="Courier New" w:eastAsia="Courier New"/>
                <w:color w:val="EAF4EF"/>
                <w:sz w:val="16"/>
              </w:rPr>
              <w:t xml:space="preserve">  "message_id": "01J...",</w:t>
            </w:r>
            <w:r>
              <w:br/>
            </w:r>
            <w:r>
              <w:rPr>
                <w:rFonts w:ascii="Courier New" w:hAnsi="Courier New" w:eastAsia="Courier New"/>
                <w:color w:val="EAF4EF"/>
                <w:sz w:val="16"/>
              </w:rPr>
              <w:t xml:space="preserve">  "device_id": "sgk-proto-001",</w:t>
            </w:r>
            <w:r>
              <w:br/>
            </w:r>
            <w:r>
              <w:rPr>
                <w:rFonts w:ascii="Courier New" w:hAnsi="Courier New" w:eastAsia="Courier New"/>
                <w:color w:val="EAF4EF"/>
                <w:sz w:val="16"/>
              </w:rPr>
              <w:t xml:space="preserve">  "observed_at": "2026-08-30T14:05:00Z",</w:t>
            </w:r>
            <w:r>
              <w:br/>
            </w:r>
            <w:r>
              <w:rPr>
                <w:rFonts w:ascii="Courier New" w:hAnsi="Courier New" w:eastAsia="Courier New"/>
                <w:color w:val="EAF4EF"/>
                <w:sz w:val="16"/>
              </w:rPr>
              <w:t xml:space="preserve">  "air_temp_c": 24.8,</w:t>
            </w:r>
            <w:r>
              <w:br/>
            </w:r>
            <w:r>
              <w:rPr>
                <w:rFonts w:ascii="Courier New" w:hAnsi="Courier New" w:eastAsia="Courier New"/>
                <w:color w:val="EAF4EF"/>
                <w:sz w:val="16"/>
              </w:rPr>
              <w:t xml:space="preserve">  "humidity_pct": 61.0,</w:t>
            </w:r>
            <w:r>
              <w:br/>
            </w:r>
            <w:r>
              <w:rPr>
                <w:rFonts w:ascii="Courier New" w:hAnsi="Courier New" w:eastAsia="Courier New"/>
                <w:color w:val="EAF4EF"/>
                <w:sz w:val="16"/>
              </w:rPr>
              <w:t xml:space="preserve">  "water_temp_c": 22.7,</w:t>
            </w:r>
            <w:r>
              <w:br/>
            </w:r>
            <w:r>
              <w:rPr>
                <w:rFonts w:ascii="Courier New" w:hAnsi="Courier New" w:eastAsia="Courier New"/>
                <w:color w:val="EAF4EF"/>
                <w:sz w:val="16"/>
              </w:rPr>
              <w:t xml:space="preserve">  "ph": 6.1,</w:t>
            </w:r>
            <w:r>
              <w:br/>
            </w:r>
            <w:r>
              <w:rPr>
                <w:rFonts w:ascii="Courier New" w:hAnsi="Courier New" w:eastAsia="Courier New"/>
                <w:color w:val="EAF4EF"/>
                <w:sz w:val="16"/>
              </w:rPr>
              <w:t xml:space="preserve">  "ec_ms_cm": 1.45,</w:t>
            </w:r>
            <w:r>
              <w:br/>
            </w:r>
            <w:r>
              <w:rPr>
                <w:rFonts w:ascii="Courier New" w:hAnsi="Courier New" w:eastAsia="Courier New"/>
                <w:color w:val="EAF4EF"/>
                <w:sz w:val="16"/>
              </w:rPr>
              <w:t xml:space="preserve">  "water_level_pct": 72,</w:t>
            </w:r>
            <w:r>
              <w:br/>
            </w:r>
            <w:r>
              <w:rPr>
                <w:rFonts w:ascii="Courier New" w:hAnsi="Courier New" w:eastAsia="Courier New"/>
                <w:color w:val="EAF4EF"/>
                <w:sz w:val="16"/>
              </w:rPr>
              <w:t xml:space="preserve">  "pump_on": true,</w:t>
            </w:r>
            <w:r>
              <w:br/>
            </w:r>
            <w:r>
              <w:rPr>
                <w:rFonts w:ascii="Courier New" w:hAnsi="Courier New" w:eastAsia="Courier New"/>
                <w:color w:val="EAF4EF"/>
                <w:sz w:val="16"/>
              </w:rPr>
              <w:t xml:space="preserve">  "light_on": true,</w:t>
            </w:r>
            <w:r>
              <w:br/>
            </w:r>
            <w:r>
              <w:rPr>
                <w:rFonts w:ascii="Courier New" w:hAnsi="Courier New" w:eastAsia="Courier New"/>
                <w:color w:val="EAF4EF"/>
                <w:sz w:val="16"/>
              </w:rPr>
              <w:t xml:space="preserve">  "fan_pct": 40,</w:t>
            </w:r>
            <w:r>
              <w:br/>
            </w:r>
            <w:r>
              <w:rPr>
                <w:rFonts w:ascii="Courier New" w:hAnsi="Courier New" w:eastAsia="Courier New"/>
                <w:color w:val="EAF4EF"/>
                <w:sz w:val="16"/>
              </w:rPr>
              <w:t xml:space="preserve">  "mode": "auto",</w:t>
            </w:r>
            <w:r>
              <w:br/>
            </w:r>
            <w:r>
              <w:rPr>
                <w:rFonts w:ascii="Courier New" w:hAnsi="Courier New" w:eastAsia="Courier New"/>
                <w:color w:val="EAF4EF"/>
                <w:sz w:val="16"/>
              </w:rPr>
              <w:t xml:space="preserve">  "firmware_version": "0.1.0"</w:t>
            </w:r>
            <w:r>
              <w:br/>
            </w:r>
            <w:r>
              <w:rPr>
                <w:rFonts w:ascii="Courier New" w:hAnsi="Courier New" w:eastAsia="Courier New"/>
                <w:color w:val="EAF4EF"/>
                <w:sz w:val="16"/>
              </w:rPr>
              <w:t>}</w:t>
            </w:r>
          </w:p>
        </w:tc>
      </w:tr>
    </w:tbl>
    <w:p>
      <w:pPr>
        <w:spacing w:after="0"/>
      </w:pPr>
    </w:p>
    <w:p>
      <w:pPr>
        <w:pStyle w:val="Heading2"/>
      </w:pPr>
      <w:r>
        <w:t>8.3 Contract rules</w:t>
      </w:r>
    </w:p>
    <w:p>
      <w:pPr>
        <w:spacing w:after="80" w:line="283" w:lineRule="auto"/>
        <w:ind w:left="540" w:hanging="271"/>
        <w:keepNext w:val="0"/>
        <w:keepLines/>
        <w:widowControl/>
        <w:numPr>
          <w:ilvl w:val="0"/>
          <w:numId w:val="17"/>
        </w:numPr>
      </w:pPr>
      <w:r>
        <w:t>Reject unknown device identities, invalid timestamps, impossible values and unsupported schema versions.</w:t>
      </w:r>
    </w:p>
    <w:p>
      <w:pPr>
        <w:spacing w:after="80" w:line="283" w:lineRule="auto"/>
        <w:ind w:left="540" w:hanging="271"/>
        <w:keepNext w:val="0"/>
        <w:keepLines/>
        <w:widowControl/>
        <w:numPr>
          <w:ilvl w:val="0"/>
          <w:numId w:val="17"/>
        </w:numPr>
      </w:pPr>
      <w:r>
        <w:t>Use message_id for deduplication; devices may retransmit after connection loss.</w:t>
      </w:r>
    </w:p>
    <w:p>
      <w:pPr>
        <w:spacing w:after="80" w:line="283" w:lineRule="auto"/>
        <w:ind w:left="540" w:hanging="271"/>
        <w:keepNext w:val="0"/>
        <w:keepLines/>
        <w:widowControl/>
        <w:numPr>
          <w:ilvl w:val="0"/>
          <w:numId w:val="17"/>
        </w:numPr>
      </w:pPr>
      <w:r>
        <w:t>Commands include command_id, requested_at, expires_at and expected configuration version.</w:t>
      </w:r>
    </w:p>
    <w:p>
      <w:pPr>
        <w:spacing w:after="80" w:line="283" w:lineRule="auto"/>
        <w:ind w:left="540" w:hanging="271"/>
        <w:keepNext w:val="0"/>
        <w:keepLines/>
        <w:widowControl/>
        <w:numPr>
          <w:ilvl w:val="0"/>
          <w:numId w:val="17"/>
        </w:numPr>
      </w:pPr>
      <w:r>
        <w:t>The device acknowledges accepted, completed, rejected and expired commands with a machine-readable reason.</w:t>
      </w:r>
    </w:p>
    <w:p>
      <w:pPr>
        <w:spacing w:after="80" w:line="283" w:lineRule="auto"/>
        <w:ind w:left="540" w:hanging="271"/>
        <w:keepNext w:val="0"/>
        <w:keepLines/>
        <w:widowControl/>
        <w:numPr>
          <w:ilvl w:val="0"/>
          <w:numId w:val="17"/>
        </w:numPr>
      </w:pPr>
      <w:r>
        <w:t>Device safety interlocks always override a remote command.</w:t>
      </w:r>
    </w:p>
    <w:p>
      <w:pPr>
        <w:pStyle w:val="Heading1"/>
        <w:pageBreakBefore/>
        <w:pBdr>
          <w:bottom w:val="single" w:sz="12" w:space="4" w:color="155C43"/>
        </w:pBdr>
      </w:pPr>
      <w:r>
        <w:t>9. Functional requirements</w:t>
      </w:r>
    </w:p>
    <w:p>
      <w:pPr>
        <w:keepNext/>
        <w:keepLines w:val="0"/>
        <w:widowControl/>
        <w:spacing w:after="160"/>
      </w:pPr>
      <w:r>
        <w:rPr>
          <w:rFonts w:ascii="Calibri" w:hAnsi="Calibri" w:eastAsia="Calibri"/>
          <w:i/>
          <w:color w:val="5A6864"/>
          <w:sz w:val="21"/>
        </w:rPr>
        <w:t>These requirements define the minimum usable product. Each one must have linked verification evidence.</w:t>
      </w:r>
    </w:p>
    <w:tbl>
      <w:tblPr>
        <w:tblW w:type="dxa" w:w="9360"/>
        <w:jc w:val="center"/>
        <w:tblLayout w:type="fixed"/>
        <w:tblLook w:firstColumn="1" w:firstRow="1" w:lastColumn="0" w:lastRow="0" w:noHBand="0" w:noVBand="1" w:val="04A0"/>
      </w:tblPr>
      <w:tblGrid>
        <w:gridCol w:w="780"/>
        <w:gridCol w:w="3760"/>
        <w:gridCol w:w="4820"/>
      </w:tblGrid>
      <w:tr>
        <w:trPr>
          <w:tblHeader w:val="true"/>
          <w:cantSplit/>
        </w:trPr>
        <w:tc>
          <w:tcPr>
            <w:tcW w:type="dxa" w:w="78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ID</w:t>
            </w:r>
          </w:p>
        </w:tc>
        <w:tc>
          <w:tcPr>
            <w:tcW w:type="dxa" w:w="37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Requirement</w:t>
            </w:r>
          </w:p>
        </w:tc>
        <w:tc>
          <w:tcPr>
            <w:tcW w:type="dxa" w:w="482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Acceptance criterion</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FR-01</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Sample all baseline sensors.</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Configured samples are time-stamped and assigned a quality state.</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FR-02</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Control the circulation pump locally.</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Schedule operates without internet; low water forces pump off.</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FR-03</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Control the grow light locally.</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Photoperiod persists across reboot and runs without internet.</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FR-04</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Control ventilation locally.</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Fan rule uses validated air readings and defined fallback state.</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FR-05</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Support safe heater control if installed.</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Independent over-temperature and sensor-fault shutdown pass tests.</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FR-06</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Provide automatic and manual modes.</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User sees active mode; override expires or is explicitly cancelled.</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FR-07</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Detect actionable conditions.</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Low level, sensor fault, unsafe water temperature and prolonged offline state create alerts.</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FR-08</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Continue safely when disconnected.</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Essential schedules/interlocks operate through a 24-hour network outage.</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FR-09</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Buffer disconnected telemetry.</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At least 24 hours of configured samples sync without duplicate records.</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FR-10</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Publish device health.</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Last-seen, firmware, uptime, signal and fault summary are visible.</w:t>
            </w:r>
          </w:p>
        </w:tc>
      </w:tr>
    </w:tbl>
    <w:p>
      <w:pPr>
        <w:spacing w:after="0"/>
      </w:pPr>
    </w:p>
    <w:tbl>
      <w:tblPr>
        <w:tblW w:type="dxa" w:w="9360"/>
        <w:jc w:val="center"/>
        <w:tblLayout w:type="fixed"/>
        <w:tblLook w:firstColumn="1" w:firstRow="1" w:lastColumn="0" w:lastRow="0" w:noHBand="0" w:noVBand="1" w:val="04A0"/>
      </w:tblPr>
      <w:tblGrid>
        <w:gridCol w:w="780"/>
        <w:gridCol w:w="3760"/>
        <w:gridCol w:w="4820"/>
      </w:tblGrid>
      <w:tr>
        <w:trPr>
          <w:tblHeader w:val="true"/>
          <w:cantSplit/>
        </w:trPr>
        <w:tc>
          <w:tcPr>
            <w:tcW w:type="dxa" w:w="78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ID</w:t>
            </w:r>
          </w:p>
        </w:tc>
        <w:tc>
          <w:tcPr>
            <w:tcW w:type="dxa" w:w="37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Requirement</w:t>
            </w:r>
          </w:p>
        </w:tc>
        <w:tc>
          <w:tcPr>
            <w:tcW w:type="dxa" w:w="482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Acceptance criterion</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FR-11</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Authenticate product users.</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Only signed-in users can access owned growkits.</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FR-12</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Show current conditions and history.</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PWA displays latest readings, quality, trends and active outputs.</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FR-13</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Allow validated setting changes.</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Ranges are enforced and all changes are versioned/audited.</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FR-14</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Track alerts to closure.</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Users can view, acknowledge and close alerts with timestamps.</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FR-15</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Provide crop guidance.</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Selected plant profile shows stage targets and manual actions.</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FR-16</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Track maintenance.</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Calibration, cleaning, refill and inspection tasks can be scheduled and completed.</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FR-17</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Record a grow cycle.</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Planting, changes, harvest date, yield and notes are retained.</w:t>
            </w:r>
          </w:p>
        </w:tc>
      </w:tr>
      <w:tr>
        <w:trPr>
          <w:cantSplit/>
        </w:trPr>
        <w:tc>
          <w:tcPr>
            <w:tcW w:type="dxa" w:w="7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FR-18</w:t>
            </w:r>
          </w:p>
        </w:tc>
        <w:tc>
          <w:tcPr>
            <w:tcW w:type="dxa" w:w="37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Support secure remote commands.</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Command is authenticated, expires, is acknowledged and obeys local interlocks.</w:t>
            </w:r>
          </w:p>
        </w:tc>
      </w:tr>
      <w:tr>
        <w:trPr>
          <w:cantSplit/>
        </w:trPr>
        <w:tc>
          <w:tcPr>
            <w:tcW w:type="dxa" w:w="7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FR-19</w:t>
            </w:r>
          </w:p>
        </w:tc>
        <w:tc>
          <w:tcPr>
            <w:tcW w:type="dxa" w:w="37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Recover predictably after restart.</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Saved config loads, outputs start safe, and service resumes without user intervention.</w:t>
            </w:r>
          </w:p>
        </w:tc>
      </w:tr>
    </w:tbl>
    <w:p>
      <w:pPr>
        <w:spacing w:after="0"/>
      </w:pPr>
    </w:p>
    <w:p>
      <w:pPr>
        <w:pStyle w:val="Heading1"/>
        <w:pBdr>
          <w:bottom w:val="single" w:sz="12" w:space="4" w:color="155C43"/>
        </w:pBdr>
      </w:pPr>
      <w:r>
        <w:t>10. Non-functional requirements</w:t>
      </w:r>
    </w:p>
    <w:p>
      <w:pPr>
        <w:keepNext/>
        <w:keepLines w:val="0"/>
        <w:widowControl/>
        <w:spacing w:after="160"/>
      </w:pPr>
      <w:r>
        <w:rPr>
          <w:rFonts w:ascii="Calibri" w:hAnsi="Calibri" w:eastAsia="Calibri"/>
          <w:i/>
          <w:color w:val="5A6864"/>
          <w:sz w:val="21"/>
        </w:rPr>
        <w:t>Quality targets protect the household, plants, data and future maintainability of the business.</w:t>
      </w:r>
    </w:p>
    <w:tbl>
      <w:tblPr>
        <w:tblW w:type="dxa" w:w="9360"/>
        <w:jc w:val="center"/>
        <w:tblLayout w:type="fixed"/>
        <w:tblLook w:firstColumn="1" w:firstRow="1" w:lastColumn="0" w:lastRow="0" w:noHBand="0" w:noVBand="1" w:val="04A0"/>
      </w:tblPr>
      <w:tblGrid>
        <w:gridCol w:w="950"/>
        <w:gridCol w:w="1700"/>
        <w:gridCol w:w="6710"/>
      </w:tblGrid>
      <w:tr>
        <w:trPr>
          <w:tblHeader w:val="true"/>
          <w:cantSplit/>
        </w:trPr>
        <w:tc>
          <w:tcPr>
            <w:tcW w:type="dxa" w:w="9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ID</w:t>
            </w:r>
          </w:p>
        </w:tc>
        <w:tc>
          <w:tcPr>
            <w:tcW w:type="dxa" w:w="17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Quality</w:t>
            </w:r>
          </w:p>
        </w:tc>
        <w:tc>
          <w:tcPr>
            <w:tcW w:type="dxa" w:w="671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Baseline requirement</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NFR-01</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Electrical safety</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Only certified external mains adapter; fused low-voltage branches; protected connectors; strain relief.</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NFR-02</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Water safety</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Electronics separated from leaks/condensation; drip paths, enclosure and inspection method documented.</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NFR-03</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Fail-safe behavior</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Pump/light/heater/fan enter defined safe states on reboot, invalid sensor or brownout.</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NFR-04</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Reliability</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Seven-day soak test passes with no uncontrolled reset, leak, overheating or lost control schedule.</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NFR-05</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Offline autonomy</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Core control continues for at least 24 hours with cloud unavailable.</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NFR-06</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Data integrity</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UTC timestamps, unit metadata, quality state, deduplication and schema version are enforced.</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NFR-07</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Security in transit</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TLS for external MQTT/HTTP; certificate validation enabled.</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NFR-08</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Credential security</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No real secret in source control or client app; device credentials are unique and replaceable.</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NFR-09</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Access control</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Database RLS separates users; service credentials remain server-side.</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NFR-10</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Privacy</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Collect minimum personal data; document purpose, retention, export and deletion path.</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NFR-11</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Usability</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Primary status is understandable on a phone without interpreting raw engineering units.</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NFR-12</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Performance</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Latest cloud data appears within 10 seconds under normal connectivity; local control is not cloud-dependent.</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NFR-13</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Maintainability</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Modular drivers, documented interfaces, lint/build/test checks, and reproducible releases.</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NFR-14</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Observability</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Device, integration and data errors include identifiers, time and actionable reason.</w:t>
            </w:r>
          </w:p>
        </w:tc>
      </w:tr>
      <w:tr>
        <w:trPr>
          <w:cantSplit/>
        </w:trPr>
        <w:tc>
          <w:tcPr>
            <w:tcW w:type="dxa" w:w="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NFR-15</w:t>
            </w:r>
          </w:p>
        </w:tc>
        <w:tc>
          <w:tcPr>
            <w:tcW w:type="dxa" w:w="1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Cost</w:t>
            </w:r>
          </w:p>
        </w:tc>
        <w:tc>
          <w:tcPr>
            <w:tcW w:type="dxa" w:w="6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Architecture stays within prototype free tiers and has a documented paid migration path.</w:t>
            </w:r>
          </w:p>
        </w:tc>
      </w:tr>
      <w:tr>
        <w:trPr>
          <w:cantSplit/>
        </w:trPr>
        <w:tc>
          <w:tcPr>
            <w:tcW w:type="dxa" w:w="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NFR-16</w:t>
            </w:r>
          </w:p>
        </w:tc>
        <w:tc>
          <w:tcPr>
            <w:tcW w:type="dxa" w:w="1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Accessibility</w:t>
            </w:r>
          </w:p>
        </w:tc>
        <w:tc>
          <w:tcPr>
            <w:tcW w:type="dxa" w:w="6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PWA uses readable type, adequate contrast, labels beyond colour, and touch-friendly controls.</w:t>
            </w:r>
          </w:p>
        </w:tc>
      </w:tr>
    </w:tbl>
    <w:p>
      <w:pPr>
        <w:spacing w:after="0"/>
      </w:pPr>
    </w:p>
    <w:p>
      <w:pPr>
        <w:pStyle w:val="Heading2"/>
      </w:pPr>
      <w:r>
        <w:t>10.1 Measurement accuracy targets</w:t>
      </w:r>
    </w:p>
    <w:tbl>
      <w:tblPr>
        <w:tblW w:type="dxa" w:w="9360"/>
        <w:jc w:val="center"/>
        <w:tblLayout w:type="fixed"/>
        <w:tblLook w:firstColumn="1" w:firstRow="1" w:lastColumn="0" w:lastRow="0" w:noHBand="0" w:noVBand="1" w:val="04A0"/>
      </w:tblPr>
      <w:tblGrid>
        <w:gridCol w:w="2400"/>
        <w:gridCol w:w="3700"/>
        <w:gridCol w:w="3260"/>
      </w:tblGrid>
      <w:tr>
        <w:trPr>
          <w:tblHeader w:val="true"/>
          <w:cantSplit/>
        </w:trPr>
        <w:tc>
          <w:tcPr>
            <w:tcW w:type="dxa" w:w="24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Metric</w:t>
            </w:r>
          </w:p>
        </w:tc>
        <w:tc>
          <w:tcPr>
            <w:tcW w:type="dxa" w:w="37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Initial acceptance target</w:t>
            </w:r>
          </w:p>
        </w:tc>
        <w:tc>
          <w:tcPr>
            <w:tcW w:type="dxa" w:w="32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Method</w:t>
            </w:r>
          </w:p>
        </w:tc>
      </w:tr>
      <w:tr>
        <w:trPr>
          <w:cantSplit/>
        </w:trPr>
        <w:tc>
          <w:tcPr>
            <w:tcW w:type="dxa" w:w="24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Air / water temperature</w:t>
            </w:r>
          </w:p>
        </w:tc>
        <w:tc>
          <w:tcPr>
            <w:tcW w:type="dxa" w:w="3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Within ±1.0 °C of traceable reference across operating range</w:t>
            </w:r>
          </w:p>
        </w:tc>
        <w:tc>
          <w:tcPr>
            <w:tcW w:type="dxa" w:w="32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Three-point comparison</w:t>
            </w:r>
          </w:p>
        </w:tc>
      </w:tr>
      <w:tr>
        <w:trPr>
          <w:cantSplit/>
        </w:trPr>
        <w:tc>
          <w:tcPr>
            <w:tcW w:type="dxa" w:w="24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Relative humidity</w:t>
            </w:r>
          </w:p>
        </w:tc>
        <w:tc>
          <w:tcPr>
            <w:tcW w:type="dxa" w:w="3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Within sensor datasheet tolerance; trend suitable for ventilation</w:t>
            </w:r>
          </w:p>
        </w:tc>
        <w:tc>
          <w:tcPr>
            <w:tcW w:type="dxa" w:w="32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Reference comparison</w:t>
            </w:r>
          </w:p>
        </w:tc>
      </w:tr>
      <w:tr>
        <w:trPr>
          <w:cantSplit/>
        </w:trPr>
        <w:tc>
          <w:tcPr>
            <w:tcW w:type="dxa" w:w="24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pH</w:t>
            </w:r>
          </w:p>
        </w:tc>
        <w:tc>
          <w:tcPr>
            <w:tcW w:type="dxa" w:w="3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Within ±0.2 pH after two/three-point calibration</w:t>
            </w:r>
          </w:p>
        </w:tc>
        <w:tc>
          <w:tcPr>
            <w:tcW w:type="dxa" w:w="32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Certified buffer solutions</w:t>
            </w:r>
          </w:p>
        </w:tc>
      </w:tr>
      <w:tr>
        <w:trPr>
          <w:cantSplit/>
        </w:trPr>
        <w:tc>
          <w:tcPr>
            <w:tcW w:type="dxa" w:w="24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EC</w:t>
            </w:r>
          </w:p>
        </w:tc>
        <w:tc>
          <w:tcPr>
            <w:tcW w:type="dxa" w:w="37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Within ±10% or sensor datasheet tolerance, whichever is stricter</w:t>
            </w:r>
          </w:p>
        </w:tc>
        <w:tc>
          <w:tcPr>
            <w:tcW w:type="dxa" w:w="32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Known conductivity solution</w:t>
            </w:r>
          </w:p>
        </w:tc>
      </w:tr>
      <w:tr>
        <w:trPr>
          <w:cantSplit/>
        </w:trPr>
        <w:tc>
          <w:tcPr>
            <w:tcW w:type="dxa" w:w="24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Water level</w:t>
            </w:r>
          </w:p>
        </w:tc>
        <w:tc>
          <w:tcPr>
            <w:tcW w:type="dxa" w:w="37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Correctly detects refill and pump-protection thresholds</w:t>
            </w:r>
          </w:p>
        </w:tc>
        <w:tc>
          <w:tcPr>
            <w:tcW w:type="dxa" w:w="32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Repeated fill/drain test</w:t>
            </w:r>
          </w:p>
        </w:tc>
      </w:tr>
    </w:tbl>
    <w:p>
      <w:pPr>
        <w:spacing w:after="0"/>
      </w:pPr>
    </w:p>
    <w:p>
      <w:pPr>
        <w:pStyle w:val="Heading1"/>
        <w:pageBreakBefore/>
        <w:pBdr>
          <w:bottom w:val="single" w:sz="12" w:space="4" w:color="155C43"/>
        </w:pBdr>
      </w:pPr>
      <w:r>
        <w:t>11. Electrical, safety and security baseline</w:t>
      </w:r>
    </w:p>
    <w:p>
      <w:pPr>
        <w:keepNext/>
        <w:keepLines w:val="0"/>
        <w:widowControl/>
        <w:spacing w:after="160"/>
      </w:pPr>
      <w:r>
        <w:rPr>
          <w:rFonts w:ascii="Calibri" w:hAnsi="Calibri" w:eastAsia="Calibri"/>
          <w:i/>
          <w:color w:val="5A6864"/>
          <w:sz w:val="21"/>
        </w:rPr>
        <w:t>Current drawings are treated as inputs, not approved build authority, until the checks below are closed.</w:t>
      </w:r>
    </w:p>
    <w:p>
      <w:pPr>
        <w:pStyle w:val="Heading2"/>
      </w:pPr>
      <w:r>
        <w:t>11.1 Electrical decisions</w:t>
      </w:r>
    </w:p>
    <w:p>
      <w:pPr>
        <w:spacing w:after="80" w:line="283" w:lineRule="auto"/>
        <w:ind w:left="540" w:hanging="271"/>
        <w:keepNext w:val="0"/>
        <w:keepLines/>
        <w:widowControl/>
        <w:numPr>
          <w:ilvl w:val="0"/>
          <w:numId w:val="18"/>
        </w:numPr>
      </w:pPr>
      <w:r>
        <w:t>Use an external certified 12 V DC, nominal 8 A supply for the prototype; verify actual load and headroom from measured current.</w:t>
      </w:r>
    </w:p>
    <w:p>
      <w:pPr>
        <w:spacing w:after="80" w:line="283" w:lineRule="auto"/>
        <w:ind w:left="540" w:hanging="271"/>
        <w:keepNext w:val="0"/>
        <w:keepLines/>
        <w:widowControl/>
        <w:numPr>
          <w:ilvl w:val="0"/>
          <w:numId w:val="18"/>
        </w:numPr>
      </w:pPr>
      <w:r>
        <w:t>Create separately protected branches for pump, light, fan/heater and logic. Final fuse ratings follow measured steady-state and inrush current plus cable/connector limits.</w:t>
      </w:r>
    </w:p>
    <w:p>
      <w:pPr>
        <w:spacing w:after="80" w:line="283" w:lineRule="auto"/>
        <w:ind w:left="540" w:hanging="271"/>
        <w:keepNext w:val="0"/>
        <w:keepLines/>
        <w:widowControl/>
        <w:numPr>
          <w:ilvl w:val="0"/>
          <w:numId w:val="18"/>
        </w:numPr>
      </w:pPr>
      <w:r>
        <w:t>Use a quality 12 V-to-5 V buck converter feeding ESP32 VIN/5 V; use the board regulator for 3.3 V logic unless the board design states otherwise.</w:t>
      </w:r>
    </w:p>
    <w:p>
      <w:pPr>
        <w:spacing w:after="80" w:line="283" w:lineRule="auto"/>
        <w:ind w:left="540" w:hanging="271"/>
        <w:keepNext w:val="0"/>
        <w:keepLines/>
        <w:widowControl/>
        <w:numPr>
          <w:ilvl w:val="0"/>
          <w:numId w:val="18"/>
        </w:numPr>
      </w:pPr>
      <w:r>
        <w:t>Select logic-level MOSFETs with low RDS(on) specified at a 2.5–3.3 V gate drive. IRFZ44N is not approved by default for direct ESP32 drive.</w:t>
      </w:r>
    </w:p>
    <w:p>
      <w:pPr>
        <w:spacing w:after="80" w:line="283" w:lineRule="auto"/>
        <w:ind w:left="540" w:hanging="271"/>
        <w:keepNext w:val="0"/>
        <w:keepLines/>
        <w:widowControl/>
        <w:numPr>
          <w:ilvl w:val="0"/>
          <w:numId w:val="18"/>
        </w:numPr>
      </w:pPr>
      <w:r>
        <w:t>Use flyback protection for inductive DC loads and suitable snubbing/suppression for the actual load type.</w:t>
      </w:r>
    </w:p>
    <w:p>
      <w:pPr>
        <w:spacing w:after="80" w:line="283" w:lineRule="auto"/>
        <w:ind w:left="540" w:hanging="271"/>
        <w:keepNext w:val="0"/>
        <w:keepLines/>
        <w:widowControl/>
        <w:numPr>
          <w:ilvl w:val="0"/>
          <w:numId w:val="18"/>
        </w:numPr>
      </w:pPr>
      <w:r>
        <w:t>Separate high-current, analogue sensing and logic wiring; use star returns where practical and verify analogue stability with loads switching.</w:t>
      </w:r>
    </w:p>
    <w:p>
      <w:pPr>
        <w:spacing w:after="80" w:line="283" w:lineRule="auto"/>
        <w:ind w:left="540" w:hanging="271"/>
        <w:keepNext w:val="0"/>
        <w:keepLines/>
        <w:widowControl/>
        <w:numPr>
          <w:ilvl w:val="0"/>
          <w:numId w:val="18"/>
        </w:numPr>
      </w:pPr>
      <w:r>
        <w:t>Avoid ESP32 boot-strapping pins GPIO12 and GPIO15 for externally driven functions until boot-state behavior is validated. The final pin map requires review.</w:t>
      </w:r>
    </w:p>
    <w:p>
      <w:pPr>
        <w:pStyle w:val="Heading2"/>
      </w:pPr>
      <w:r>
        <w:t>11.2 Safety controls</w:t>
      </w:r>
    </w:p>
    <w:tbl>
      <w:tblPr>
        <w:tblW w:type="dxa" w:w="9360"/>
        <w:jc w:val="center"/>
        <w:tblLayout w:type="fixed"/>
        <w:tblLook w:firstColumn="1" w:firstRow="1" w:lastColumn="0" w:lastRow="0" w:noHBand="0" w:noVBand="1" w:val="04A0"/>
      </w:tblPr>
      <w:tblGrid>
        <w:gridCol w:w="1850"/>
        <w:gridCol w:w="4670"/>
        <w:gridCol w:w="2840"/>
      </w:tblGrid>
      <w:tr>
        <w:trPr>
          <w:tblHeader w:val="true"/>
          <w:cantSplit/>
        </w:trPr>
        <w:tc>
          <w:tcPr>
            <w:tcW w:type="dxa" w:w="18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Hazard</w:t>
            </w:r>
          </w:p>
        </w:tc>
        <w:tc>
          <w:tcPr>
            <w:tcW w:type="dxa" w:w="467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Required control</w:t>
            </w:r>
          </w:p>
        </w:tc>
        <w:tc>
          <w:tcPr>
            <w:tcW w:type="dxa" w:w="284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Evidence before plant trial</w:t>
            </w:r>
          </w:p>
        </w:tc>
      </w:tr>
      <w:tr>
        <w:trPr>
          <w:cantSplit/>
        </w:trPr>
        <w:tc>
          <w:tcPr>
            <w:tcW w:type="dxa" w:w="18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Water + electricity</w:t>
            </w:r>
          </w:p>
        </w:tc>
        <w:tc>
          <w:tcPr>
            <w:tcW w:type="dxa" w:w="46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Low-voltage wet zone, sealed enclosure, drip loops, protected connectors, separation</w:t>
            </w:r>
          </w:p>
        </w:tc>
        <w:tc>
          <w:tcPr>
            <w:tcW w:type="dxa" w:w="28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Leak test + inspection record</w:t>
            </w:r>
          </w:p>
        </w:tc>
      </w:tr>
      <w:tr>
        <w:trPr>
          <w:cantSplit/>
        </w:trPr>
        <w:tc>
          <w:tcPr>
            <w:tcW w:type="dxa" w:w="18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Pump dry-run</w:t>
            </w:r>
          </w:p>
        </w:tc>
        <w:tc>
          <w:tcPr>
            <w:tcW w:type="dxa" w:w="46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Low-level interlock and safe restart rule</w:t>
            </w:r>
          </w:p>
        </w:tc>
        <w:tc>
          <w:tcPr>
            <w:tcW w:type="dxa" w:w="28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Repeated drain/refill test</w:t>
            </w:r>
          </w:p>
        </w:tc>
      </w:tr>
      <w:tr>
        <w:trPr>
          <w:cantSplit/>
        </w:trPr>
        <w:tc>
          <w:tcPr>
            <w:tcW w:type="dxa" w:w="18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Over-temperature</w:t>
            </w:r>
          </w:p>
        </w:tc>
        <w:tc>
          <w:tcPr>
            <w:tcW w:type="dxa" w:w="46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Current limiting, cable sizing, thermal check, heater hard limit if fitted</w:t>
            </w:r>
          </w:p>
        </w:tc>
        <w:tc>
          <w:tcPr>
            <w:tcW w:type="dxa" w:w="28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Worst-case load thermal test</w:t>
            </w:r>
          </w:p>
        </w:tc>
      </w:tr>
      <w:tr>
        <w:trPr>
          <w:cantSplit/>
        </w:trPr>
        <w:tc>
          <w:tcPr>
            <w:tcW w:type="dxa" w:w="18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Chemical handling</w:t>
            </w:r>
          </w:p>
        </w:tc>
        <w:tc>
          <w:tcPr>
            <w:tcW w:type="dxa" w:w="46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Manual dosing instructions, labelled storage, gloves/eye guidance, never mix concentrates</w:t>
            </w:r>
          </w:p>
        </w:tc>
        <w:tc>
          <w:tcPr>
            <w:tcW w:type="dxa" w:w="28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Operating procedure review</w:t>
            </w:r>
          </w:p>
        </w:tc>
      </w:tr>
      <w:tr>
        <w:trPr>
          <w:cantSplit/>
        </w:trPr>
        <w:tc>
          <w:tcPr>
            <w:tcW w:type="dxa" w:w="18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Structural failure</w:t>
            </w:r>
          </w:p>
        </w:tc>
        <w:tc>
          <w:tcPr>
            <w:tcW w:type="dxa" w:w="46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Stable footprint, supported channels/reservoir, safe tip resistance</w:t>
            </w:r>
          </w:p>
        </w:tc>
        <w:tc>
          <w:tcPr>
            <w:tcW w:type="dxa" w:w="28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Loaded stability test</w:t>
            </w:r>
          </w:p>
        </w:tc>
      </w:tr>
      <w:tr>
        <w:trPr>
          <w:cantSplit/>
        </w:trPr>
        <w:tc>
          <w:tcPr>
            <w:tcW w:type="dxa" w:w="18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Microbial growth</w:t>
            </w:r>
          </w:p>
        </w:tc>
        <w:tc>
          <w:tcPr>
            <w:tcW w:type="dxa" w:w="46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Cleaning schedule, opaque reservoir, water-change guidance</w:t>
            </w:r>
          </w:p>
        </w:tc>
        <w:tc>
          <w:tcPr>
            <w:tcW w:type="dxa" w:w="28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Maintenance checklist</w:t>
            </w:r>
          </w:p>
        </w:tc>
      </w:tr>
    </w:tbl>
    <w:p>
      <w:pPr>
        <w:spacing w:after="0"/>
      </w:pPr>
    </w:p>
    <w:p>
      <w:pPr>
        <w:pStyle w:val="Heading2"/>
      </w:pPr>
      <w:r>
        <w:t>11.3 Security controls</w:t>
      </w:r>
    </w:p>
    <w:p>
      <w:pPr>
        <w:spacing w:after="80" w:line="283" w:lineRule="auto"/>
        <w:ind w:left="540" w:hanging="271"/>
        <w:keepNext w:val="0"/>
        <w:keepLines/>
        <w:widowControl/>
        <w:numPr>
          <w:ilvl w:val="0"/>
          <w:numId w:val="19"/>
        </w:numPr>
      </w:pPr>
      <w:r>
        <w:t>Unique revocable credential per device; TLS certificate validation; no shared production password.</w:t>
      </w:r>
    </w:p>
    <w:p>
      <w:pPr>
        <w:spacing w:after="80" w:line="283" w:lineRule="auto"/>
        <w:ind w:left="540" w:hanging="271"/>
        <w:keepNext w:val="0"/>
        <w:keepLines/>
        <w:widowControl/>
        <w:numPr>
          <w:ilvl w:val="0"/>
          <w:numId w:val="19"/>
        </w:numPr>
      </w:pPr>
      <w:r>
        <w:t>No private key, certificate, API token, database service role or Wi-Fi password committed to Git.</w:t>
      </w:r>
    </w:p>
    <w:p>
      <w:pPr>
        <w:spacing w:after="80" w:line="283" w:lineRule="auto"/>
        <w:ind w:left="540" w:hanging="271"/>
        <w:keepNext w:val="0"/>
        <w:keepLines/>
        <w:widowControl/>
        <w:numPr>
          <w:ilvl w:val="0"/>
          <w:numId w:val="19"/>
        </w:numPr>
      </w:pPr>
      <w:r>
        <w:t>Supabase RLS enabled for every user-accessible table; service role used only in trusted server-side components.</w:t>
      </w:r>
    </w:p>
    <w:p>
      <w:pPr>
        <w:spacing w:after="80" w:line="283" w:lineRule="auto"/>
        <w:ind w:left="540" w:hanging="271"/>
        <w:keepNext w:val="0"/>
        <w:keepLines/>
        <w:widowControl/>
        <w:numPr>
          <w:ilvl w:val="0"/>
          <w:numId w:val="19"/>
        </w:numPr>
      </w:pPr>
      <w:r>
        <w:t>Commands are authenticated, expire, are idempotent where possible, and create an audit event.</w:t>
      </w:r>
    </w:p>
    <w:p>
      <w:pPr>
        <w:spacing w:after="80" w:line="283" w:lineRule="auto"/>
        <w:ind w:left="540" w:hanging="271"/>
        <w:keepNext w:val="0"/>
        <w:keepLines/>
        <w:widowControl/>
        <w:numPr>
          <w:ilvl w:val="0"/>
          <w:numId w:val="19"/>
        </w:numPr>
      </w:pPr>
      <w:r>
        <w:t>Dependency and firmware updates are reviewed and tested; secure OTA becomes a later controlled capability.</w:t>
      </w:r>
    </w:p>
    <w:p>
      <w:pPr>
        <w:spacing w:after="80" w:line="283" w:lineRule="auto"/>
        <w:ind w:left="540" w:hanging="271"/>
        <w:keepNext w:val="0"/>
        <w:keepLines/>
        <w:widowControl/>
        <w:numPr>
          <w:ilvl w:val="0"/>
          <w:numId w:val="19"/>
        </w:numPr>
      </w:pPr>
      <w:r>
        <w:t>Apply POPIA principles: purpose limitation, data minimisation, appropriate safeguards and a defined deletion path.</w:t>
      </w:r>
    </w:p>
    <w:p>
      <w:pPr>
        <w:pStyle w:val="Heading1"/>
        <w:pBdr>
          <w:bottom w:val="single" w:sz="12" w:space="4" w:color="155C43"/>
        </w:pBdr>
      </w:pPr>
      <w:r>
        <w:t>12. Verification and release gates</w:t>
      </w:r>
    </w:p>
    <w:p>
      <w:pPr>
        <w:keepNext/>
        <w:keepLines w:val="0"/>
        <w:widowControl/>
        <w:spacing w:after="160"/>
      </w:pPr>
      <w:r>
        <w:rPr>
          <w:rFonts w:ascii="Calibri" w:hAnsi="Calibri" w:eastAsia="Calibri"/>
          <w:i/>
          <w:color w:val="5A6864"/>
          <w:sz w:val="21"/>
        </w:rPr>
        <w:t>Progress is demonstrated by evidence, not by elapsed time or document completion alone.</w:t>
      </w:r>
    </w:p>
    <w:tbl>
      <w:tblPr>
        <w:tblW w:type="dxa" w:w="9360"/>
        <w:jc w:val="center"/>
        <w:tblLayout w:type="fixed"/>
        <w:tblLook w:firstColumn="1" w:firstRow="1" w:lastColumn="0" w:lastRow="0" w:noHBand="0" w:noVBand="1" w:val="04A0"/>
      </w:tblPr>
      <w:tblGrid>
        <w:gridCol w:w="1770"/>
        <w:gridCol w:w="5980"/>
        <w:gridCol w:w="1610"/>
      </w:tblGrid>
      <w:tr>
        <w:trPr>
          <w:tblHeader w:val="true"/>
          <w:cantSplit/>
        </w:trPr>
        <w:tc>
          <w:tcPr>
            <w:tcW w:type="dxa" w:w="177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Gate</w:t>
            </w:r>
          </w:p>
        </w:tc>
        <w:tc>
          <w:tcPr>
            <w:tcW w:type="dxa" w:w="598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Exit evidence</w:t>
            </w:r>
          </w:p>
        </w:tc>
        <w:tc>
          <w:tcPr>
            <w:tcW w:type="dxa" w:w="161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Owner</w:t>
            </w:r>
          </w:p>
        </w:tc>
      </w:tr>
      <w:tr>
        <w:trPr>
          <w:cantSplit/>
        </w:trPr>
        <w:tc>
          <w:tcPr>
            <w:tcW w:type="dxa" w:w="1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G0 — Baseline</w:t>
            </w:r>
          </w:p>
        </w:tc>
        <w:tc>
          <w:tcPr>
            <w:tcW w:type="dxa" w:w="59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Approved SSOT, reconciled BOM, final sensor part numbers, reviewed power budget and pin map</w:t>
            </w:r>
          </w:p>
        </w:tc>
        <w:tc>
          <w:tcPr>
            <w:tcW w:type="dxa" w:w="16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Product + hardware</w:t>
            </w:r>
          </w:p>
        </w:tc>
      </w:tr>
      <w:tr>
        <w:trPr>
          <w:cantSplit/>
        </w:trPr>
        <w:tc>
          <w:tcPr>
            <w:tcW w:type="dxa" w:w="1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G1 — Controller</w:t>
            </w:r>
          </w:p>
        </w:tc>
        <w:tc>
          <w:tcPr>
            <w:tcW w:type="dxa" w:w="59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USB driver/port resolved; reproducible firmware flash; serial logs captured</w:t>
            </w:r>
          </w:p>
        </w:tc>
        <w:tc>
          <w:tcPr>
            <w:tcW w:type="dxa" w:w="16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Firmware</w:t>
            </w:r>
          </w:p>
        </w:tc>
      </w:tr>
      <w:tr>
        <w:trPr>
          <w:cantSplit/>
        </w:trPr>
        <w:tc>
          <w:tcPr>
            <w:tcW w:type="dxa" w:w="1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G2 — Sensors</w:t>
            </w:r>
          </w:p>
        </w:tc>
        <w:tc>
          <w:tcPr>
            <w:tcW w:type="dxa" w:w="59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Each sensor driver passes plausibility, disconnect and calibration tests</w:t>
            </w:r>
          </w:p>
        </w:tc>
        <w:tc>
          <w:tcPr>
            <w:tcW w:type="dxa" w:w="16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Firmware + test</w:t>
            </w:r>
          </w:p>
        </w:tc>
      </w:tr>
      <w:tr>
        <w:trPr>
          <w:cantSplit/>
        </w:trPr>
        <w:tc>
          <w:tcPr>
            <w:tcW w:type="dxa" w:w="1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G3 — Outputs</w:t>
            </w:r>
          </w:p>
        </w:tc>
        <w:tc>
          <w:tcPr>
            <w:tcW w:type="dxa" w:w="59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Dummy-load switching, current/inrush, flyback/suppression and thermal evidence</w:t>
            </w:r>
          </w:p>
        </w:tc>
        <w:tc>
          <w:tcPr>
            <w:tcW w:type="dxa" w:w="16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Hardware + firmware</w:t>
            </w:r>
          </w:p>
        </w:tc>
      </w:tr>
      <w:tr>
        <w:trPr>
          <w:cantSplit/>
        </w:trPr>
        <w:tc>
          <w:tcPr>
            <w:tcW w:type="dxa" w:w="1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G4 — Local automation</w:t>
            </w:r>
          </w:p>
        </w:tc>
        <w:tc>
          <w:tcPr>
            <w:tcW w:type="dxa" w:w="59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Schedules, interlocks, restart recovery and manual override pass offline</w:t>
            </w:r>
          </w:p>
        </w:tc>
        <w:tc>
          <w:tcPr>
            <w:tcW w:type="dxa" w:w="16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Firmware</w:t>
            </w:r>
          </w:p>
        </w:tc>
      </w:tr>
      <w:tr>
        <w:trPr>
          <w:cantSplit/>
        </w:trPr>
        <w:tc>
          <w:tcPr>
            <w:tcW w:type="dxa" w:w="1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G5 — Connected data</w:t>
            </w:r>
          </w:p>
        </w:tc>
        <w:tc>
          <w:tcPr>
            <w:tcW w:type="dxa" w:w="59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MQTT/TLS, validation, deduplication, Supabase writes and reconnection pass</w:t>
            </w:r>
          </w:p>
        </w:tc>
        <w:tc>
          <w:tcPr>
            <w:tcW w:type="dxa" w:w="16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Integration</w:t>
            </w:r>
          </w:p>
        </w:tc>
      </w:tr>
      <w:tr>
        <w:trPr>
          <w:cantSplit/>
        </w:trPr>
        <w:tc>
          <w:tcPr>
            <w:tcW w:type="dxa" w:w="1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G6 — User experience</w:t>
            </w:r>
          </w:p>
        </w:tc>
        <w:tc>
          <w:tcPr>
            <w:tcW w:type="dxa" w:w="59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PWA ownership, status, settings, alerts and maintenance pass user scenarios</w:t>
            </w:r>
          </w:p>
        </w:tc>
        <w:tc>
          <w:tcPr>
            <w:tcW w:type="dxa" w:w="16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Web + product</w:t>
            </w:r>
          </w:p>
        </w:tc>
      </w:tr>
      <w:tr>
        <w:trPr>
          <w:cantSplit/>
        </w:trPr>
        <w:tc>
          <w:tcPr>
            <w:tcW w:type="dxa" w:w="1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G7 — Integrated hardware</w:t>
            </w:r>
          </w:p>
        </w:tc>
        <w:tc>
          <w:tcPr>
            <w:tcW w:type="dxa" w:w="59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Enclosure, leak, cable, flow, noise, stability and wet-environment inspections pass</w:t>
            </w:r>
          </w:p>
        </w:tc>
        <w:tc>
          <w:tcPr>
            <w:tcW w:type="dxa" w:w="16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Hardware + safety</w:t>
            </w:r>
          </w:p>
        </w:tc>
      </w:tr>
      <w:tr>
        <w:trPr>
          <w:cantSplit/>
        </w:trPr>
        <w:tc>
          <w:tcPr>
            <w:tcW w:type="dxa" w:w="1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G8 — Reliability</w:t>
            </w:r>
          </w:p>
        </w:tc>
        <w:tc>
          <w:tcPr>
            <w:tcW w:type="dxa" w:w="59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Seven-day soak with controlled outage/reboot scenarios and no critical failure</w:t>
            </w:r>
          </w:p>
        </w:tc>
        <w:tc>
          <w:tcPr>
            <w:tcW w:type="dxa" w:w="16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Whole team</w:t>
            </w:r>
          </w:p>
        </w:tc>
      </w:tr>
      <w:tr>
        <w:trPr>
          <w:cantSplit/>
        </w:trPr>
        <w:tc>
          <w:tcPr>
            <w:tcW w:type="dxa" w:w="1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G9 — Crop proof</w:t>
            </w:r>
          </w:p>
        </w:tc>
        <w:tc>
          <w:tcPr>
            <w:tcW w:type="dxa" w:w="59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Complete 28–35 day leafy-green cycle with yield, interventions, cost and lessons recorded</w:t>
            </w:r>
          </w:p>
        </w:tc>
        <w:tc>
          <w:tcPr>
            <w:tcW w:type="dxa" w:w="16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Product + grow trial</w:t>
            </w:r>
          </w:p>
        </w:tc>
      </w:tr>
    </w:tbl>
    <w:p>
      <w:pPr>
        <w:spacing w:after="0"/>
      </w:pPr>
    </w:p>
    <w:p>
      <w:pPr>
        <w:pStyle w:val="Heading2"/>
      </w:pPr>
      <w:r>
        <w:t>12.1 Definition of Done for Version 1</w:t>
      </w:r>
    </w:p>
    <w:p>
      <w:pPr>
        <w:spacing w:after="80" w:line="283" w:lineRule="auto"/>
        <w:ind w:left="540" w:hanging="271"/>
        <w:keepNext w:val="0"/>
        <w:keepLines/>
        <w:widowControl/>
        <w:numPr>
          <w:ilvl w:val="0"/>
          <w:numId w:val="20"/>
        </w:numPr>
      </w:pPr>
      <w:r>
        <w:t>A complete GrowKit operates for seven days without leak, dangerous temperature, uncontrolled reset or missed essential schedule.</w:t>
      </w:r>
    </w:p>
    <w:p>
      <w:pPr>
        <w:spacing w:after="80" w:line="283" w:lineRule="auto"/>
        <w:ind w:left="540" w:hanging="271"/>
        <w:keepNext w:val="0"/>
        <w:keepLines/>
        <w:widowControl/>
        <w:numPr>
          <w:ilvl w:val="0"/>
          <w:numId w:val="20"/>
        </w:numPr>
      </w:pPr>
      <w:r>
        <w:t>All five sensor functions have documented part numbers, calibration method and accepted results.</w:t>
      </w:r>
    </w:p>
    <w:p>
      <w:pPr>
        <w:spacing w:after="80" w:line="283" w:lineRule="auto"/>
        <w:ind w:left="540" w:hanging="271"/>
        <w:keepNext w:val="0"/>
        <w:keepLines/>
        <w:widowControl/>
        <w:numPr>
          <w:ilvl w:val="0"/>
          <w:numId w:val="20"/>
        </w:numPr>
      </w:pPr>
      <w:r>
        <w:t>The unit maintains safe local operation through loss of Wi-Fi/cloud and correctly resynchronises.</w:t>
      </w:r>
    </w:p>
    <w:p>
      <w:pPr>
        <w:spacing w:after="80" w:line="283" w:lineRule="auto"/>
        <w:ind w:left="540" w:hanging="271"/>
        <w:keepNext w:val="0"/>
        <w:keepLines/>
        <w:widowControl/>
        <w:numPr>
          <w:ilvl w:val="0"/>
          <w:numId w:val="20"/>
        </w:numPr>
      </w:pPr>
      <w:r>
        <w:t>The customer PWA shows owned kit status, history, alerts, settings and maintenance actions.</w:t>
      </w:r>
    </w:p>
    <w:p>
      <w:pPr>
        <w:spacing w:after="80" w:line="283" w:lineRule="auto"/>
        <w:ind w:left="540" w:hanging="271"/>
        <w:keepNext w:val="0"/>
        <w:keepLines/>
        <w:widowControl/>
        <w:numPr>
          <w:ilvl w:val="0"/>
          <w:numId w:val="20"/>
        </w:numPr>
      </w:pPr>
      <w:r>
        <w:t>One leafy-green grow cycle records planting, environment, interventions, harvest/yield and running costs.</w:t>
      </w:r>
    </w:p>
    <w:p>
      <w:pPr>
        <w:spacing w:after="80" w:line="283" w:lineRule="auto"/>
        <w:ind w:left="540" w:hanging="271"/>
        <w:keepNext w:val="0"/>
        <w:keepLines/>
        <w:widowControl/>
        <w:numPr>
          <w:ilvl w:val="0"/>
          <w:numId w:val="20"/>
        </w:numPr>
      </w:pPr>
      <w:r>
        <w:t>Firmware, database migrations, Node-RED flows, web code, BOM, schematic, pin map and operating guide are versioned and reproducible.</w:t>
      </w:r>
    </w:p>
    <w:p>
      <w:pPr>
        <w:pStyle w:val="Heading1"/>
        <w:pBdr>
          <w:bottom w:val="single" w:sz="12" w:space="4" w:color="155C43"/>
        </w:pBdr>
      </w:pPr>
      <w:r>
        <w:t>13. Delivery roadmap and immediate backlog</w:t>
      </w:r>
    </w:p>
    <w:p>
      <w:pPr>
        <w:keepNext/>
        <w:keepLines w:val="0"/>
        <w:widowControl/>
        <w:spacing w:after="160"/>
      </w:pPr>
      <w:r>
        <w:rPr>
          <w:rFonts w:ascii="Calibri" w:hAnsi="Calibri" w:eastAsia="Calibri"/>
          <w:i/>
          <w:color w:val="5A6864"/>
          <w:sz w:val="21"/>
        </w:rPr>
        <w:t>The sequence removes the current hardware blocker first, then proves one vertical slice before adding breadth.</w:t>
      </w:r>
    </w:p>
    <w:p>
      <w:pPr>
        <w:pStyle w:val="Heading2"/>
      </w:pPr>
      <w:r>
        <w:t>13.1 Ten-week execution baseline</w:t>
      </w:r>
    </w:p>
    <w:tbl>
      <w:tblPr>
        <w:tblW w:type="dxa" w:w="9360"/>
        <w:jc w:val="center"/>
        <w:tblLayout w:type="fixed"/>
        <w:tblLook w:firstColumn="1" w:firstRow="1" w:lastColumn="0" w:lastRow="0" w:noHBand="0" w:noVBand="1" w:val="04A0"/>
      </w:tblPr>
      <w:tblGrid>
        <w:gridCol w:w="900"/>
        <w:gridCol w:w="5600"/>
        <w:gridCol w:w="2860"/>
      </w:tblGrid>
      <w:tr>
        <w:trPr>
          <w:tblHeader w:val="true"/>
          <w:cantSplit/>
        </w:trPr>
        <w:tc>
          <w:tcPr>
            <w:tcW w:type="dxa" w:w="9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Week</w:t>
            </w:r>
          </w:p>
        </w:tc>
        <w:tc>
          <w:tcPr>
            <w:tcW w:type="dxa" w:w="56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Primary outcome</w:t>
            </w:r>
          </w:p>
        </w:tc>
        <w:tc>
          <w:tcPr>
            <w:tcW w:type="dxa" w:w="28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Exit artifact</w:t>
            </w:r>
          </w:p>
        </w:tc>
      </w:tr>
      <w:tr>
        <w:trPr>
          <w:cantSplit/>
        </w:trPr>
        <w:tc>
          <w:tcPr>
            <w:tcW w:type="dxa" w:w="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1</w:t>
            </w:r>
          </w:p>
        </w:tc>
        <w:tc>
          <w:tcPr>
            <w:tcW w:type="dxa" w:w="5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Resolve flashing path; reconcile BOM, power budget, pin map and safety actions</w:t>
            </w:r>
          </w:p>
        </w:tc>
        <w:tc>
          <w:tcPr>
            <w:tcW w:type="dxa" w:w="28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G0/G1 evidence pack</w:t>
            </w:r>
          </w:p>
        </w:tc>
      </w:tr>
      <w:tr>
        <w:trPr>
          <w:cantSplit/>
        </w:trPr>
        <w:tc>
          <w:tcPr>
            <w:tcW w:type="dxa" w:w="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2</w:t>
            </w:r>
          </w:p>
        </w:tc>
        <w:tc>
          <w:tcPr>
            <w:tcW w:type="dxa" w:w="5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Integrate and calibrate sensors one at a time</w:t>
            </w:r>
          </w:p>
        </w:tc>
        <w:tc>
          <w:tcPr>
            <w:tcW w:type="dxa" w:w="28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Sensor test report</w:t>
            </w:r>
          </w:p>
        </w:tc>
      </w:tr>
      <w:tr>
        <w:trPr>
          <w:cantSplit/>
        </w:trPr>
        <w:tc>
          <w:tcPr>
            <w:tcW w:type="dxa" w:w="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3</w:t>
            </w:r>
          </w:p>
        </w:tc>
        <w:tc>
          <w:tcPr>
            <w:tcW w:type="dxa" w:w="5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Validate outputs with dummy loads, then real 12 V loads</w:t>
            </w:r>
          </w:p>
        </w:tc>
        <w:tc>
          <w:tcPr>
            <w:tcW w:type="dxa" w:w="28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Switching/current/thermal report</w:t>
            </w:r>
          </w:p>
        </w:tc>
      </w:tr>
      <w:tr>
        <w:trPr>
          <w:cantSplit/>
        </w:trPr>
        <w:tc>
          <w:tcPr>
            <w:tcW w:type="dxa" w:w="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4</w:t>
            </w:r>
          </w:p>
        </w:tc>
        <w:tc>
          <w:tcPr>
            <w:tcW w:type="dxa" w:w="5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Implement local schedules, interlocks, persistence and fault states</w:t>
            </w:r>
          </w:p>
        </w:tc>
        <w:tc>
          <w:tcPr>
            <w:tcW w:type="dxa" w:w="28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Offline automation test</w:t>
            </w:r>
          </w:p>
        </w:tc>
      </w:tr>
      <w:tr>
        <w:trPr>
          <w:cantSplit/>
        </w:trPr>
        <w:tc>
          <w:tcPr>
            <w:tcW w:type="dxa" w:w="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5</w:t>
            </w:r>
          </w:p>
        </w:tc>
        <w:tc>
          <w:tcPr>
            <w:tcW w:type="dxa" w:w="5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Connect MQTT/TLS, topics, payload validation and local buffering</w:t>
            </w:r>
          </w:p>
        </w:tc>
        <w:tc>
          <w:tcPr>
            <w:tcW w:type="dxa" w:w="28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End-to-end telemetry demo</w:t>
            </w:r>
          </w:p>
        </w:tc>
      </w:tr>
      <w:tr>
        <w:trPr>
          <w:cantSplit/>
        </w:trPr>
        <w:tc>
          <w:tcPr>
            <w:tcW w:type="dxa" w:w="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6</w:t>
            </w:r>
          </w:p>
        </w:tc>
        <w:tc>
          <w:tcPr>
            <w:tcW w:type="dxa" w:w="5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Create Supabase schema/RLS and Node-RED flows</w:t>
            </w:r>
          </w:p>
        </w:tc>
        <w:tc>
          <w:tcPr>
            <w:tcW w:type="dxa" w:w="28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Versioned data platform</w:t>
            </w:r>
          </w:p>
        </w:tc>
      </w:tr>
      <w:tr>
        <w:trPr>
          <w:cantSplit/>
        </w:trPr>
        <w:tc>
          <w:tcPr>
            <w:tcW w:type="dxa" w:w="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7</w:t>
            </w:r>
          </w:p>
        </w:tc>
        <w:tc>
          <w:tcPr>
            <w:tcW w:type="dxa" w:w="5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Build PWA status, history, settings, alerts and maintenance</w:t>
            </w:r>
          </w:p>
        </w:tc>
        <w:tc>
          <w:tcPr>
            <w:tcW w:type="dxa" w:w="28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G6 user-scenario demo</w:t>
            </w:r>
          </w:p>
        </w:tc>
      </w:tr>
      <w:tr>
        <w:trPr>
          <w:cantSplit/>
        </w:trPr>
        <w:tc>
          <w:tcPr>
            <w:tcW w:type="dxa" w:w="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8</w:t>
            </w:r>
          </w:p>
        </w:tc>
        <w:tc>
          <w:tcPr>
            <w:tcW w:type="dxa" w:w="5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Install enclosure, plumbing and wiring; run leak/flow/stability tests</w:t>
            </w:r>
          </w:p>
        </w:tc>
        <w:tc>
          <w:tcPr>
            <w:tcW w:type="dxa" w:w="28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Integrated safety checklist</w:t>
            </w:r>
          </w:p>
        </w:tc>
      </w:tr>
      <w:tr>
        <w:trPr>
          <w:cantSplit/>
        </w:trPr>
        <w:tc>
          <w:tcPr>
            <w:tcW w:type="dxa" w:w="9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9</w:t>
            </w:r>
          </w:p>
        </w:tc>
        <w:tc>
          <w:tcPr>
            <w:tcW w:type="dxa" w:w="56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Run seven-day soak including outages, restart and low-water scenarios</w:t>
            </w:r>
          </w:p>
        </w:tc>
        <w:tc>
          <w:tcPr>
            <w:tcW w:type="dxa" w:w="28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Reliability report</w:t>
            </w:r>
          </w:p>
        </w:tc>
      </w:tr>
      <w:tr>
        <w:trPr>
          <w:cantSplit/>
        </w:trPr>
        <w:tc>
          <w:tcPr>
            <w:tcW w:type="dxa" w:w="9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10</w:t>
            </w:r>
          </w:p>
        </w:tc>
        <w:tc>
          <w:tcPr>
            <w:tcW w:type="dxa" w:w="56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Start controlled grow trial; finalise operating and support guides</w:t>
            </w:r>
          </w:p>
        </w:tc>
        <w:tc>
          <w:tcPr>
            <w:tcW w:type="dxa" w:w="28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Pilot-ready release candidate</w:t>
            </w:r>
          </w:p>
        </w:tc>
      </w:tr>
    </w:tbl>
    <w:p>
      <w:pPr>
        <w:spacing w:after="0"/>
      </w:pPr>
    </w:p>
    <w:p>
      <w:pPr>
        <w:pStyle w:val="Heading2"/>
      </w:pPr>
      <w:r>
        <w:t>13.2 Immediate next actions</w:t>
      </w:r>
    </w:p>
    <w:tbl>
      <w:tblPr>
        <w:tblW w:type="dxa" w:w="9360"/>
        <w:jc w:val="center"/>
        <w:tblLayout w:type="fixed"/>
        <w:tblLook w:firstColumn="1" w:firstRow="1" w:lastColumn="0" w:lastRow="0" w:noHBand="0" w:noVBand="1" w:val="04A0"/>
      </w:tblPr>
      <w:tblGrid>
        <w:gridCol w:w="1080"/>
        <w:gridCol w:w="5000"/>
        <w:gridCol w:w="3280"/>
      </w:tblGrid>
      <w:tr>
        <w:trPr>
          <w:tblHeader w:val="true"/>
          <w:cantSplit/>
        </w:trPr>
        <w:tc>
          <w:tcPr>
            <w:tcW w:type="dxa" w:w="108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Priority</w:t>
            </w:r>
          </w:p>
        </w:tc>
        <w:tc>
          <w:tcPr>
            <w:tcW w:type="dxa" w:w="50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Action</w:t>
            </w:r>
          </w:p>
        </w:tc>
        <w:tc>
          <w:tcPr>
            <w:tcW w:type="dxa" w:w="328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Completion evidence</w:t>
            </w:r>
          </w:p>
        </w:tc>
      </w:tr>
      <w:tr>
        <w:trPr>
          <w:cantSplit/>
        </w:trPr>
        <w:tc>
          <w:tcPr>
            <w:tcW w:type="dxa" w:w="10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P0</w:t>
            </w:r>
          </w:p>
        </w:tc>
        <w:tc>
          <w:tcPr>
            <w:tcW w:type="dxa" w:w="5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Install/verify the correct USB-to-serial driver and flash a minimal ESP32 build</w:t>
            </w:r>
          </w:p>
        </w:tc>
        <w:tc>
          <w:tcPr>
            <w:tcW w:type="dxa" w:w="32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Port, board ID, build command and serial output documented</w:t>
            </w:r>
          </w:p>
        </w:tc>
      </w:tr>
      <w:tr>
        <w:trPr>
          <w:cantSplit/>
        </w:trPr>
        <w:tc>
          <w:tcPr>
            <w:tcW w:type="dxa" w:w="10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P0</w:t>
            </w:r>
          </w:p>
        </w:tc>
        <w:tc>
          <w:tcPr>
            <w:tcW w:type="dxa" w:w="50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Replace contradictory BOMs with one line-item register including quantity, exact part, voltage/current, supplier and status</w:t>
            </w:r>
          </w:p>
        </w:tc>
        <w:tc>
          <w:tcPr>
            <w:tcW w:type="dxa" w:w="32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Approved BOM revision</w:t>
            </w:r>
          </w:p>
        </w:tc>
      </w:tr>
      <w:tr>
        <w:trPr>
          <w:cantSplit/>
        </w:trPr>
        <w:tc>
          <w:tcPr>
            <w:tcW w:type="dxa" w:w="10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P0</w:t>
            </w:r>
          </w:p>
        </w:tc>
        <w:tc>
          <w:tcPr>
            <w:tcW w:type="dxa" w:w="5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Review power switching: fuse selection, load current/inrush, MOSFET gate drive, flyback/suppression and conductor sizing</w:t>
            </w:r>
          </w:p>
        </w:tc>
        <w:tc>
          <w:tcPr>
            <w:tcW w:type="dxa" w:w="32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Signed electrical review</w:t>
            </w:r>
          </w:p>
        </w:tc>
      </w:tr>
      <w:tr>
        <w:trPr>
          <w:cantSplit/>
        </w:trPr>
        <w:tc>
          <w:tcPr>
            <w:tcW w:type="dxa" w:w="10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P0</w:t>
            </w:r>
          </w:p>
        </w:tc>
        <w:tc>
          <w:tcPr>
            <w:tcW w:type="dxa" w:w="50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Select final sensor models and calibration consumables</w:t>
            </w:r>
          </w:p>
        </w:tc>
        <w:tc>
          <w:tcPr>
            <w:tcW w:type="dxa" w:w="32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Part-number and calibration register</w:t>
            </w:r>
          </w:p>
        </w:tc>
      </w:tr>
      <w:tr>
        <w:trPr>
          <w:cantSplit/>
        </w:trPr>
        <w:tc>
          <w:tcPr>
            <w:tcW w:type="dxa" w:w="10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P1</w:t>
            </w:r>
          </w:p>
        </w:tc>
        <w:tc>
          <w:tcPr>
            <w:tcW w:type="dxa" w:w="5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Create the new repository structure and branch protections</w:t>
            </w:r>
          </w:p>
        </w:tc>
        <w:tc>
          <w:tcPr>
            <w:tcW w:type="dxa" w:w="32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Clean main branch and owner rules</w:t>
            </w:r>
          </w:p>
        </w:tc>
      </w:tr>
      <w:tr>
        <w:trPr>
          <w:cantSplit/>
        </w:trPr>
        <w:tc>
          <w:tcPr>
            <w:tcW w:type="dxa" w:w="10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P1</w:t>
            </w:r>
          </w:p>
        </w:tc>
        <w:tc>
          <w:tcPr>
            <w:tcW w:type="dxa" w:w="50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Provision one Supabase project and one HiveMQ cluster; record setup without secrets</w:t>
            </w:r>
          </w:p>
        </w:tc>
        <w:tc>
          <w:tcPr>
            <w:tcW w:type="dxa" w:w="32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Connection test and secret inventory</w:t>
            </w:r>
          </w:p>
        </w:tc>
      </w:tr>
      <w:tr>
        <w:trPr>
          <w:cantSplit/>
        </w:trPr>
        <w:tc>
          <w:tcPr>
            <w:tcW w:type="dxa" w:w="10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P1</w:t>
            </w:r>
          </w:p>
        </w:tc>
        <w:tc>
          <w:tcPr>
            <w:tcW w:type="dxa" w:w="5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Implement one vertical slice: water temperature → MQTT → Node-RED → Supabase → PWA</w:t>
            </w:r>
          </w:p>
        </w:tc>
        <w:tc>
          <w:tcPr>
            <w:tcW w:type="dxa" w:w="32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Timestamped live demo and test</w:t>
            </w:r>
          </w:p>
        </w:tc>
      </w:tr>
    </w:tbl>
    <w:p>
      <w:pPr>
        <w:spacing w:after="0"/>
      </w:pPr>
    </w:p>
    <w:p>
      <w:pPr>
        <w:pStyle w:val="Heading1"/>
        <w:pBdr>
          <w:bottom w:val="single" w:sz="12" w:space="4" w:color="155C43"/>
        </w:pBdr>
      </w:pPr>
      <w:r>
        <w:t>14. Risks, assumptions and open decisions</w:t>
      </w:r>
    </w:p>
    <w:p>
      <w:pPr>
        <w:keepNext/>
        <w:keepLines w:val="0"/>
        <w:widowControl/>
        <w:spacing w:after="160"/>
      </w:pPr>
      <w:r>
        <w:rPr>
          <w:rFonts w:ascii="Calibri" w:hAnsi="Calibri" w:eastAsia="Calibri"/>
          <w:i/>
          <w:color w:val="5A6864"/>
          <w:sz w:val="21"/>
        </w:rPr>
        <w:t>Uncertainty is visible and owned; nothing in this register should be mistaken for a confirmed fact.</w:t>
      </w:r>
    </w:p>
    <w:p>
      <w:pPr>
        <w:pStyle w:val="Heading2"/>
      </w:pPr>
      <w:r>
        <w:t>14.1 Priority risk register</w:t>
      </w:r>
    </w:p>
    <w:tbl>
      <w:tblPr>
        <w:tblW w:type="dxa" w:w="9360"/>
        <w:jc w:val="center"/>
        <w:tblLayout w:type="fixed"/>
        <w:tblLook w:firstColumn="1" w:firstRow="1" w:lastColumn="0" w:lastRow="0" w:noHBand="0" w:noVBand="1" w:val="04A0"/>
      </w:tblPr>
      <w:tblGrid>
        <w:gridCol w:w="750"/>
        <w:gridCol w:w="3750"/>
        <w:gridCol w:w="1150"/>
        <w:gridCol w:w="3710"/>
      </w:tblGrid>
      <w:tr>
        <w:trPr>
          <w:tblHeader w:val="true"/>
          <w:cantSplit/>
        </w:trPr>
        <w:tc>
          <w:tcPr>
            <w:tcW w:type="dxa" w:w="7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ID</w:t>
            </w:r>
          </w:p>
        </w:tc>
        <w:tc>
          <w:tcPr>
            <w:tcW w:type="dxa" w:w="37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Risk</w:t>
            </w:r>
          </w:p>
        </w:tc>
        <w:tc>
          <w:tcPr>
            <w:tcW w:type="dxa" w:w="11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Exposure</w:t>
            </w:r>
          </w:p>
        </w:tc>
        <w:tc>
          <w:tcPr>
            <w:tcW w:type="dxa" w:w="371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Treatment / trigger</w:t>
            </w:r>
          </w:p>
        </w:tc>
      </w:tr>
      <w:tr>
        <w:trPr>
          <w:cantSplit/>
        </w:trPr>
        <w:tc>
          <w:tcPr>
            <w:tcW w:type="dxa" w:w="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R-01</w:t>
            </w:r>
          </w:p>
        </w:tc>
        <w:tc>
          <w:tcPr>
            <w:tcW w:type="dxa" w:w="3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Electrical design error in wet environment</w:t>
            </w:r>
          </w:p>
        </w:tc>
        <w:tc>
          <w:tcPr>
            <w:tcW w:type="dxa" w:w="1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High</w:t>
            </w:r>
          </w:p>
        </w:tc>
        <w:tc>
          <w:tcPr>
            <w:tcW w:type="dxa" w:w="3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Independent review before powered integrated wet test.</w:t>
            </w:r>
          </w:p>
        </w:tc>
      </w:tr>
      <w:tr>
        <w:trPr>
          <w:cantSplit/>
        </w:trPr>
        <w:tc>
          <w:tcPr>
            <w:tcW w:type="dxa" w:w="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R-02</w:t>
            </w:r>
          </w:p>
        </w:tc>
        <w:tc>
          <w:tcPr>
            <w:tcW w:type="dxa" w:w="3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Sensor drift or poor low-cost probe quality</w:t>
            </w:r>
          </w:p>
        </w:tc>
        <w:tc>
          <w:tcPr>
            <w:tcW w:type="dxa" w:w="11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High</w:t>
            </w:r>
          </w:p>
        </w:tc>
        <w:tc>
          <w:tcPr>
            <w:tcW w:type="dxa" w:w="3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Select replaceable probes; calibration schedule; quality flags.</w:t>
            </w:r>
          </w:p>
        </w:tc>
      </w:tr>
      <w:tr>
        <w:trPr>
          <w:cantSplit/>
        </w:trPr>
        <w:tc>
          <w:tcPr>
            <w:tcW w:type="dxa" w:w="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R-03</w:t>
            </w:r>
          </w:p>
        </w:tc>
        <w:tc>
          <w:tcPr>
            <w:tcW w:type="dxa" w:w="3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Free service pauses, limits or changes</w:t>
            </w:r>
          </w:p>
        </w:tc>
        <w:tc>
          <w:tcPr>
            <w:tcW w:type="dxa" w:w="1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Medium</w:t>
            </w:r>
          </w:p>
        </w:tc>
        <w:tc>
          <w:tcPr>
            <w:tcW w:type="dxa" w:w="3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Monitor quotas; keep standard interfaces; document migration path.</w:t>
            </w:r>
          </w:p>
        </w:tc>
      </w:tr>
      <w:tr>
        <w:trPr>
          <w:cantSplit/>
        </w:trPr>
        <w:tc>
          <w:tcPr>
            <w:tcW w:type="dxa" w:w="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R-04</w:t>
            </w:r>
          </w:p>
        </w:tc>
        <w:tc>
          <w:tcPr>
            <w:tcW w:type="dxa" w:w="3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Internet outage affects user confidence</w:t>
            </w:r>
          </w:p>
        </w:tc>
        <w:tc>
          <w:tcPr>
            <w:tcW w:type="dxa" w:w="11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Medium</w:t>
            </w:r>
          </w:p>
        </w:tc>
        <w:tc>
          <w:tcPr>
            <w:tcW w:type="dxa" w:w="3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Local autonomy, local status indication and store-and-forward.</w:t>
            </w:r>
          </w:p>
        </w:tc>
      </w:tr>
      <w:tr>
        <w:trPr>
          <w:cantSplit/>
        </w:trPr>
        <w:tc>
          <w:tcPr>
            <w:tcW w:type="dxa" w:w="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R-05</w:t>
            </w:r>
          </w:p>
        </w:tc>
        <w:tc>
          <w:tcPr>
            <w:tcW w:type="dxa" w:w="3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BOM cost exceeds target</w:t>
            </w:r>
          </w:p>
        </w:tc>
        <w:tc>
          <w:tcPr>
            <w:tcW w:type="dxa" w:w="1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High</w:t>
            </w:r>
          </w:p>
        </w:tc>
        <w:tc>
          <w:tcPr>
            <w:tcW w:type="dxa" w:w="3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Complete BOM early; measure labour; define pilot vs production parts.</w:t>
            </w:r>
          </w:p>
        </w:tc>
      </w:tr>
      <w:tr>
        <w:trPr>
          <w:cantSplit/>
        </w:trPr>
        <w:tc>
          <w:tcPr>
            <w:tcW w:type="dxa" w:w="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R-06</w:t>
            </w:r>
          </w:p>
        </w:tc>
        <w:tc>
          <w:tcPr>
            <w:tcW w:type="dxa" w:w="3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Scope expansion delays working prototype</w:t>
            </w:r>
          </w:p>
        </w:tc>
        <w:tc>
          <w:tcPr>
            <w:tcW w:type="dxa" w:w="11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High</w:t>
            </w:r>
          </w:p>
        </w:tc>
        <w:tc>
          <w:tcPr>
            <w:tcW w:type="dxa" w:w="3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Protect V1 exclusions and use decision-control process.</w:t>
            </w:r>
          </w:p>
        </w:tc>
      </w:tr>
      <w:tr>
        <w:trPr>
          <w:cantSplit/>
        </w:trPr>
        <w:tc>
          <w:tcPr>
            <w:tcW w:type="dxa" w:w="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R-07</w:t>
            </w:r>
          </w:p>
        </w:tc>
        <w:tc>
          <w:tcPr>
            <w:tcW w:type="dxa" w:w="3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Mechanical dimensions conflict with user setting</w:t>
            </w:r>
          </w:p>
        </w:tc>
        <w:tc>
          <w:tcPr>
            <w:tcW w:type="dxa" w:w="1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Medium</w:t>
            </w:r>
          </w:p>
        </w:tc>
        <w:tc>
          <w:tcPr>
            <w:tcW w:type="dxa" w:w="3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CAD validation and user-placement test before final frame.</w:t>
            </w:r>
          </w:p>
        </w:tc>
      </w:tr>
      <w:tr>
        <w:trPr>
          <w:cantSplit/>
        </w:trPr>
        <w:tc>
          <w:tcPr>
            <w:tcW w:type="dxa" w:w="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R-08</w:t>
            </w:r>
          </w:p>
        </w:tc>
        <w:tc>
          <w:tcPr>
            <w:tcW w:type="dxa" w:w="37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Unsupported yield/savings claims damage trust</w:t>
            </w:r>
          </w:p>
        </w:tc>
        <w:tc>
          <w:tcPr>
            <w:tcW w:type="dxa" w:w="11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Medium</w:t>
            </w:r>
          </w:p>
        </w:tc>
        <w:tc>
          <w:tcPr>
            <w:tcW w:type="dxa" w:w="371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Publish only measured, traceable pilot outcomes.</w:t>
            </w:r>
          </w:p>
        </w:tc>
      </w:tr>
      <w:tr>
        <w:trPr>
          <w:cantSplit/>
        </w:trPr>
        <w:tc>
          <w:tcPr>
            <w:tcW w:type="dxa" w:w="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R-09</w:t>
            </w:r>
          </w:p>
        </w:tc>
        <w:tc>
          <w:tcPr>
            <w:tcW w:type="dxa" w:w="37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Single-founder capacity and continuity</w:t>
            </w:r>
          </w:p>
        </w:tc>
        <w:tc>
          <w:tcPr>
            <w:tcW w:type="dxa" w:w="11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High</w:t>
            </w:r>
          </w:p>
        </w:tc>
        <w:tc>
          <w:tcPr>
            <w:tcW w:type="dxa" w:w="371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Reproducible documentation, automated checks and priority limits.</w:t>
            </w:r>
          </w:p>
        </w:tc>
      </w:tr>
    </w:tbl>
    <w:p>
      <w:pPr>
        <w:spacing w:after="0"/>
      </w:pPr>
    </w:p>
    <w:p>
      <w:pPr>
        <w:pStyle w:val="Heading2"/>
      </w:pPr>
      <w:r>
        <w:t>14.2 Open decisions requiring evidence</w:t>
      </w:r>
    </w:p>
    <w:tbl>
      <w:tblPr>
        <w:tblW w:type="dxa" w:w="9360"/>
        <w:jc w:val="center"/>
        <w:tblLayout w:type="fixed"/>
        <w:tblLook w:firstColumn="1" w:firstRow="1" w:lastColumn="0" w:lastRow="0" w:noHBand="0" w:noVBand="1" w:val="04A0"/>
      </w:tblPr>
      <w:tblGrid>
        <w:gridCol w:w="2950"/>
        <w:gridCol w:w="4770"/>
        <w:gridCol w:w="1640"/>
      </w:tblGrid>
      <w:tr>
        <w:trPr>
          <w:tblHeader w:val="true"/>
          <w:cantSplit/>
        </w:trPr>
        <w:tc>
          <w:tcPr>
            <w:tcW w:type="dxa" w:w="29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Decision</w:t>
            </w:r>
          </w:p>
        </w:tc>
        <w:tc>
          <w:tcPr>
            <w:tcW w:type="dxa" w:w="477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Evidence needed</w:t>
            </w:r>
          </w:p>
        </w:tc>
        <w:tc>
          <w:tcPr>
            <w:tcW w:type="dxa" w:w="164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Due gate</w:t>
            </w:r>
          </w:p>
        </w:tc>
      </w:tr>
      <w:tr>
        <w:trPr>
          <w:cantSplit/>
        </w:trPr>
        <w:tc>
          <w:tcPr>
            <w:tcW w:type="dxa" w:w="2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Final GPIO pin map</w:t>
            </w:r>
          </w:p>
        </w:tc>
        <w:tc>
          <w:tcPr>
            <w:tcW w:type="dxa" w:w="4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Boot-state, ADC, I²C, PWM and wiring review</w:t>
            </w:r>
          </w:p>
        </w:tc>
        <w:tc>
          <w:tcPr>
            <w:tcW w:type="dxa" w:w="16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G0</w:t>
            </w:r>
          </w:p>
        </w:tc>
      </w:tr>
      <w:tr>
        <w:trPr>
          <w:cantSplit/>
        </w:trPr>
        <w:tc>
          <w:tcPr>
            <w:tcW w:type="dxa" w:w="2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Final 12 V supply and fuse ratings</w:t>
            </w:r>
          </w:p>
        </w:tc>
        <w:tc>
          <w:tcPr>
            <w:tcW w:type="dxa" w:w="4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Measured load, startup/inrush, cable and connector capability</w:t>
            </w:r>
          </w:p>
        </w:tc>
        <w:tc>
          <w:tcPr>
            <w:tcW w:type="dxa" w:w="16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G0/G3</w:t>
            </w:r>
          </w:p>
        </w:tc>
      </w:tr>
      <w:tr>
        <w:trPr>
          <w:cantSplit/>
        </w:trPr>
        <w:tc>
          <w:tcPr>
            <w:tcW w:type="dxa" w:w="2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Exact sensor part numbers</w:t>
            </w:r>
          </w:p>
        </w:tc>
        <w:tc>
          <w:tcPr>
            <w:tcW w:type="dxa" w:w="4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Accuracy, interface, calibration, replacement cost and availability</w:t>
            </w:r>
          </w:p>
        </w:tc>
        <w:tc>
          <w:tcPr>
            <w:tcW w:type="dxa" w:w="16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G0/G2</w:t>
            </w:r>
          </w:p>
        </w:tc>
      </w:tr>
      <w:tr>
        <w:trPr>
          <w:cantSplit/>
        </w:trPr>
        <w:tc>
          <w:tcPr>
            <w:tcW w:type="dxa" w:w="2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Heater in Version 1</w:t>
            </w:r>
          </w:p>
        </w:tc>
        <w:tc>
          <w:tcPr>
            <w:tcW w:type="dxa" w:w="4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Climate need, power/safety design and failure-mode test</w:t>
            </w:r>
          </w:p>
        </w:tc>
        <w:tc>
          <w:tcPr>
            <w:tcW w:type="dxa" w:w="16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G3</w:t>
            </w:r>
          </w:p>
        </w:tc>
      </w:tr>
      <w:tr>
        <w:trPr>
          <w:cantSplit/>
        </w:trPr>
        <w:tc>
          <w:tcPr>
            <w:tcW w:type="dxa" w:w="2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Final product envelope and reservoir volume</w:t>
            </w:r>
          </w:p>
        </w:tc>
        <w:tc>
          <w:tcPr>
            <w:tcW w:type="dxa" w:w="4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CAD, flow, stability, user placement and measured capacity</w:t>
            </w:r>
          </w:p>
        </w:tc>
        <w:tc>
          <w:tcPr>
            <w:tcW w:type="dxa" w:w="16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G7</w:t>
            </w:r>
          </w:p>
        </w:tc>
      </w:tr>
      <w:tr>
        <w:trPr>
          <w:cantSplit/>
        </w:trPr>
        <w:tc>
          <w:tcPr>
            <w:tcW w:type="dxa" w:w="2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Node-RED hosting location</w:t>
            </w:r>
          </w:p>
        </w:tc>
        <w:tc>
          <w:tcPr>
            <w:tcW w:type="dxa" w:w="4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Cost, availability, maintenance and secret management</w:t>
            </w:r>
          </w:p>
        </w:tc>
        <w:tc>
          <w:tcPr>
            <w:tcW w:type="dxa" w:w="16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G5</w:t>
            </w:r>
          </w:p>
        </w:tc>
      </w:tr>
      <w:tr>
        <w:trPr>
          <w:cantSplit/>
        </w:trPr>
        <w:tc>
          <w:tcPr>
            <w:tcW w:type="dxa" w:w="29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Telemetry interval and retention</w:t>
            </w:r>
          </w:p>
        </w:tc>
        <w:tc>
          <w:tcPr>
            <w:tcW w:type="dxa" w:w="477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Pilot storage estimate, usefulness and free-tier budget</w:t>
            </w:r>
          </w:p>
        </w:tc>
        <w:tc>
          <w:tcPr>
            <w:tcW w:type="dxa" w:w="16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G5</w:t>
            </w:r>
          </w:p>
        </w:tc>
      </w:tr>
      <w:tr>
        <w:trPr>
          <w:cantSplit/>
        </w:trPr>
        <w:tc>
          <w:tcPr>
            <w:tcW w:type="dxa" w:w="29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Production notification channel</w:t>
            </w:r>
          </w:p>
        </w:tc>
        <w:tc>
          <w:tcPr>
            <w:tcW w:type="dxa" w:w="477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Customer preference, consent, cost and delivery reliability</w:t>
            </w:r>
          </w:p>
        </w:tc>
        <w:tc>
          <w:tcPr>
            <w:tcW w:type="dxa" w:w="16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Post-pilot</w:t>
            </w:r>
          </w:p>
        </w:tc>
      </w:tr>
    </w:tbl>
    <w:p>
      <w:pPr>
        <w:spacing w:after="0"/>
      </w:pPr>
    </w:p>
    <w:p>
      <w:pPr>
        <w:pStyle w:val="Heading1"/>
        <w:pBdr>
          <w:bottom w:val="single" w:sz="12" w:space="4" w:color="155C43"/>
        </w:pBdr>
      </w:pPr>
      <w:r>
        <w:t>15. Governance, ownership and change control</w:t>
      </w:r>
    </w:p>
    <w:p>
      <w:pPr>
        <w:keepNext/>
        <w:keepLines w:val="0"/>
        <w:widowControl/>
        <w:spacing w:after="160"/>
      </w:pPr>
      <w:r>
        <w:rPr>
          <w:rFonts w:ascii="Calibri" w:hAnsi="Calibri" w:eastAsia="Calibri"/>
          <w:i/>
          <w:color w:val="5A6864"/>
          <w:sz w:val="21"/>
        </w:rPr>
        <w:t>A lightweight control loop keeps documents, code and physical evidence aligned.</w:t>
      </w:r>
    </w:p>
    <w:p>
      <w:pPr>
        <w:pStyle w:val="Heading2"/>
      </w:pPr>
      <w:r>
        <w:t>15.1 Required project records</w:t>
      </w:r>
    </w:p>
    <w:tbl>
      <w:tblPr>
        <w:tblW w:type="dxa" w:w="9360"/>
        <w:jc w:val="center"/>
        <w:tblLayout w:type="fixed"/>
        <w:tblLook w:firstColumn="1" w:firstRow="1" w:lastColumn="0" w:lastRow="0" w:noHBand="0" w:noVBand="1" w:val="04A0"/>
      </w:tblPr>
      <w:tblGrid>
        <w:gridCol w:w="2000"/>
        <w:gridCol w:w="4820"/>
        <w:gridCol w:w="2540"/>
      </w:tblGrid>
      <w:tr>
        <w:trPr>
          <w:tblHeader w:val="true"/>
          <w:cantSplit/>
        </w:trPr>
        <w:tc>
          <w:tcPr>
            <w:tcW w:type="dxa" w:w="20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Record</w:t>
            </w:r>
          </w:p>
        </w:tc>
        <w:tc>
          <w:tcPr>
            <w:tcW w:type="dxa" w:w="482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Minimum content</w:t>
            </w:r>
          </w:p>
        </w:tc>
        <w:tc>
          <w:tcPr>
            <w:tcW w:type="dxa" w:w="254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6"/>
              </w:rPr>
              <w:t>Update trigger</w:t>
            </w:r>
          </w:p>
        </w:tc>
      </w:tr>
      <w:tr>
        <w:trPr>
          <w:cantSplit/>
        </w:trPr>
        <w:tc>
          <w:tcPr>
            <w:tcW w:type="dxa" w:w="2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Source of Truth</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Approved product, architecture, requirements, gates, risks, decisions</w:t>
            </w:r>
          </w:p>
        </w:tc>
        <w:tc>
          <w:tcPr>
            <w:tcW w:type="dxa" w:w="25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Material baseline decision</w:t>
            </w:r>
          </w:p>
        </w:tc>
      </w:tr>
      <w:tr>
        <w:trPr>
          <w:cantSplit/>
        </w:trPr>
        <w:tc>
          <w:tcPr>
            <w:tcW w:type="dxa" w:w="20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Decision log</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ID, date, decision, rationale, owner, affected artifacts</w:t>
            </w:r>
          </w:p>
        </w:tc>
        <w:tc>
          <w:tcPr>
            <w:tcW w:type="dxa" w:w="25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Every material decision</w:t>
            </w:r>
          </w:p>
        </w:tc>
      </w:tr>
      <w:tr>
        <w:trPr>
          <w:cantSplit/>
        </w:trPr>
        <w:tc>
          <w:tcPr>
            <w:tcW w:type="dxa" w:w="2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BOM</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Exact item, part, quantity, electrical rating, supplier, unit/total cost, status</w:t>
            </w:r>
          </w:p>
        </w:tc>
        <w:tc>
          <w:tcPr>
            <w:tcW w:type="dxa" w:w="25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Purchase/substitution/test change</w:t>
            </w:r>
          </w:p>
        </w:tc>
      </w:tr>
      <w:tr>
        <w:trPr>
          <w:cantSplit/>
        </w:trPr>
        <w:tc>
          <w:tcPr>
            <w:tcW w:type="dxa" w:w="20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Pin and wiring map</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GPIO, signal, voltage, connector, protection, wire colour/gauge</w:t>
            </w:r>
          </w:p>
        </w:tc>
        <w:tc>
          <w:tcPr>
            <w:tcW w:type="dxa" w:w="25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Any electrical change</w:t>
            </w:r>
          </w:p>
        </w:tc>
      </w:tr>
      <w:tr>
        <w:trPr>
          <w:cantSplit/>
        </w:trPr>
        <w:tc>
          <w:tcPr>
            <w:tcW w:type="dxa" w:w="2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Test register</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Requirement/gate, method, environment, result, evidence link, reviewer</w:t>
            </w:r>
          </w:p>
        </w:tc>
        <w:tc>
          <w:tcPr>
            <w:tcW w:type="dxa" w:w="25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Every verification run</w:t>
            </w:r>
          </w:p>
        </w:tc>
      </w:tr>
      <w:tr>
        <w:trPr>
          <w:cantSplit/>
        </w:trPr>
        <w:tc>
          <w:tcPr>
            <w:tcW w:type="dxa" w:w="20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Calibration register</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Sensor, reference, points, coefficients, date, next due, result</w:t>
            </w:r>
          </w:p>
        </w:tc>
        <w:tc>
          <w:tcPr>
            <w:tcW w:type="dxa" w:w="25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Calibration/replacement</w:t>
            </w:r>
          </w:p>
        </w:tc>
      </w:tr>
      <w:tr>
        <w:trPr>
          <w:cantSplit/>
        </w:trPr>
        <w:tc>
          <w:tcPr>
            <w:tcW w:type="dxa" w:w="20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Risk register</w:t>
            </w:r>
          </w:p>
        </w:tc>
        <w:tc>
          <w:tcPr>
            <w:tcW w:type="dxa" w:w="482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Cause, event, impact, exposure, treatment, owner, review date</w:t>
            </w:r>
          </w:p>
        </w:tc>
        <w:tc>
          <w:tcPr>
            <w:tcW w:type="dxa" w:w="254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New information or review</w:t>
            </w:r>
          </w:p>
        </w:tc>
      </w:tr>
      <w:tr>
        <w:trPr>
          <w:cantSplit/>
        </w:trPr>
        <w:tc>
          <w:tcPr>
            <w:tcW w:type="dxa" w:w="20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Release record</w:t>
            </w:r>
          </w:p>
        </w:tc>
        <w:tc>
          <w:tcPr>
            <w:tcW w:type="dxa" w:w="482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Version, commit, firmware, schema, flows, web build, known issues</w:t>
            </w:r>
          </w:p>
        </w:tc>
        <w:tc>
          <w:tcPr>
            <w:tcW w:type="dxa" w:w="254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6"/>
              </w:rPr>
              <w:t>Every deployed release</w:t>
            </w:r>
          </w:p>
        </w:tc>
      </w:tr>
    </w:tbl>
    <w:p>
      <w:pPr>
        <w:spacing w:after="0"/>
      </w:pPr>
    </w:p>
    <w:p>
      <w:pPr>
        <w:pStyle w:val="Heading2"/>
      </w:pPr>
      <w:r>
        <w:t>15.2 Change process</w:t>
      </w:r>
    </w:p>
    <w:p>
      <w:pPr>
        <w:spacing w:after="80" w:line="283" w:lineRule="auto"/>
        <w:ind w:left="540" w:hanging="271"/>
        <w:keepNext w:val="0"/>
        <w:keepLines/>
        <w:widowControl/>
        <w:numPr>
          <w:ilvl w:val="0"/>
          <w:numId w:val="21"/>
        </w:numPr>
      </w:pPr>
      <w:r>
        <w:t>Raise a change with the problem, evidence, proposed decision and affected requirements/artifacts.</w:t>
      </w:r>
    </w:p>
    <w:p>
      <w:pPr>
        <w:spacing w:after="80" w:line="283" w:lineRule="auto"/>
        <w:ind w:left="540" w:hanging="271"/>
        <w:keepNext w:val="0"/>
        <w:keepLines/>
        <w:widowControl/>
        <w:numPr>
          <w:ilvl w:val="0"/>
          <w:numId w:val="21"/>
        </w:numPr>
      </w:pPr>
      <w:r>
        <w:t>Assess safety, customer value, cost, schedule, data migration and rollback impact.</w:t>
      </w:r>
    </w:p>
    <w:p>
      <w:pPr>
        <w:spacing w:after="80" w:line="283" w:lineRule="auto"/>
        <w:ind w:left="540" w:hanging="271"/>
        <w:keepNext w:val="0"/>
        <w:keepLines/>
        <w:widowControl/>
        <w:numPr>
          <w:ilvl w:val="0"/>
          <w:numId w:val="21"/>
        </w:numPr>
      </w:pPr>
      <w:r>
        <w:t>The product owner accepts, rejects or requests a time-boxed experiment.</w:t>
      </w:r>
    </w:p>
    <w:p>
      <w:pPr>
        <w:spacing w:after="80" w:line="283" w:lineRule="auto"/>
        <w:ind w:left="540" w:hanging="271"/>
        <w:keepNext w:val="0"/>
        <w:keepLines/>
        <w:widowControl/>
        <w:numPr>
          <w:ilvl w:val="0"/>
          <w:numId w:val="21"/>
        </w:numPr>
      </w:pPr>
      <w:r>
        <w:t>Update this baseline and all affected controlled artifacts in the same change.</w:t>
      </w:r>
    </w:p>
    <w:p>
      <w:pPr>
        <w:spacing w:after="80" w:line="283" w:lineRule="auto"/>
        <w:ind w:left="540" w:hanging="271"/>
        <w:keepNext w:val="0"/>
        <w:keepLines/>
        <w:widowControl/>
        <w:numPr>
          <w:ilvl w:val="0"/>
          <w:numId w:val="21"/>
        </w:numPr>
      </w:pPr>
      <w:r>
        <w:t>Implement through reviewed version control and attach verification evidence.</w:t>
      </w:r>
    </w:p>
    <w:p>
      <w:pPr>
        <w:spacing w:after="80" w:line="283" w:lineRule="auto"/>
        <w:ind w:left="540" w:hanging="271"/>
        <w:keepNext w:val="0"/>
        <w:keepLines/>
        <w:widowControl/>
        <w:numPr>
          <w:ilvl w:val="0"/>
          <w:numId w:val="21"/>
        </w:numPr>
      </w:pPr>
      <w:r>
        <w:t>Record the release and communicate any changed operating instruction.</w:t>
      </w:r>
    </w:p>
    <w:p>
      <w:pPr>
        <w:pStyle w:val="Heading2"/>
      </w:pPr>
      <w:r>
        <w:t>15.3 Decision log—baseline entries</w:t>
      </w:r>
    </w:p>
    <w:tbl>
      <w:tblPr>
        <w:tblW w:type="dxa" w:w="9360"/>
        <w:jc w:val="center"/>
        <w:tblLayout w:type="fixed"/>
        <w:tblLook w:firstColumn="1" w:firstRow="1" w:lastColumn="0" w:lastRow="0" w:noHBand="0" w:noVBand="1" w:val="04A0"/>
      </w:tblPr>
      <w:tblGrid>
        <w:gridCol w:w="1050"/>
        <w:gridCol w:w="4630"/>
        <w:gridCol w:w="3680"/>
      </w:tblGrid>
      <w:tr>
        <w:trPr>
          <w:tblHeader w:val="true"/>
          <w:cantSplit/>
        </w:trPr>
        <w:tc>
          <w:tcPr>
            <w:tcW w:type="dxa" w:w="105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ID</w:t>
            </w:r>
          </w:p>
        </w:tc>
        <w:tc>
          <w:tcPr>
            <w:tcW w:type="dxa" w:w="463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Decision</w:t>
            </w:r>
          </w:p>
        </w:tc>
        <w:tc>
          <w:tcPr>
            <w:tcW w:type="dxa" w:w="368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5"/>
              </w:rPr>
              <w:t>Rationale / status</w:t>
            </w:r>
          </w:p>
        </w:tc>
      </w:tr>
      <w:tr>
        <w:trPr>
          <w:cantSplit/>
        </w:trPr>
        <w:tc>
          <w:tcPr>
            <w:tcW w:type="dxa" w:w="10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D-001</w:t>
            </w:r>
          </w:p>
        </w:tc>
        <w:tc>
          <w:tcPr>
            <w:tcW w:type="dxa" w:w="46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Use Smart-Gardening as an architecture reference, not a forked specification.</w:t>
            </w:r>
          </w:p>
        </w:tc>
        <w:tc>
          <w:tcPr>
            <w:tcW w:type="dxa" w:w="36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Preserves useful modular boundaries without inheriting AWS/camera complexity.</w:t>
            </w:r>
          </w:p>
        </w:tc>
      </w:tr>
      <w:tr>
        <w:trPr>
          <w:cantSplit/>
        </w:trPr>
        <w:tc>
          <w:tcPr>
            <w:tcW w:type="dxa" w:w="10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D-002</w:t>
            </w:r>
          </w:p>
        </w:tc>
        <w:tc>
          <w:tcPr>
            <w:tcW w:type="dxa" w:w="46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Version 1 uses local-first ESP32 control and one 12 V DC architecture.</w:t>
            </w:r>
          </w:p>
        </w:tc>
        <w:tc>
          <w:tcPr>
            <w:tcW w:type="dxa" w:w="36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Supports outage resilience and simpler household safety boundary.</w:t>
            </w:r>
          </w:p>
        </w:tc>
      </w:tr>
      <w:tr>
        <w:trPr>
          <w:cantSplit/>
        </w:trPr>
        <w:tc>
          <w:tcPr>
            <w:tcW w:type="dxa" w:w="10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D-003</w:t>
            </w:r>
          </w:p>
        </w:tc>
        <w:tc>
          <w:tcPr>
            <w:tcW w:type="dxa" w:w="46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Version 1 senses air temp/RH, water temp, pH, EC and water level.</w:t>
            </w:r>
          </w:p>
        </w:tc>
        <w:tc>
          <w:tcPr>
            <w:tcW w:type="dxa" w:w="36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Minimum actionable hydroponic set; CO₂ deferred.</w:t>
            </w:r>
          </w:p>
        </w:tc>
      </w:tr>
      <w:tr>
        <w:trPr>
          <w:cantSplit/>
        </w:trPr>
        <w:tc>
          <w:tcPr>
            <w:tcW w:type="dxa" w:w="10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D-004</w:t>
            </w:r>
          </w:p>
        </w:tc>
        <w:tc>
          <w:tcPr>
            <w:tcW w:type="dxa" w:w="46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pH and nutrient correction remain guided and manual.</w:t>
            </w:r>
          </w:p>
        </w:tc>
        <w:tc>
          <w:tcPr>
            <w:tcW w:type="dxa" w:w="36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Reduces chemical dosing and failure-mode complexity.</w:t>
            </w:r>
          </w:p>
        </w:tc>
      </w:tr>
      <w:tr>
        <w:trPr>
          <w:cantSplit/>
        </w:trPr>
        <w:tc>
          <w:tcPr>
            <w:tcW w:type="dxa" w:w="105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D-005</w:t>
            </w:r>
          </w:p>
        </w:tc>
        <w:tc>
          <w:tcPr>
            <w:tcW w:type="dxa" w:w="463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Supabase is the cloud system of record; MQTT + Node-RED integrate the device.</w:t>
            </w:r>
          </w:p>
        </w:tc>
        <w:tc>
          <w:tcPr>
            <w:tcW w:type="dxa" w:w="368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Free/open interfaces and one database reduce early cost/complexity.</w:t>
            </w:r>
          </w:p>
        </w:tc>
      </w:tr>
      <w:tr>
        <w:trPr>
          <w:cantSplit/>
        </w:trPr>
        <w:tc>
          <w:tcPr>
            <w:tcW w:type="dxa" w:w="105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D-006</w:t>
            </w:r>
          </w:p>
        </w:tc>
        <w:tc>
          <w:tcPr>
            <w:tcW w:type="dxa" w:w="463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Camera, AI, CO₂ control and automatic dosing are deferred.</w:t>
            </w:r>
          </w:p>
        </w:tc>
        <w:tc>
          <w:tcPr>
            <w:tcW w:type="dxa" w:w="368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5"/>
              </w:rPr>
              <w:t>Protects the first complete, testable crop cycle.</w:t>
            </w:r>
          </w:p>
        </w:tc>
      </w:tr>
    </w:tbl>
    <w:p>
      <w:pPr>
        <w:spacing w:after="0"/>
      </w:pPr>
    </w:p>
    <w:p>
      <w:pPr>
        <w:pStyle w:val="Heading1"/>
        <w:pageBreakBefore/>
        <w:pBdr>
          <w:bottom w:val="single" w:sz="12" w:space="4" w:color="155C43"/>
        </w:pBdr>
      </w:pPr>
      <w:r>
        <w:t>16. Reference register and baseline notes</w:t>
      </w:r>
    </w:p>
    <w:p>
      <w:pPr>
        <w:keepNext/>
        <w:keepLines w:val="0"/>
        <w:widowControl/>
        <w:spacing w:after="160"/>
      </w:pPr>
      <w:r>
        <w:rPr>
          <w:rFonts w:ascii="Calibri" w:hAnsi="Calibri" w:eastAsia="Calibri"/>
          <w:i/>
          <w:color w:val="5A6864"/>
          <w:sz w:val="21"/>
        </w:rPr>
        <w:t>These sources informed the baseline. External free-tier facts must be rechecked when decisions are implemented.</w:t>
      </w:r>
    </w:p>
    <w:p>
      <w:pPr>
        <w:pStyle w:val="Heading2"/>
      </w:pPr>
      <w:r>
        <w:t>16.1 Internal source set reviewed</w:t>
      </w:r>
    </w:p>
    <w:tbl>
      <w:tblPr>
        <w:tblW w:type="dxa" w:w="9360"/>
        <w:jc w:val="center"/>
        <w:tblLayout w:type="fixed"/>
        <w:tblLook w:firstColumn="1" w:firstRow="1" w:lastColumn="0" w:lastRow="0" w:noHBand="0" w:noVBand="1" w:val="04A0"/>
      </w:tblPr>
      <w:tblGrid>
        <w:gridCol w:w="3100"/>
        <w:gridCol w:w="6260"/>
      </w:tblGrid>
      <w:tr>
        <w:trPr>
          <w:tblHeader w:val="true"/>
          <w:cantSplit/>
        </w:trPr>
        <w:tc>
          <w:tcPr>
            <w:tcW w:type="dxa" w:w="310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Source set</w:t>
            </w:r>
          </w:p>
        </w:tc>
        <w:tc>
          <w:tcPr>
            <w:tcW w:type="dxa" w:w="6260"/>
            <w:shd w:fill="155C43"/>
            <w:tcMar>
              <w:top w:w="80" w:type="dxa"/>
              <w:start w:w="120" w:type="dxa"/>
              <w:bottom w:w="80"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7"/>
              </w:rPr>
              <w:t>Use in this baseline</w:t>
            </w:r>
          </w:p>
        </w:tc>
      </w:tr>
      <w:tr>
        <w:trPr>
          <w:cantSplit/>
        </w:trPr>
        <w:tc>
          <w:tcPr>
            <w:tcW w:type="dxa" w:w="3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Zovuyo Innovation archive</w:t>
            </w:r>
          </w:p>
        </w:tc>
        <w:tc>
          <w:tcPr>
            <w:tcW w:type="dxa" w:w="62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Business context, historical concept, early electrical design and schedules.</w:t>
            </w:r>
          </w:p>
        </w:tc>
      </w:tr>
      <w:tr>
        <w:trPr>
          <w:cantSplit/>
        </w:trPr>
        <w:tc>
          <w:tcPr>
            <w:tcW w:type="dxa" w:w="310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Smart GrowKit Project Archive</w:t>
            </w:r>
          </w:p>
        </w:tc>
        <w:tc>
          <w:tcPr>
            <w:tcW w:type="dxa" w:w="6260"/>
            <w:vAlign w:val="top"/>
            <w:shd w:fill="F5F8F6"/>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2026 requirements, design architecture, implementation checklist and 30 August 2026 status.</w:t>
            </w:r>
          </w:p>
        </w:tc>
      </w:tr>
      <w:tr>
        <w:trPr>
          <w:cantSplit/>
        </w:trPr>
        <w:tc>
          <w:tcPr>
            <w:tcW w:type="dxa" w:w="310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Current prototype evidence</w:t>
            </w:r>
          </w:p>
        </w:tc>
        <w:tc>
          <w:tcPr>
            <w:tcW w:type="dxa" w:w="6260"/>
            <w:vAlign w:val="top"/>
            <w:tcMar>
              <w:top w:w="80" w:type="dxa"/>
              <w:start w:w="120" w:type="dxa"/>
              <w:bottom w:w="80"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7"/>
              </w:rPr>
              <w:t>PlatformIO environment and stated procurement/build status from the archive.</w:t>
            </w:r>
          </w:p>
        </w:tc>
      </w:tr>
    </w:tbl>
    <w:p>
      <w:pPr>
        <w:spacing w:after="0"/>
      </w:pPr>
    </w:p>
    <w:p>
      <w:pPr>
        <w:pStyle w:val="Heading2"/>
      </w:pPr>
      <w:r>
        <w:t>16.2 External technical references</w:t>
      </w:r>
    </w:p>
    <w:tbl>
      <w:tblPr>
        <w:tblW w:type="dxa" w:w="9360"/>
        <w:jc w:val="center"/>
        <w:tblLayout w:type="fixed"/>
        <w:tblLook w:firstColumn="1" w:firstRow="1" w:lastColumn="0" w:lastRow="0" w:noHBand="0" w:noVBand="1" w:val="04A0"/>
      </w:tblPr>
      <w:tblGrid>
        <w:gridCol w:w="2550"/>
        <w:gridCol w:w="4450"/>
        <w:gridCol w:w="2360"/>
      </w:tblGrid>
      <w:tr>
        <w:trPr>
          <w:tblHeader w:val="true"/>
          <w:cantSplit/>
        </w:trPr>
        <w:tc>
          <w:tcPr>
            <w:tcW w:type="dxa" w:w="2550"/>
            <w:shd w:fill="155C43"/>
            <w:tcMar>
              <w:top w:w="45" w:type="dxa"/>
              <w:start w:w="120" w:type="dxa"/>
              <w:bottom w:w="45"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3"/>
              </w:rPr>
              <w:t>Reference</w:t>
            </w:r>
          </w:p>
        </w:tc>
        <w:tc>
          <w:tcPr>
            <w:tcW w:type="dxa" w:w="4450"/>
            <w:shd w:fill="155C43"/>
            <w:tcMar>
              <w:top w:w="45" w:type="dxa"/>
              <w:start w:w="120" w:type="dxa"/>
              <w:bottom w:w="45"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3"/>
              </w:rPr>
              <w:t>URL</w:t>
            </w:r>
          </w:p>
        </w:tc>
        <w:tc>
          <w:tcPr>
            <w:tcW w:type="dxa" w:w="2360"/>
            <w:shd w:fill="155C43"/>
            <w:tcMar>
              <w:top w:w="45" w:type="dxa"/>
              <w:start w:w="120" w:type="dxa"/>
              <w:bottom w:w="45" w:type="dxa"/>
              <w:end w:w="120" w:type="dxa"/>
            </w:tcMar>
            <w:vAlign w:val="center"/>
            <w:tcBorders>
              <w:top w:val="single" w:sz="5" w:color="CAD8D2"/>
              <w:start w:val="single" w:sz="5" w:color="CAD8D2"/>
              <w:bottom w:val="single" w:sz="5" w:color="CAD8D2"/>
              <w:end w:val="single" w:sz="5" w:color="CAD8D2"/>
            </w:tcBorders>
          </w:tcPr>
          <w:p>
            <w:pPr>
              <w:spacing w:after="0"/>
            </w:pPr>
            <w:r>
              <w:rPr>
                <w:rFonts w:ascii="Calibri" w:hAnsi="Calibri" w:eastAsia="Calibri"/>
                <w:b/>
                <w:color w:val="FFFFFF"/>
                <w:sz w:val="13"/>
              </w:rPr>
              <w:t>Decision use</w:t>
            </w:r>
          </w:p>
        </w:tc>
      </w:tr>
      <w:tr>
        <w:trPr>
          <w:cantSplit/>
        </w:trPr>
        <w:tc>
          <w:tcPr>
            <w:tcW w:type="dxa" w:w="25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Smart-Gardening repository</w:t>
            </w:r>
          </w:p>
        </w:tc>
        <w:tc>
          <w:tcPr>
            <w:tcW w:type="dxa" w:w="44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https://github.com/naterpotatoers/Smart-Gardening</w:t>
            </w:r>
          </w:p>
        </w:tc>
        <w:tc>
          <w:tcPr>
            <w:tcW w:type="dxa" w:w="236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Architecture and repository structure.</w:t>
            </w:r>
          </w:p>
        </w:tc>
      </w:tr>
      <w:tr>
        <w:trPr>
          <w:cantSplit/>
        </w:trPr>
        <w:tc>
          <w:tcPr>
            <w:tcW w:type="dxa" w:w="25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Supabase platform / pricing</w:t>
            </w:r>
          </w:p>
        </w:tc>
        <w:tc>
          <w:tcPr>
            <w:tcW w:type="dxa" w:w="44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https://supabase.com/docs</w:t>
              <w:br/>
              <w:t>https://supabase.com/pricing</w:t>
            </w:r>
          </w:p>
        </w:tc>
        <w:tc>
          <w:tcPr>
            <w:tcW w:type="dxa" w:w="236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Postgres, Auth, API, Realtime, RLS and free-plan conditions.</w:t>
            </w:r>
          </w:p>
        </w:tc>
      </w:tr>
      <w:tr>
        <w:trPr>
          <w:cantSplit/>
        </w:trPr>
        <w:tc>
          <w:tcPr>
            <w:tcW w:type="dxa" w:w="25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HiveMQ Cloud quick start</w:t>
            </w:r>
          </w:p>
        </w:tc>
        <w:tc>
          <w:tcPr>
            <w:tcW w:type="dxa" w:w="44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https://docs.hivemq.com/hivemq-cloud/quick-start-guide.html</w:t>
            </w:r>
          </w:p>
        </w:tc>
        <w:tc>
          <w:tcPr>
            <w:tcW w:type="dxa" w:w="236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Free serverless MQTT limits and security.</w:t>
            </w:r>
          </w:p>
        </w:tc>
      </w:tr>
      <w:tr>
        <w:trPr>
          <w:cantSplit/>
        </w:trPr>
        <w:tc>
          <w:tcPr>
            <w:tcW w:type="dxa" w:w="25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Eclipse Mosquitto</w:t>
            </w:r>
          </w:p>
        </w:tc>
        <w:tc>
          <w:tcPr>
            <w:tcW w:type="dxa" w:w="44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https://mosquitto.org/</w:t>
            </w:r>
          </w:p>
        </w:tc>
        <w:tc>
          <w:tcPr>
            <w:tcW w:type="dxa" w:w="236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Open-source lightweight MQTT broker.</w:t>
            </w:r>
          </w:p>
        </w:tc>
      </w:tr>
      <w:tr>
        <w:trPr>
          <w:cantSplit/>
        </w:trPr>
        <w:tc>
          <w:tcPr>
            <w:tcW w:type="dxa" w:w="25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Node-RED</w:t>
            </w:r>
          </w:p>
        </w:tc>
        <w:tc>
          <w:tcPr>
            <w:tcW w:type="dxa" w:w="44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https://nodered.org/</w:t>
            </w:r>
          </w:p>
        </w:tc>
        <w:tc>
          <w:tcPr>
            <w:tcW w:type="dxa" w:w="236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Open-source flow-based integration tool.</w:t>
            </w:r>
          </w:p>
        </w:tc>
      </w:tr>
      <w:tr>
        <w:trPr>
          <w:cantSplit/>
        </w:trPr>
        <w:tc>
          <w:tcPr>
            <w:tcW w:type="dxa" w:w="25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Cloudflare Pages / limits</w:t>
            </w:r>
          </w:p>
        </w:tc>
        <w:tc>
          <w:tcPr>
            <w:tcW w:type="dxa" w:w="44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https://developers.cloudflare.com/pages/</w:t>
              <w:br/>
              <w:t>https://developers.cloudflare.com/pages/platform/limits/</w:t>
            </w:r>
          </w:p>
        </w:tc>
        <w:tc>
          <w:tcPr>
            <w:tcW w:type="dxa" w:w="236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Git-connected web deployment and free limits.</w:t>
            </w:r>
          </w:p>
        </w:tc>
      </w:tr>
      <w:tr>
        <w:trPr>
          <w:cantSplit/>
        </w:trPr>
        <w:tc>
          <w:tcPr>
            <w:tcW w:type="dxa" w:w="25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Grafana Cloud pricing</w:t>
            </w:r>
          </w:p>
        </w:tc>
        <w:tc>
          <w:tcPr>
            <w:tcW w:type="dxa" w:w="445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https://grafana.com/pricing/</w:t>
            </w:r>
          </w:p>
        </w:tc>
        <w:tc>
          <w:tcPr>
            <w:tcW w:type="dxa" w:w="2360"/>
            <w:vAlign w:val="top"/>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Free engineering observability plan.</w:t>
            </w:r>
          </w:p>
        </w:tc>
      </w:tr>
      <w:tr>
        <w:trPr>
          <w:cantSplit/>
        </w:trPr>
        <w:tc>
          <w:tcPr>
            <w:tcW w:type="dxa" w:w="25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Telegram Bot API</w:t>
            </w:r>
          </w:p>
        </w:tc>
        <w:tc>
          <w:tcPr>
            <w:tcW w:type="dxa" w:w="445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https://core.telegram.org/bots/api</w:t>
            </w:r>
          </w:p>
        </w:tc>
        <w:tc>
          <w:tcPr>
            <w:tcW w:type="dxa" w:w="2360"/>
            <w:vAlign w:val="top"/>
            <w:shd w:fill="F5F8F6"/>
            <w:tcMar>
              <w:top w:w="45" w:type="dxa"/>
              <w:start w:w="120" w:type="dxa"/>
              <w:bottom w:w="45" w:type="dxa"/>
              <w:end w:w="120" w:type="dxa"/>
            </w:tcMar>
            <w:tcBorders>
              <w:top w:val="single" w:sz="4" w:color="CAD8D2"/>
              <w:start w:val="single" w:sz="4" w:color="CAD8D2"/>
              <w:bottom w:val="single" w:sz="4" w:color="CAD8D2"/>
              <w:end w:val="single" w:sz="4" w:color="CAD8D2"/>
            </w:tcBorders>
          </w:tcPr>
          <w:p>
            <w:pPr>
              <w:spacing w:after="0" w:line="259" w:lineRule="auto"/>
            </w:pPr>
            <w:r>
              <w:rPr>
                <w:rFonts w:ascii="Calibri" w:hAnsi="Calibri" w:eastAsia="Calibri"/>
                <w:color w:val="1F2A2A"/>
                <w:sz w:val="13"/>
              </w:rPr>
              <w:t>HTTP interface for prototype alerts.</w:t>
            </w:r>
          </w:p>
        </w:tc>
      </w:tr>
    </w:tbl>
    <w:p>
      <w:pPr>
        <w:spacing w:after="0"/>
      </w:pPr>
    </w:p>
    <w:p>
      <w:pPr>
        <w:pStyle w:val="Heading2"/>
      </w:pPr>
      <w:r>
        <w:t>16.3 Baseline caveats</w:t>
      </w:r>
    </w:p>
    <w:p>
      <w:pPr>
        <w:spacing w:after="80" w:line="283" w:lineRule="auto"/>
        <w:ind w:left="540" w:hanging="271"/>
        <w:keepNext w:val="0"/>
        <w:keepLines/>
        <w:widowControl/>
        <w:numPr>
          <w:ilvl w:val="0"/>
          <w:numId w:val="22"/>
        </w:numPr>
      </w:pPr>
      <w:r>
        <w:t>Dimensions, costs, power consumption, yields and maintenance effort remain provisional until measured.</w:t>
      </w:r>
    </w:p>
    <w:p>
      <w:pPr>
        <w:spacing w:after="80" w:line="283" w:lineRule="auto"/>
        <w:ind w:left="540" w:hanging="271"/>
        <w:keepNext w:val="0"/>
        <w:keepLines/>
        <w:widowControl/>
        <w:numPr>
          <w:ilvl w:val="0"/>
          <w:numId w:val="22"/>
        </w:numPr>
      </w:pPr>
      <w:r>
        <w:t>The safety baseline is a design requirement, not certification or professional approval.</w:t>
      </w:r>
    </w:p>
    <w:p>
      <w:pPr>
        <w:spacing w:after="80" w:line="283" w:lineRule="auto"/>
        <w:ind w:left="540" w:hanging="271"/>
        <w:keepNext w:val="0"/>
        <w:keepLines/>
        <w:widowControl/>
        <w:numPr>
          <w:ilvl w:val="0"/>
          <w:numId w:val="22"/>
        </w:numPr>
      </w:pPr>
      <w:r>
        <w:t>Free-service limits and product features are time-sensitive and must be verified before deployment.</w:t>
      </w:r>
    </w:p>
    <w:p>
      <w:pPr>
        <w:spacing w:after="80" w:line="283" w:lineRule="auto"/>
        <w:ind w:left="540" w:hanging="271"/>
        <w:keepNext w:val="0"/>
        <w:keepLines/>
        <w:widowControl/>
        <w:numPr>
          <w:ilvl w:val="0"/>
          <w:numId w:val="22"/>
        </w:numPr>
      </w:pPr>
      <w:r>
        <w:t>This document does not replace detailed schematics, source code, CAD, test procedures or user instructions.</w:t>
      </w:r>
    </w:p>
    <w:tbl>
      <w:tblPr>
        <w:tblW w:type="dxa" w:w="9360"/>
        <w:jc w:val="center"/>
        <w:tblLayout w:type="fixed"/>
        <w:tblLook w:firstColumn="1" w:firstRow="1" w:lastColumn="0" w:lastRow="0" w:noHBand="0" w:noVBand="1" w:val="04A0"/>
      </w:tblPr>
      <w:tblGrid>
        <w:gridCol w:w="9360"/>
      </w:tblGrid>
      <w:tr>
        <w:trPr>
          <w:cantSplit/>
        </w:trPr>
        <w:tc>
          <w:tcPr>
            <w:tcW w:type="dxa" w:w="9360"/>
            <w:shd w:fill="EAF4EF"/>
            <w:tcMar>
              <w:top w:w="140" w:type="dxa"/>
              <w:start w:w="180" w:type="dxa"/>
              <w:bottom w:w="140" w:type="dxa"/>
              <w:end w:w="180" w:type="dxa"/>
            </w:tcMar>
            <w:tcBorders>
              <w:start w:val="single" w:sz="28" w:color="155C43"/>
            </w:tcBorders>
          </w:tcPr>
          <w:p>
            <w:pPr>
              <w:spacing w:after="40"/>
            </w:pPr>
            <w:r>
              <w:rPr>
                <w:rFonts w:ascii="Calibri" w:hAnsi="Calibri" w:eastAsia="Calibri"/>
                <w:b/>
                <w:color w:val="155C43"/>
                <w:sz w:val="17"/>
              </w:rPr>
              <w:t>NEXT CONTROLLED UPDATE</w:t>
            </w:r>
          </w:p>
          <w:p>
            <w:pPr>
              <w:keepNext w:val="0"/>
              <w:keepLines/>
              <w:widowControl/>
              <w:spacing w:after="0"/>
            </w:pPr>
            <w:r>
              <w:t>Revise to v1.1 after G0 closes the BOM, power design, pin map, sensor selection and measured dimensions.</w:t>
            </w:r>
          </w:p>
        </w:tc>
      </w:tr>
    </w:tbl>
    <w:p>
      <w:pPr>
        <w:spacing w:after="0"/>
      </w:pPr>
    </w:p>
    <w:sectPr w:rsidR="00FC693F" w:rsidRPr="0006063C" w:rsidSect="00034616">
      <w:pgSz w:w="12240" w:h="15840"/>
      <w:pgMar w:top="1181" w:right="1440" w:bottom="1181"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lvl>
  </w:abstractNum>
  <w:num w:numId="18">
    <w:abstractNumId w:val="17"/>
  </w:num>
  <w:abstractNum w:abstractNumId="18">
    <w:multiLevelType w:val="singleLevel"/>
    <w:lvl w:ilvl="0">
      <w:start w:val="1"/>
      <w:numFmt w:val="bullet"/>
      <w:lvlText w:val="•"/>
      <w:suff w:val="tab"/>
      <w:lvlJc w:val="left"/>
      <w:pPr>
        <w:tabs>
          <w:tab w:val="num" w:pos="540"/>
        </w:tabs>
        <w:ind w:left="540" w:hanging="270"/>
      </w:pPr>
    </w:lvl>
  </w:abstractNum>
  <w:num w:numId="19">
    <w:abstractNumId w:val="18"/>
  </w:num>
  <w:abstractNum w:abstractNumId="19">
    <w:multiLevelType w:val="singleLevel"/>
    <w:lvl w:ilvl="0">
      <w:start w:val="1"/>
      <w:numFmt w:val="bullet"/>
      <w:lvlText w:val="•"/>
      <w:suff w:val="tab"/>
      <w:lvlJc w:val="left"/>
      <w:pPr>
        <w:tabs>
          <w:tab w:val="num" w:pos="540"/>
        </w:tabs>
        <w:ind w:left="540" w:hanging="270"/>
      </w:pPr>
    </w:lvl>
  </w:abstractNum>
  <w:num w:numId="20">
    <w:abstractNumId w:val="19"/>
  </w:num>
  <w:abstractNum w:abstractNumId="20">
    <w:multiLevelType w:val="singleLevel"/>
    <w:lvl w:ilvl="0">
      <w:start w:val="1"/>
      <w:numFmt w:val="decimal"/>
      <w:lvlText w:val="%1."/>
      <w:suff w:val="tab"/>
      <w:lvlJc w:val="left"/>
      <w:pPr>
        <w:tabs>
          <w:tab w:val="num" w:pos="540"/>
        </w:tabs>
        <w:ind w:left="540" w:hanging="270"/>
      </w:pPr>
    </w:lvl>
  </w:abstractNum>
  <w:num w:numId="21">
    <w:abstractNumId w:val="20"/>
  </w:num>
  <w:abstractNum w:abstractNumId="21">
    <w:multiLevelType w:val="singleLevel"/>
    <w:lvl w:ilvl="0">
      <w:start w:val="1"/>
      <w:numFmt w:val="bullet"/>
      <w:lvlText w:val="•"/>
      <w:suff w:val="tab"/>
      <w:lvlJc w:val="left"/>
      <w:pPr>
        <w:tabs>
          <w:tab w:val="num" w:pos="540"/>
        </w:tabs>
        <w:ind w:left="540" w:hanging="270"/>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3" w:lineRule="auto"/>
    </w:pPr>
    <w:rPr>
      <w:rFonts w:ascii="Calibri" w:hAnsi="Calibri" w:eastAsia="Calibri"/>
      <w:color w:val="1F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160"/>
      <w:outlineLvl w:val="0"/>
    </w:pPr>
    <w:rPr>
      <w:rFonts w:asciiTheme="majorHAnsi" w:eastAsiaTheme="majorEastAsia" w:hAnsiTheme="majorHAnsi" w:cstheme="majorBidi" w:ascii="Calibri" w:hAnsi="Calibri" w:eastAsia="Calibri"/>
      <w:b/>
      <w:bCs/>
      <w:color w:val="0D3D2D"/>
      <w:sz w:val="34"/>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Calibri" w:hAnsi="Calibri" w:eastAsia="Calibri"/>
      <w:b/>
      <w:bCs/>
      <w:color w:val="155C43"/>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eastAsia="Calibri"/>
      <w:b/>
      <w:bCs/>
      <w:color w:val="0D3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80" w:line="240" w:lineRule="auto" w:before="0"/>
      <w:contextualSpacing/>
    </w:pPr>
    <w:rPr>
      <w:rFonts w:asciiTheme="majorHAnsi" w:eastAsiaTheme="majorEastAsia" w:hAnsiTheme="majorHAnsi" w:cstheme="majorBidi" w:ascii="Calibri" w:hAnsi="Calibri" w:eastAsia="Calibri"/>
      <w:b/>
      <w:color w:val="0D3D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eastAsia="Calibri"/>
      <w:b w:val="0"/>
      <w:i/>
      <w:iCs/>
      <w:color w:val="5A686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83" w:lineRule="auto"/>
      <w:ind w:left="540" w:hanging="271"/>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83" w:lineRule="auto"/>
      <w:ind w:left="540" w:hanging="271"/>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 Caps Label"/>
    <w:pPr>
      <w:keepNext/>
      <w:spacing w:before="100" w:after="60"/>
    </w:pPr>
    <w:rPr>
      <w:rFonts w:ascii="Calibri" w:hAnsi="Calibri" w:eastAsia="Calibri"/>
      <w:b/>
      <w:color w:val="155C43"/>
      <w:sz w:val="17"/>
    </w:rPr>
  </w:style>
  <w:style w:type="paragraph" w:customStyle="1" w:styleId="Callout">
    <w:name w:val="Callout"/>
    <w:pPr>
      <w:spacing w:before="100" w:after="140" w:line="276" w:lineRule="auto"/>
      <w:ind w:left="259" w:right="259"/>
    </w:pPr>
    <w:rPr>
      <w:rFonts w:ascii="Calibri" w:hAnsi="Calibri" w:eastAsia="Calibri"/>
      <w:color w:val="0D3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Zovuyo Smart GrowKit Source of Truth v1.0</dc:title>
  <dc:subject>Product, business, technical and delivery baseline</dc:subject>
  <dc:creator>Zovuyo Innovations</dc:creator>
  <cp:keywords>Zovuyo, Smart GrowKit, hydroponics, ESP32, source of truth</cp:keywords>
  <dc:description>Controlling working baseline issued 30 August 2026.</dc:description>
  <cp:lastModifiedBy/>
  <cp:revision>1</cp:revision>
  <dcterms:created xsi:type="dcterms:W3CDTF">2013-12-23T23:15:00Z</dcterms:created>
  <dcterms:modified xsi:type="dcterms:W3CDTF">2013-12-23T23:15:00Z</dcterms:modified>
  <cp:category/>
</cp:coreProperties>
</file>