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51D" w:rsidRDefault="00094E8C">
      <w:pPr>
        <w:pStyle w:val="20"/>
        <w:keepNext/>
        <w:keepLines/>
        <w:numPr>
          <w:ilvl w:val="0"/>
          <w:numId w:val="1"/>
        </w:numPr>
        <w:shd w:val="clear" w:color="auto" w:fill="auto"/>
        <w:spacing w:after="160"/>
      </w:pPr>
      <w:bookmarkStart w:id="0" w:name="bookmark0"/>
      <w:bookmarkStart w:id="1" w:name="bookmark1"/>
      <w:bookmarkStart w:id="2" w:name="_GoBack"/>
      <w:r>
        <w:rPr>
          <w:i w:val="0"/>
          <w:iCs w:val="0"/>
        </w:rPr>
        <w:t xml:space="preserve">P DRUG PRODUCT </w:t>
      </w:r>
      <w:r>
        <w:t>(Paracetamol/ UNI-PHARMA Sol. iv. inf.</w:t>
      </w:r>
      <w:bookmarkEnd w:id="0"/>
      <w:bookmarkEnd w:id="1"/>
    </w:p>
    <w:p w:rsidR="00A4351D" w:rsidRDefault="00094E8C">
      <w:pPr>
        <w:pStyle w:val="20"/>
        <w:keepNext/>
        <w:keepLines/>
        <w:shd w:val="clear" w:color="auto" w:fill="auto"/>
        <w:spacing w:after="440"/>
      </w:pPr>
      <w:bookmarkStart w:id="3" w:name="bookmark2"/>
      <w:bookmarkStart w:id="4" w:name="bookmark3"/>
      <w:r>
        <w:t>1g/6.7ml AMP.)</w:t>
      </w:r>
      <w:bookmarkEnd w:id="3"/>
      <w:bookmarkEnd w:id="4"/>
    </w:p>
    <w:p w:rsidR="00A4351D" w:rsidRDefault="00094E8C">
      <w:pPr>
        <w:pStyle w:val="1"/>
        <w:numPr>
          <w:ilvl w:val="0"/>
          <w:numId w:val="2"/>
        </w:numPr>
        <w:shd w:val="clear" w:color="auto" w:fill="auto"/>
        <w:spacing w:line="341" w:lineRule="auto"/>
        <w:ind w:firstLine="840"/>
        <w:rPr>
          <w:sz w:val="26"/>
          <w:szCs w:val="26"/>
        </w:rPr>
      </w:pPr>
      <w:r>
        <w:rPr>
          <w:b/>
          <w:bCs/>
          <w:i/>
          <w:iCs/>
          <w:sz w:val="26"/>
          <w:szCs w:val="26"/>
          <w:lang w:val="fr-FR" w:eastAsia="fr-FR" w:bidi="fr-FR"/>
        </w:rPr>
        <w:t>P.1 DESCRIPTION AND COMPOSITION OF THE DRUG</w:t>
      </w:r>
    </w:p>
    <w:p w:rsidR="00A4351D" w:rsidRDefault="00094E8C">
      <w:pPr>
        <w:pStyle w:val="1"/>
        <w:shd w:val="clear" w:color="auto" w:fill="auto"/>
        <w:spacing w:after="240" w:line="341" w:lineRule="auto"/>
        <w:ind w:left="2100"/>
        <w:rPr>
          <w:sz w:val="26"/>
          <w:szCs w:val="26"/>
        </w:rPr>
      </w:pPr>
      <w:r>
        <w:rPr>
          <w:b/>
          <w:bCs/>
          <w:i/>
          <w:iCs/>
          <w:sz w:val="26"/>
          <w:szCs w:val="26"/>
          <w:lang w:val="fr-FR" w:eastAsia="fr-FR" w:bidi="fr-FR"/>
        </w:rPr>
        <w:t>PRODUCT</w:t>
      </w:r>
    </w:p>
    <w:p w:rsidR="00A4351D" w:rsidRDefault="00094E8C">
      <w:pPr>
        <w:pStyle w:val="1"/>
        <w:numPr>
          <w:ilvl w:val="0"/>
          <w:numId w:val="3"/>
        </w:numPr>
        <w:shd w:val="clear" w:color="auto" w:fill="auto"/>
        <w:tabs>
          <w:tab w:val="left" w:pos="1366"/>
        </w:tabs>
        <w:ind w:left="840"/>
      </w:pPr>
      <w:r>
        <w:rPr>
          <w:b/>
          <w:bCs/>
          <w:i/>
          <w:iCs/>
          <w:lang w:val="fr-FR" w:eastAsia="fr-FR" w:bidi="fr-FR"/>
        </w:rPr>
        <w:t xml:space="preserve">P.1.1 Description </w:t>
      </w:r>
      <w:r>
        <w:rPr>
          <w:b/>
          <w:bCs/>
          <w:i/>
          <w:iCs/>
        </w:rPr>
        <w:t>of the Drug Product</w:t>
      </w:r>
    </w:p>
    <w:p w:rsidR="00A4351D" w:rsidRDefault="00094E8C">
      <w:pPr>
        <w:pStyle w:val="1"/>
        <w:shd w:val="clear" w:color="auto" w:fill="auto"/>
        <w:ind w:left="840"/>
      </w:pPr>
      <w:r>
        <w:t xml:space="preserve">Ampoules of clear, amber coloured glass, of 6.7 ml nominal volume, containing clear, colorless </w:t>
      </w:r>
      <w:r>
        <w:t>to slightly yellow (not more intensely colored than Ref. Sol. Y5, Eur. Ph. 2.2.2), odorless solution, free of visible particles. The ampoules are manufactured of borosilicate glass tubing of 1st hydrolytic class, which corresponds to the requirements of bo</w:t>
      </w:r>
      <w:r>
        <w:t>th the current Eur. Pharm. and current USP for type I pharmaceutical glass.</w:t>
      </w:r>
    </w:p>
    <w:p w:rsidR="00A4351D" w:rsidRDefault="00094E8C">
      <w:pPr>
        <w:pStyle w:val="1"/>
        <w:shd w:val="clear" w:color="auto" w:fill="auto"/>
        <w:ind w:left="840"/>
      </w:pPr>
      <w:r>
        <w:t>The ampoules are placed in a blister inner package which consists of a thermoformed PVC/ aluminium.</w:t>
      </w:r>
    </w:p>
    <w:p w:rsidR="00A4351D" w:rsidRDefault="00094E8C">
      <w:pPr>
        <w:pStyle w:val="1"/>
        <w:shd w:val="clear" w:color="auto" w:fill="auto"/>
        <w:spacing w:after="80"/>
        <w:ind w:left="840"/>
      </w:pPr>
      <w:r>
        <w:t>The blister along with a patient information leaflet is further packaged in a ca</w:t>
      </w:r>
      <w:r>
        <w:t>rdboard folding box.</w:t>
      </w:r>
      <w:r>
        <w:br w:type="page"/>
      </w:r>
    </w:p>
    <w:p w:rsidR="00A4351D" w:rsidRDefault="00094E8C">
      <w:pPr>
        <w:pStyle w:val="a5"/>
        <w:shd w:val="clear" w:color="auto" w:fill="auto"/>
        <w:ind w:left="821"/>
      </w:pPr>
      <w:r>
        <w:rPr>
          <w:b/>
          <w:bCs/>
          <w:i/>
          <w:iCs/>
          <w:lang w:val="fr-FR" w:eastAsia="fr-FR" w:bidi="fr-FR"/>
        </w:rPr>
        <w:lastRenderedPageBreak/>
        <w:t xml:space="preserve">2.3. P.1.2 Composition </w:t>
      </w:r>
      <w:r>
        <w:rPr>
          <w:b/>
          <w:bCs/>
          <w:i/>
          <w:iCs/>
        </w:rPr>
        <w:t>of The Drug Product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6202"/>
        <w:gridCol w:w="4018"/>
      </w:tblGrid>
      <w:tr w:rsidR="00A4351D">
        <w:tblPrEx>
          <w:tblCellMar>
            <w:top w:w="0" w:type="dxa"/>
            <w:bottom w:w="0" w:type="dxa"/>
          </w:tblCellMar>
        </w:tblPrEx>
        <w:trPr>
          <w:trHeight w:hRule="exact" w:val="437"/>
          <w:jc w:val="center"/>
        </w:trPr>
        <w:tc>
          <w:tcPr>
            <w:tcW w:w="6202" w:type="dxa"/>
            <w:tcBorders>
              <w:top w:val="single" w:sz="4" w:space="0" w:color="auto"/>
              <w:left w:val="single" w:sz="4" w:space="0" w:color="auto"/>
            </w:tcBorders>
            <w:shd w:val="clear" w:color="auto" w:fill="C8C8C8"/>
            <w:vAlign w:val="center"/>
          </w:tcPr>
          <w:p w:rsidR="00A4351D" w:rsidRDefault="00094E8C">
            <w:pPr>
              <w:pStyle w:val="a7"/>
              <w:shd w:val="clear" w:color="auto" w:fill="auto"/>
              <w:spacing w:line="240" w:lineRule="auto"/>
              <w:jc w:val="center"/>
            </w:pPr>
            <w:r>
              <w:rPr>
                <w:b/>
                <w:bCs/>
              </w:rPr>
              <w:t>Quantity Where the Composition Refers to:</w:t>
            </w:r>
          </w:p>
        </w:tc>
        <w:tc>
          <w:tcPr>
            <w:tcW w:w="4018" w:type="dxa"/>
            <w:tcBorders>
              <w:top w:val="single" w:sz="4" w:space="0" w:color="auto"/>
              <w:left w:val="single" w:sz="4" w:space="0" w:color="auto"/>
              <w:right w:val="single" w:sz="4" w:space="0" w:color="auto"/>
            </w:tcBorders>
            <w:shd w:val="clear" w:color="auto" w:fill="C8C8C8"/>
            <w:vAlign w:val="center"/>
          </w:tcPr>
          <w:p w:rsidR="00A4351D" w:rsidRDefault="00094E8C">
            <w:pPr>
              <w:pStyle w:val="a7"/>
              <w:shd w:val="clear" w:color="auto" w:fill="auto"/>
              <w:spacing w:line="240" w:lineRule="auto"/>
              <w:jc w:val="center"/>
            </w:pPr>
            <w:r>
              <w:rPr>
                <w:b/>
                <w:bCs/>
              </w:rPr>
              <w:t>1.0</w:t>
            </w:r>
          </w:p>
        </w:tc>
      </w:tr>
      <w:tr w:rsidR="00A4351D">
        <w:tblPrEx>
          <w:tblCellMar>
            <w:top w:w="0" w:type="dxa"/>
            <w:bottom w:w="0" w:type="dxa"/>
          </w:tblCellMar>
        </w:tblPrEx>
        <w:trPr>
          <w:trHeight w:hRule="exact" w:val="446"/>
          <w:jc w:val="center"/>
        </w:trPr>
        <w:tc>
          <w:tcPr>
            <w:tcW w:w="6202" w:type="dxa"/>
            <w:tcBorders>
              <w:top w:val="single" w:sz="4" w:space="0" w:color="auto"/>
              <w:left w:val="single" w:sz="4" w:space="0" w:color="auto"/>
              <w:bottom w:val="single" w:sz="4" w:space="0" w:color="auto"/>
            </w:tcBorders>
            <w:shd w:val="clear" w:color="auto" w:fill="DFDFDF"/>
          </w:tcPr>
          <w:p w:rsidR="00A4351D" w:rsidRDefault="00094E8C">
            <w:pPr>
              <w:pStyle w:val="a7"/>
              <w:shd w:val="clear" w:color="auto" w:fill="auto"/>
              <w:spacing w:line="240" w:lineRule="auto"/>
              <w:jc w:val="center"/>
            </w:pPr>
            <w:r>
              <w:rPr>
                <w:b/>
                <w:bCs/>
              </w:rPr>
              <w:t>Unit of measurement:</w:t>
            </w:r>
          </w:p>
        </w:tc>
        <w:tc>
          <w:tcPr>
            <w:tcW w:w="4018" w:type="dxa"/>
            <w:tcBorders>
              <w:top w:val="single" w:sz="4" w:space="0" w:color="auto"/>
              <w:left w:val="single" w:sz="4" w:space="0" w:color="auto"/>
              <w:bottom w:val="single" w:sz="4" w:space="0" w:color="auto"/>
              <w:right w:val="single" w:sz="4" w:space="0" w:color="auto"/>
            </w:tcBorders>
            <w:shd w:val="clear" w:color="auto" w:fill="DFDFDF"/>
          </w:tcPr>
          <w:p w:rsidR="00A4351D" w:rsidRDefault="00094E8C">
            <w:pPr>
              <w:pStyle w:val="a7"/>
              <w:shd w:val="clear" w:color="auto" w:fill="auto"/>
              <w:spacing w:line="240" w:lineRule="auto"/>
              <w:jc w:val="center"/>
            </w:pPr>
            <w:r>
              <w:rPr>
                <w:b/>
                <w:bCs/>
              </w:rPr>
              <w:t>mL</w:t>
            </w:r>
          </w:p>
        </w:tc>
      </w:tr>
    </w:tbl>
    <w:p w:rsidR="00A4351D" w:rsidRDefault="00A4351D">
      <w:pPr>
        <w:spacing w:after="259" w:line="1" w:lineRule="exact"/>
      </w:pPr>
    </w:p>
    <w:tbl>
      <w:tblPr>
        <w:tblOverlap w:val="never"/>
        <w:tblW w:w="0" w:type="auto"/>
        <w:jc w:val="center"/>
        <w:tblLayout w:type="fixed"/>
        <w:tblCellMar>
          <w:left w:w="10" w:type="dxa"/>
          <w:right w:w="10" w:type="dxa"/>
        </w:tblCellMar>
        <w:tblLook w:val="0000" w:firstRow="0" w:lastRow="0" w:firstColumn="0" w:lastColumn="0" w:noHBand="0" w:noVBand="0"/>
      </w:tblPr>
      <w:tblGrid>
        <w:gridCol w:w="514"/>
        <w:gridCol w:w="2702"/>
        <w:gridCol w:w="1238"/>
        <w:gridCol w:w="1248"/>
        <w:gridCol w:w="672"/>
        <w:gridCol w:w="2362"/>
      </w:tblGrid>
      <w:tr w:rsidR="00A4351D">
        <w:tblPrEx>
          <w:tblCellMar>
            <w:top w:w="0" w:type="dxa"/>
            <w:bottom w:w="0" w:type="dxa"/>
          </w:tblCellMar>
        </w:tblPrEx>
        <w:trPr>
          <w:trHeight w:hRule="exact" w:val="864"/>
          <w:jc w:val="center"/>
        </w:trPr>
        <w:tc>
          <w:tcPr>
            <w:tcW w:w="514" w:type="dxa"/>
            <w:tcBorders>
              <w:top w:val="single" w:sz="4" w:space="0" w:color="auto"/>
              <w:left w:val="single" w:sz="4" w:space="0" w:color="auto"/>
            </w:tcBorders>
            <w:shd w:val="clear" w:color="auto" w:fill="C8C8C8"/>
            <w:vAlign w:val="center"/>
          </w:tcPr>
          <w:p w:rsidR="00A4351D" w:rsidRDefault="00094E8C">
            <w:pPr>
              <w:pStyle w:val="a7"/>
              <w:shd w:val="clear" w:color="auto" w:fill="auto"/>
              <w:spacing w:line="240" w:lineRule="auto"/>
            </w:pPr>
            <w:r>
              <w:rPr>
                <w:b/>
                <w:bCs/>
              </w:rPr>
              <w:t>No</w:t>
            </w:r>
          </w:p>
        </w:tc>
        <w:tc>
          <w:tcPr>
            <w:tcW w:w="2702" w:type="dxa"/>
            <w:tcBorders>
              <w:top w:val="single" w:sz="4" w:space="0" w:color="auto"/>
              <w:left w:val="single" w:sz="4" w:space="0" w:color="auto"/>
            </w:tcBorders>
            <w:shd w:val="clear" w:color="auto" w:fill="C8C8C8"/>
            <w:vAlign w:val="center"/>
          </w:tcPr>
          <w:p w:rsidR="00A4351D" w:rsidRDefault="00094E8C">
            <w:pPr>
              <w:pStyle w:val="a7"/>
              <w:shd w:val="clear" w:color="auto" w:fill="auto"/>
              <w:spacing w:line="240" w:lineRule="auto"/>
              <w:jc w:val="center"/>
            </w:pPr>
            <w:r>
              <w:rPr>
                <w:b/>
                <w:bCs/>
              </w:rPr>
              <w:t>Name of ingredient(s)</w:t>
            </w:r>
          </w:p>
        </w:tc>
        <w:tc>
          <w:tcPr>
            <w:tcW w:w="1238" w:type="dxa"/>
            <w:tcBorders>
              <w:top w:val="single" w:sz="4" w:space="0" w:color="auto"/>
              <w:left w:val="single" w:sz="4" w:space="0" w:color="auto"/>
            </w:tcBorders>
            <w:shd w:val="clear" w:color="auto" w:fill="C8C8C8"/>
            <w:vAlign w:val="bottom"/>
          </w:tcPr>
          <w:p w:rsidR="00A4351D" w:rsidRDefault="00094E8C">
            <w:pPr>
              <w:pStyle w:val="a7"/>
              <w:shd w:val="clear" w:color="auto" w:fill="auto"/>
              <w:spacing w:line="240" w:lineRule="auto"/>
              <w:jc w:val="center"/>
            </w:pPr>
            <w:r>
              <w:rPr>
                <w:b/>
                <w:bCs/>
              </w:rPr>
              <w:t>Reference to standards</w:t>
            </w:r>
          </w:p>
        </w:tc>
        <w:tc>
          <w:tcPr>
            <w:tcW w:w="1248" w:type="dxa"/>
            <w:tcBorders>
              <w:top w:val="single" w:sz="4" w:space="0" w:color="auto"/>
              <w:left w:val="single" w:sz="4" w:space="0" w:color="auto"/>
            </w:tcBorders>
            <w:shd w:val="clear" w:color="auto" w:fill="C8C8C8"/>
            <w:vAlign w:val="center"/>
          </w:tcPr>
          <w:p w:rsidR="00A4351D" w:rsidRDefault="00094E8C">
            <w:pPr>
              <w:pStyle w:val="a7"/>
              <w:shd w:val="clear" w:color="auto" w:fill="auto"/>
              <w:spacing w:line="240" w:lineRule="auto"/>
              <w:jc w:val="center"/>
            </w:pPr>
            <w:r>
              <w:rPr>
                <w:b/>
                <w:bCs/>
              </w:rPr>
              <w:t>Quantity</w:t>
            </w:r>
          </w:p>
        </w:tc>
        <w:tc>
          <w:tcPr>
            <w:tcW w:w="672" w:type="dxa"/>
            <w:tcBorders>
              <w:top w:val="single" w:sz="4" w:space="0" w:color="auto"/>
              <w:left w:val="single" w:sz="4" w:space="0" w:color="auto"/>
            </w:tcBorders>
            <w:shd w:val="clear" w:color="auto" w:fill="C8C8C8"/>
            <w:vAlign w:val="center"/>
          </w:tcPr>
          <w:p w:rsidR="00A4351D" w:rsidRDefault="00094E8C">
            <w:pPr>
              <w:pStyle w:val="a7"/>
              <w:shd w:val="clear" w:color="auto" w:fill="auto"/>
              <w:spacing w:line="240" w:lineRule="auto"/>
              <w:jc w:val="center"/>
            </w:pPr>
            <w:r>
              <w:rPr>
                <w:b/>
                <w:bCs/>
              </w:rPr>
              <w:t>Unit</w:t>
            </w:r>
          </w:p>
        </w:tc>
        <w:tc>
          <w:tcPr>
            <w:tcW w:w="2362" w:type="dxa"/>
            <w:tcBorders>
              <w:top w:val="single" w:sz="4" w:space="0" w:color="auto"/>
              <w:left w:val="single" w:sz="4" w:space="0" w:color="auto"/>
              <w:right w:val="single" w:sz="4" w:space="0" w:color="auto"/>
            </w:tcBorders>
            <w:shd w:val="clear" w:color="auto" w:fill="C8C8C8"/>
            <w:vAlign w:val="center"/>
          </w:tcPr>
          <w:p w:rsidR="00A4351D" w:rsidRDefault="00094E8C">
            <w:pPr>
              <w:pStyle w:val="a7"/>
              <w:shd w:val="clear" w:color="auto" w:fill="auto"/>
              <w:spacing w:line="240" w:lineRule="auto"/>
              <w:jc w:val="center"/>
            </w:pPr>
            <w:r>
              <w:rPr>
                <w:b/>
                <w:bCs/>
              </w:rPr>
              <w:t>Function</w:t>
            </w:r>
          </w:p>
        </w:tc>
      </w:tr>
      <w:tr w:rsidR="00A4351D">
        <w:tblPrEx>
          <w:tblCellMar>
            <w:top w:w="0" w:type="dxa"/>
            <w:bottom w:w="0" w:type="dxa"/>
          </w:tblCellMar>
        </w:tblPrEx>
        <w:trPr>
          <w:trHeight w:hRule="exact" w:val="293"/>
          <w:jc w:val="center"/>
        </w:trPr>
        <w:tc>
          <w:tcPr>
            <w:tcW w:w="8736" w:type="dxa"/>
            <w:gridSpan w:val="6"/>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rPr>
                <w:b/>
                <w:bCs/>
              </w:rPr>
              <w:t>Active ingredient(s):</w:t>
            </w:r>
          </w:p>
        </w:tc>
      </w:tr>
      <w:tr w:rsidR="00A4351D">
        <w:tblPrEx>
          <w:tblCellMar>
            <w:top w:w="0" w:type="dxa"/>
            <w:bottom w:w="0" w:type="dxa"/>
          </w:tblCellMar>
        </w:tblPrEx>
        <w:trPr>
          <w:trHeight w:hRule="exact" w:val="576"/>
          <w:jc w:val="center"/>
        </w:trPr>
        <w:tc>
          <w:tcPr>
            <w:tcW w:w="514"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140"/>
              <w:jc w:val="both"/>
            </w:pPr>
            <w:r>
              <w:t>1.</w:t>
            </w:r>
          </w:p>
        </w:tc>
        <w:tc>
          <w:tcPr>
            <w:tcW w:w="27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Paracetamol</w:t>
            </w:r>
          </w:p>
        </w:tc>
        <w:tc>
          <w:tcPr>
            <w:tcW w:w="1238"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Current</w:t>
            </w:r>
          </w:p>
          <w:p w:rsidR="00A4351D" w:rsidRDefault="00094E8C">
            <w:pPr>
              <w:pStyle w:val="a7"/>
              <w:shd w:val="clear" w:color="auto" w:fill="auto"/>
              <w:spacing w:line="240" w:lineRule="auto"/>
              <w:jc w:val="center"/>
            </w:pPr>
            <w:r>
              <w:t>Eur. Ph.</w:t>
            </w:r>
          </w:p>
        </w:tc>
        <w:tc>
          <w:tcPr>
            <w:tcW w:w="12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150.000</w:t>
            </w:r>
          </w:p>
        </w:tc>
        <w:tc>
          <w:tcPr>
            <w:tcW w:w="67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mg</w:t>
            </w:r>
          </w:p>
        </w:tc>
        <w:tc>
          <w:tcPr>
            <w:tcW w:w="2362"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Active substance</w:t>
            </w:r>
          </w:p>
        </w:tc>
      </w:tr>
      <w:tr w:rsidR="00A4351D">
        <w:tblPrEx>
          <w:tblCellMar>
            <w:top w:w="0" w:type="dxa"/>
            <w:bottom w:w="0" w:type="dxa"/>
          </w:tblCellMar>
        </w:tblPrEx>
        <w:trPr>
          <w:trHeight w:hRule="exact" w:val="293"/>
          <w:jc w:val="center"/>
        </w:trPr>
        <w:tc>
          <w:tcPr>
            <w:tcW w:w="8736" w:type="dxa"/>
            <w:gridSpan w:val="6"/>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rPr>
                <w:b/>
                <w:bCs/>
              </w:rPr>
              <w:t>Other ingredient(s):</w:t>
            </w:r>
          </w:p>
        </w:tc>
      </w:tr>
      <w:tr w:rsidR="00A4351D">
        <w:tblPrEx>
          <w:tblCellMar>
            <w:top w:w="0" w:type="dxa"/>
            <w:bottom w:w="0" w:type="dxa"/>
          </w:tblCellMar>
        </w:tblPrEx>
        <w:trPr>
          <w:trHeight w:hRule="exact" w:val="576"/>
          <w:jc w:val="center"/>
        </w:trPr>
        <w:tc>
          <w:tcPr>
            <w:tcW w:w="514"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140"/>
              <w:jc w:val="both"/>
            </w:pPr>
            <w:r>
              <w:t>1.</w:t>
            </w:r>
          </w:p>
        </w:tc>
        <w:tc>
          <w:tcPr>
            <w:tcW w:w="27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Ethanol</w:t>
            </w:r>
          </w:p>
        </w:tc>
        <w:tc>
          <w:tcPr>
            <w:tcW w:w="1238"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Current</w:t>
            </w:r>
          </w:p>
          <w:p w:rsidR="00A4351D" w:rsidRDefault="00094E8C">
            <w:pPr>
              <w:pStyle w:val="a7"/>
              <w:shd w:val="clear" w:color="auto" w:fill="auto"/>
              <w:spacing w:line="240" w:lineRule="auto"/>
              <w:jc w:val="center"/>
            </w:pPr>
            <w:r>
              <w:t>Eur. Ph.</w:t>
            </w:r>
          </w:p>
        </w:tc>
        <w:tc>
          <w:tcPr>
            <w:tcW w:w="12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0.100</w:t>
            </w:r>
          </w:p>
        </w:tc>
        <w:tc>
          <w:tcPr>
            <w:tcW w:w="67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ml</w:t>
            </w:r>
          </w:p>
        </w:tc>
        <w:tc>
          <w:tcPr>
            <w:tcW w:w="2362"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Solvent</w:t>
            </w:r>
          </w:p>
        </w:tc>
      </w:tr>
      <w:tr w:rsidR="00A4351D">
        <w:tblPrEx>
          <w:tblCellMar>
            <w:top w:w="0" w:type="dxa"/>
            <w:bottom w:w="0" w:type="dxa"/>
          </w:tblCellMar>
        </w:tblPrEx>
        <w:trPr>
          <w:trHeight w:hRule="exact" w:val="576"/>
          <w:jc w:val="center"/>
        </w:trPr>
        <w:tc>
          <w:tcPr>
            <w:tcW w:w="514"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140"/>
              <w:jc w:val="both"/>
            </w:pPr>
            <w:r>
              <w:t>2.</w:t>
            </w:r>
          </w:p>
        </w:tc>
        <w:tc>
          <w:tcPr>
            <w:tcW w:w="27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Disodium Edetate</w:t>
            </w:r>
          </w:p>
        </w:tc>
        <w:tc>
          <w:tcPr>
            <w:tcW w:w="1238"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Current</w:t>
            </w:r>
          </w:p>
          <w:p w:rsidR="00A4351D" w:rsidRDefault="00094E8C">
            <w:pPr>
              <w:pStyle w:val="a7"/>
              <w:shd w:val="clear" w:color="auto" w:fill="auto"/>
              <w:spacing w:line="240" w:lineRule="auto"/>
              <w:jc w:val="center"/>
            </w:pPr>
            <w:r>
              <w:t>Eur. Ph.</w:t>
            </w:r>
          </w:p>
        </w:tc>
        <w:tc>
          <w:tcPr>
            <w:tcW w:w="12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0.100</w:t>
            </w:r>
          </w:p>
        </w:tc>
        <w:tc>
          <w:tcPr>
            <w:tcW w:w="67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mg</w:t>
            </w:r>
          </w:p>
        </w:tc>
        <w:tc>
          <w:tcPr>
            <w:tcW w:w="2362"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Chelating agent</w:t>
            </w:r>
          </w:p>
        </w:tc>
      </w:tr>
      <w:tr w:rsidR="00A4351D">
        <w:tblPrEx>
          <w:tblCellMar>
            <w:top w:w="0" w:type="dxa"/>
            <w:bottom w:w="0" w:type="dxa"/>
          </w:tblCellMar>
        </w:tblPrEx>
        <w:trPr>
          <w:trHeight w:hRule="exact" w:val="576"/>
          <w:jc w:val="center"/>
        </w:trPr>
        <w:tc>
          <w:tcPr>
            <w:tcW w:w="514"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140"/>
              <w:jc w:val="both"/>
            </w:pPr>
            <w:r>
              <w:t>3.</w:t>
            </w:r>
          </w:p>
        </w:tc>
        <w:tc>
          <w:tcPr>
            <w:tcW w:w="2702"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Disodium Hydrogen Phosphate Dodecahydrate</w:t>
            </w:r>
          </w:p>
        </w:tc>
        <w:tc>
          <w:tcPr>
            <w:tcW w:w="1238"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Current</w:t>
            </w:r>
          </w:p>
          <w:p w:rsidR="00A4351D" w:rsidRDefault="00094E8C">
            <w:pPr>
              <w:pStyle w:val="a7"/>
              <w:shd w:val="clear" w:color="auto" w:fill="auto"/>
              <w:spacing w:line="240" w:lineRule="auto"/>
              <w:jc w:val="center"/>
            </w:pPr>
            <w:r>
              <w:t>Eur. Ph.</w:t>
            </w:r>
          </w:p>
        </w:tc>
        <w:tc>
          <w:tcPr>
            <w:tcW w:w="12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0.750</w:t>
            </w:r>
          </w:p>
        </w:tc>
        <w:tc>
          <w:tcPr>
            <w:tcW w:w="67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mg</w:t>
            </w:r>
          </w:p>
        </w:tc>
        <w:tc>
          <w:tcPr>
            <w:tcW w:w="2362"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Adjustment of pH</w:t>
            </w:r>
          </w:p>
        </w:tc>
      </w:tr>
      <w:tr w:rsidR="00A4351D">
        <w:tblPrEx>
          <w:tblCellMar>
            <w:top w:w="0" w:type="dxa"/>
            <w:bottom w:w="0" w:type="dxa"/>
          </w:tblCellMar>
        </w:tblPrEx>
        <w:trPr>
          <w:trHeight w:hRule="exact" w:val="576"/>
          <w:jc w:val="center"/>
        </w:trPr>
        <w:tc>
          <w:tcPr>
            <w:tcW w:w="514"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140"/>
              <w:jc w:val="both"/>
            </w:pPr>
            <w:r>
              <w:t>4.</w:t>
            </w:r>
          </w:p>
        </w:tc>
        <w:tc>
          <w:tcPr>
            <w:tcW w:w="27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Sodium Metabisulfite</w:t>
            </w:r>
          </w:p>
        </w:tc>
        <w:tc>
          <w:tcPr>
            <w:tcW w:w="1238"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Current</w:t>
            </w:r>
          </w:p>
          <w:p w:rsidR="00A4351D" w:rsidRDefault="00094E8C">
            <w:pPr>
              <w:pStyle w:val="a7"/>
              <w:shd w:val="clear" w:color="auto" w:fill="auto"/>
              <w:spacing w:line="240" w:lineRule="auto"/>
              <w:jc w:val="center"/>
            </w:pPr>
            <w:r>
              <w:t>Eur. Ph.</w:t>
            </w:r>
          </w:p>
        </w:tc>
        <w:tc>
          <w:tcPr>
            <w:tcW w:w="12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1.000</w:t>
            </w:r>
          </w:p>
        </w:tc>
        <w:tc>
          <w:tcPr>
            <w:tcW w:w="67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mg</w:t>
            </w:r>
          </w:p>
        </w:tc>
        <w:tc>
          <w:tcPr>
            <w:tcW w:w="2362"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Antioxidant agent</w:t>
            </w:r>
          </w:p>
        </w:tc>
      </w:tr>
      <w:tr w:rsidR="00A4351D">
        <w:tblPrEx>
          <w:tblCellMar>
            <w:top w:w="0" w:type="dxa"/>
            <w:bottom w:w="0" w:type="dxa"/>
          </w:tblCellMar>
        </w:tblPrEx>
        <w:trPr>
          <w:trHeight w:hRule="exact" w:val="576"/>
          <w:jc w:val="center"/>
        </w:trPr>
        <w:tc>
          <w:tcPr>
            <w:tcW w:w="514"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140"/>
              <w:jc w:val="both"/>
            </w:pPr>
            <w:r>
              <w:t>5.</w:t>
            </w:r>
          </w:p>
        </w:tc>
        <w:tc>
          <w:tcPr>
            <w:tcW w:w="27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Glycerol Formal</w:t>
            </w:r>
          </w:p>
        </w:tc>
        <w:tc>
          <w:tcPr>
            <w:tcW w:w="1238"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Current</w:t>
            </w:r>
          </w:p>
          <w:p w:rsidR="00A4351D" w:rsidRDefault="00094E8C">
            <w:pPr>
              <w:pStyle w:val="a7"/>
              <w:shd w:val="clear" w:color="auto" w:fill="auto"/>
              <w:spacing w:line="240" w:lineRule="auto"/>
              <w:jc w:val="center"/>
            </w:pPr>
            <w:r>
              <w:t>Eur. Ph.</w:t>
            </w:r>
          </w:p>
        </w:tc>
        <w:tc>
          <w:tcPr>
            <w:tcW w:w="12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0.490</w:t>
            </w:r>
          </w:p>
        </w:tc>
        <w:tc>
          <w:tcPr>
            <w:tcW w:w="67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ml</w:t>
            </w:r>
          </w:p>
        </w:tc>
        <w:tc>
          <w:tcPr>
            <w:tcW w:w="2362"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Solubilising agent</w:t>
            </w:r>
          </w:p>
        </w:tc>
      </w:tr>
      <w:tr w:rsidR="00A4351D">
        <w:tblPrEx>
          <w:tblCellMar>
            <w:top w:w="0" w:type="dxa"/>
            <w:bottom w:w="0" w:type="dxa"/>
          </w:tblCellMar>
        </w:tblPrEx>
        <w:trPr>
          <w:trHeight w:hRule="exact" w:val="576"/>
          <w:jc w:val="center"/>
        </w:trPr>
        <w:tc>
          <w:tcPr>
            <w:tcW w:w="514"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140"/>
              <w:jc w:val="both"/>
            </w:pPr>
            <w:r>
              <w:t>6.</w:t>
            </w:r>
          </w:p>
        </w:tc>
        <w:tc>
          <w:tcPr>
            <w:tcW w:w="27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Water for Injection</w:t>
            </w:r>
          </w:p>
        </w:tc>
        <w:tc>
          <w:tcPr>
            <w:tcW w:w="1238"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Current</w:t>
            </w:r>
          </w:p>
          <w:p w:rsidR="00A4351D" w:rsidRDefault="00094E8C">
            <w:pPr>
              <w:pStyle w:val="a7"/>
              <w:shd w:val="clear" w:color="auto" w:fill="auto"/>
              <w:spacing w:line="240" w:lineRule="auto"/>
              <w:jc w:val="center"/>
            </w:pPr>
            <w:r>
              <w:t>Eur. Ph.</w:t>
            </w:r>
          </w:p>
        </w:tc>
        <w:tc>
          <w:tcPr>
            <w:tcW w:w="12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q.s. 1.000</w:t>
            </w:r>
          </w:p>
        </w:tc>
        <w:tc>
          <w:tcPr>
            <w:tcW w:w="67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ml</w:t>
            </w:r>
          </w:p>
        </w:tc>
        <w:tc>
          <w:tcPr>
            <w:tcW w:w="2362"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Solvent</w:t>
            </w:r>
          </w:p>
        </w:tc>
      </w:tr>
      <w:tr w:rsidR="00A4351D">
        <w:tblPrEx>
          <w:tblCellMar>
            <w:top w:w="0" w:type="dxa"/>
            <w:bottom w:w="0" w:type="dxa"/>
          </w:tblCellMar>
        </w:tblPrEx>
        <w:trPr>
          <w:trHeight w:hRule="exact" w:val="974"/>
          <w:jc w:val="center"/>
        </w:trPr>
        <w:tc>
          <w:tcPr>
            <w:tcW w:w="514"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ind w:firstLine="140"/>
              <w:jc w:val="both"/>
            </w:pPr>
            <w:r>
              <w:t>7.</w:t>
            </w:r>
          </w:p>
        </w:tc>
        <w:tc>
          <w:tcPr>
            <w:tcW w:w="2702" w:type="dxa"/>
            <w:tcBorders>
              <w:top w:val="single" w:sz="4" w:space="0" w:color="auto"/>
              <w:left w:val="single" w:sz="4" w:space="0" w:color="auto"/>
              <w:bottom w:val="single" w:sz="4" w:space="0" w:color="auto"/>
            </w:tcBorders>
            <w:shd w:val="clear" w:color="auto" w:fill="FFFFFF"/>
            <w:vAlign w:val="bottom"/>
          </w:tcPr>
          <w:p w:rsidR="00A4351D" w:rsidRDefault="00094E8C">
            <w:pPr>
              <w:pStyle w:val="a7"/>
              <w:shd w:val="clear" w:color="auto" w:fill="auto"/>
              <w:spacing w:line="240" w:lineRule="auto"/>
              <w:jc w:val="center"/>
            </w:pPr>
            <w:r>
              <w:t xml:space="preserve">Disodium Hydrogen Phosphate Dodecahydrate 1.0 M </w:t>
            </w:r>
            <w:r>
              <w:t>solution</w:t>
            </w:r>
          </w:p>
        </w:tc>
        <w:tc>
          <w:tcPr>
            <w:tcW w:w="1238"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jc w:val="center"/>
            </w:pPr>
            <w:r>
              <w:t>Current</w:t>
            </w:r>
          </w:p>
          <w:p w:rsidR="00A4351D" w:rsidRDefault="00094E8C">
            <w:pPr>
              <w:pStyle w:val="a7"/>
              <w:shd w:val="clear" w:color="auto" w:fill="auto"/>
              <w:spacing w:line="240" w:lineRule="auto"/>
              <w:jc w:val="center"/>
            </w:pPr>
            <w:r>
              <w:t>Eur. Ph.</w:t>
            </w:r>
          </w:p>
        </w:tc>
        <w:tc>
          <w:tcPr>
            <w:tcW w:w="1248"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jc w:val="center"/>
            </w:pPr>
            <w:r>
              <w:t>q.s. pH</w:t>
            </w:r>
          </w:p>
          <w:p w:rsidR="00A4351D" w:rsidRDefault="00094E8C">
            <w:pPr>
              <w:pStyle w:val="a7"/>
              <w:shd w:val="clear" w:color="auto" w:fill="auto"/>
              <w:spacing w:line="240" w:lineRule="auto"/>
              <w:jc w:val="center"/>
            </w:pPr>
            <w:r>
              <w:t>5.0-6.5</w:t>
            </w:r>
          </w:p>
        </w:tc>
        <w:tc>
          <w:tcPr>
            <w:tcW w:w="672"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jc w:val="center"/>
            </w:pPr>
            <w:r>
              <w:t>ml</w:t>
            </w:r>
          </w:p>
        </w:tc>
        <w:tc>
          <w:tcPr>
            <w:tcW w:w="2362" w:type="dxa"/>
            <w:tcBorders>
              <w:top w:val="single" w:sz="4" w:space="0" w:color="auto"/>
              <w:left w:val="single" w:sz="4" w:space="0" w:color="auto"/>
              <w:bottom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Adjustment of pH</w:t>
            </w:r>
          </w:p>
        </w:tc>
      </w:tr>
    </w:tbl>
    <w:p w:rsidR="00A4351D" w:rsidRDefault="00A4351D">
      <w:pPr>
        <w:spacing w:after="399" w:line="1" w:lineRule="exact"/>
      </w:pPr>
    </w:p>
    <w:p w:rsidR="00A4351D" w:rsidRDefault="00094E8C">
      <w:pPr>
        <w:pStyle w:val="1"/>
        <w:shd w:val="clear" w:color="auto" w:fill="auto"/>
        <w:spacing w:after="140" w:line="240" w:lineRule="auto"/>
        <w:ind w:firstLine="820"/>
      </w:pPr>
      <w:r>
        <w:rPr>
          <w:b/>
          <w:bCs/>
          <w:i/>
          <w:iCs/>
          <w:u w:val="single"/>
        </w:rPr>
        <w:t>DETAILS OF ANY OVERAGES:</w:t>
      </w:r>
    </w:p>
    <w:p w:rsidR="00A4351D" w:rsidRDefault="00094E8C">
      <w:pPr>
        <w:pStyle w:val="1"/>
        <w:shd w:val="clear" w:color="auto" w:fill="auto"/>
        <w:spacing w:after="140" w:line="240" w:lineRule="auto"/>
        <w:ind w:firstLine="820"/>
      </w:pPr>
      <w:r>
        <w:t>- Active substance(s): Not Applicable</w:t>
      </w:r>
    </w:p>
    <w:p w:rsidR="00A4351D" w:rsidRDefault="00094E8C">
      <w:pPr>
        <w:pStyle w:val="1"/>
        <w:shd w:val="clear" w:color="auto" w:fill="auto"/>
        <w:spacing w:after="200" w:line="240" w:lineRule="auto"/>
        <w:ind w:firstLine="820"/>
        <w:sectPr w:rsidR="00A4351D">
          <w:headerReference w:type="default" r:id="rId8"/>
          <w:footerReference w:type="default" r:id="rId9"/>
          <w:pgSz w:w="11900" w:h="16840"/>
          <w:pgMar w:top="1954" w:right="840" w:bottom="4983" w:left="840" w:header="0" w:footer="3" w:gutter="0"/>
          <w:pgNumType w:start="1"/>
          <w:cols w:space="720"/>
          <w:noEndnote/>
          <w:docGrid w:linePitch="360"/>
        </w:sectPr>
      </w:pPr>
      <w:r>
        <w:t>- Excipient(s): Not Applicable</w:t>
      </w:r>
    </w:p>
    <w:p w:rsidR="00A4351D" w:rsidRDefault="00094E8C">
      <w:pPr>
        <w:pStyle w:val="1"/>
        <w:numPr>
          <w:ilvl w:val="0"/>
          <w:numId w:val="4"/>
        </w:numPr>
        <w:shd w:val="clear" w:color="auto" w:fill="auto"/>
        <w:spacing w:after="600" w:line="240" w:lineRule="auto"/>
        <w:ind w:left="840"/>
        <w:jc w:val="both"/>
        <w:rPr>
          <w:sz w:val="26"/>
          <w:szCs w:val="26"/>
        </w:rPr>
      </w:pPr>
      <w:r>
        <w:rPr>
          <w:b/>
          <w:bCs/>
          <w:i/>
          <w:iCs/>
          <w:sz w:val="26"/>
          <w:szCs w:val="26"/>
        </w:rPr>
        <w:lastRenderedPageBreak/>
        <w:t>P.2 PHARMACEUTICAL DEVELOPMENT</w:t>
      </w:r>
    </w:p>
    <w:p w:rsidR="00A4351D" w:rsidRDefault="00094E8C">
      <w:pPr>
        <w:pStyle w:val="1"/>
        <w:shd w:val="clear" w:color="auto" w:fill="auto"/>
        <w:spacing w:after="420"/>
        <w:ind w:left="840"/>
        <w:jc w:val="both"/>
      </w:pPr>
      <w:r>
        <w:t xml:space="preserve">The pharmaceutical product </w:t>
      </w:r>
      <w:r>
        <w:rPr>
          <w:b/>
          <w:bCs/>
        </w:rPr>
        <w:t xml:space="preserve">Paracetamol/Uni-Pharma </w:t>
      </w:r>
      <w:r>
        <w:rPr>
          <w:b/>
          <w:bCs/>
          <w:i/>
          <w:iCs/>
        </w:rPr>
        <w:t>Sol. iv. inf. 1g/6.7 ml Amp</w:t>
      </w:r>
      <w:r>
        <w:rPr>
          <w:b/>
          <w:bCs/>
        </w:rPr>
        <w:t xml:space="preserve">. </w:t>
      </w:r>
      <w:r>
        <w:t xml:space="preserve">contains paracetamol as an analgesic </w:t>
      </w:r>
      <w:r>
        <w:t>and antipyretic agent in a concentrated solution for IV infusion.</w:t>
      </w:r>
    </w:p>
    <w:p w:rsidR="00A4351D" w:rsidRDefault="00094E8C">
      <w:pPr>
        <w:pStyle w:val="1"/>
        <w:shd w:val="clear" w:color="auto" w:fill="auto"/>
        <w:spacing w:line="372" w:lineRule="auto"/>
        <w:ind w:left="840"/>
        <w:jc w:val="both"/>
      </w:pPr>
      <w:r>
        <w:t xml:space="preserve">Stability studies of the selected, optimized formula, at physical and accelerated conditions have been performed in order to validate that it remains stable throughout the shelf life of the </w:t>
      </w:r>
      <w:r>
        <w:t>product.</w:t>
      </w:r>
    </w:p>
    <w:p w:rsidR="00A4351D" w:rsidRDefault="00094E8C">
      <w:pPr>
        <w:pStyle w:val="1"/>
        <w:shd w:val="clear" w:color="auto" w:fill="auto"/>
        <w:spacing w:after="840" w:line="372" w:lineRule="auto"/>
        <w:ind w:left="840"/>
        <w:jc w:val="both"/>
      </w:pPr>
      <w:r>
        <w:t xml:space="preserve">After production of trial batches and performance of the required controls, the formula described in </w:t>
      </w:r>
      <w:r>
        <w:rPr>
          <w:b/>
          <w:bCs/>
        </w:rPr>
        <w:t xml:space="preserve">§ 3.2.P.1.2 </w:t>
      </w:r>
      <w:r>
        <w:t>was chosen as optimal.</w:t>
      </w:r>
    </w:p>
    <w:p w:rsidR="00A4351D" w:rsidRDefault="00094E8C">
      <w:pPr>
        <w:pStyle w:val="1"/>
        <w:numPr>
          <w:ilvl w:val="0"/>
          <w:numId w:val="5"/>
        </w:numPr>
        <w:shd w:val="clear" w:color="auto" w:fill="auto"/>
        <w:tabs>
          <w:tab w:val="left" w:pos="2194"/>
        </w:tabs>
        <w:ind w:left="840"/>
        <w:jc w:val="both"/>
      </w:pPr>
      <w:r>
        <w:rPr>
          <w:b/>
          <w:bCs/>
          <w:i/>
          <w:iCs/>
        </w:rPr>
        <w:t>P.2.1</w:t>
      </w:r>
      <w:r>
        <w:rPr>
          <w:b/>
          <w:bCs/>
        </w:rPr>
        <w:t>.</w:t>
      </w:r>
      <w:r>
        <w:rPr>
          <w:b/>
          <w:bCs/>
        </w:rPr>
        <w:tab/>
      </w:r>
      <w:r>
        <w:rPr>
          <w:b/>
          <w:bCs/>
          <w:i/>
          <w:iCs/>
        </w:rPr>
        <w:t>Components of the Drug Product</w:t>
      </w:r>
    </w:p>
    <w:p w:rsidR="00A4351D" w:rsidRDefault="00094E8C">
      <w:pPr>
        <w:pStyle w:val="1"/>
        <w:shd w:val="clear" w:color="auto" w:fill="auto"/>
        <w:spacing w:after="840"/>
        <w:ind w:left="840"/>
        <w:jc w:val="both"/>
      </w:pPr>
      <w:r>
        <w:t xml:space="preserve">The product </w:t>
      </w:r>
      <w:r>
        <w:rPr>
          <w:b/>
          <w:bCs/>
        </w:rPr>
        <w:t xml:space="preserve">Paracetamol/Uni-Pharma </w:t>
      </w:r>
      <w:r>
        <w:rPr>
          <w:b/>
          <w:bCs/>
          <w:i/>
          <w:iCs/>
        </w:rPr>
        <w:t>Sol. iv. inf. 1g/6.7 ml Amp</w:t>
      </w:r>
      <w:r>
        <w:rPr>
          <w:b/>
          <w:bCs/>
        </w:rPr>
        <w:t xml:space="preserve">. </w:t>
      </w:r>
      <w:r>
        <w:t xml:space="preserve">consists </w:t>
      </w:r>
      <w:r>
        <w:t>of the active pharmaceutical ingredient paracetamol and excipients that are described in detail below.</w:t>
      </w:r>
    </w:p>
    <w:p w:rsidR="00A4351D" w:rsidRDefault="00094E8C">
      <w:pPr>
        <w:pStyle w:val="1"/>
        <w:numPr>
          <w:ilvl w:val="0"/>
          <w:numId w:val="6"/>
        </w:numPr>
        <w:shd w:val="clear" w:color="auto" w:fill="auto"/>
        <w:ind w:firstLine="840"/>
        <w:jc w:val="both"/>
      </w:pPr>
      <w:r>
        <w:rPr>
          <w:b/>
          <w:bCs/>
          <w:i/>
          <w:iCs/>
        </w:rPr>
        <w:t>P.2.1.1. Drug Substance</w:t>
      </w:r>
    </w:p>
    <w:p w:rsidR="00A4351D" w:rsidRDefault="00094E8C">
      <w:pPr>
        <w:pStyle w:val="1"/>
        <w:shd w:val="clear" w:color="auto" w:fill="auto"/>
        <w:ind w:firstLine="840"/>
        <w:jc w:val="both"/>
      </w:pPr>
      <w:r>
        <w:rPr>
          <w:i/>
          <w:iCs/>
        </w:rPr>
        <w:t>Active substance:</w:t>
      </w:r>
      <w:r>
        <w:rPr>
          <w:b/>
          <w:bCs/>
        </w:rPr>
        <w:t xml:space="preserve"> PARACETAMOL</w:t>
      </w:r>
    </w:p>
    <w:p w:rsidR="00A4351D" w:rsidRDefault="00094E8C">
      <w:pPr>
        <w:pStyle w:val="1"/>
        <w:shd w:val="clear" w:color="auto" w:fill="auto"/>
        <w:ind w:firstLine="840"/>
        <w:jc w:val="both"/>
      </w:pPr>
      <w:r>
        <w:rPr>
          <w:i/>
          <w:iCs/>
        </w:rPr>
        <w:t>(Analytical Profile of Drug Substances, Volume3, Acetaminophen)</w:t>
      </w:r>
    </w:p>
    <w:p w:rsidR="00A4351D" w:rsidRDefault="00094E8C">
      <w:pPr>
        <w:pStyle w:val="1"/>
        <w:shd w:val="clear" w:color="auto" w:fill="auto"/>
        <w:spacing w:after="220"/>
        <w:ind w:left="840"/>
        <w:jc w:val="both"/>
      </w:pPr>
      <w:r>
        <w:t xml:space="preserve">Paracetamol is part of the class of drugs known as “aniline analgesics”. It is the active metabolite of phenacetin, once popular as an analgesic and antipyretic in its own right, but unlike phenacetin and its combinations, paracetamol is not considered to </w:t>
      </w:r>
      <w:r>
        <w:t xml:space="preserve">be carcinogenic at therapeutic doses. The words </w:t>
      </w:r>
      <w:r>
        <w:rPr>
          <w:i/>
          <w:iCs/>
        </w:rPr>
        <w:t>acetaminophen</w:t>
      </w:r>
      <w:r>
        <w:t xml:space="preserve"> and </w:t>
      </w:r>
      <w:r>
        <w:rPr>
          <w:i/>
          <w:iCs/>
        </w:rPr>
        <w:t>paracetamol</w:t>
      </w:r>
      <w:r>
        <w:t xml:space="preserve"> (both come from chemical names for the compound: </w:t>
      </w:r>
      <w:r>
        <w:rPr>
          <w:i/>
          <w:iCs/>
        </w:rPr>
        <w:t>para</w:t>
      </w:r>
      <w:r>
        <w:t xml:space="preserve">-acetylaminophenol and </w:t>
      </w:r>
      <w:r>
        <w:rPr>
          <w:i/>
          <w:iCs/>
        </w:rPr>
        <w:t>para</w:t>
      </w:r>
      <w:r>
        <w:softHyphen/>
        <w:t xml:space="preserve">acetylaminophenol. In some contexts, it is simply abbreviated as APAP, for </w:t>
      </w:r>
      <w:r>
        <w:rPr>
          <w:i/>
          <w:iCs/>
        </w:rPr>
        <w:t>N</w:t>
      </w:r>
      <w:r>
        <w:t xml:space="preserve">-acetyl- </w:t>
      </w:r>
      <w:r>
        <w:t>para-aminophenol.</w:t>
      </w:r>
    </w:p>
    <w:p w:rsidR="00A4351D" w:rsidRDefault="00094E8C">
      <w:pPr>
        <w:pStyle w:val="1"/>
        <w:numPr>
          <w:ilvl w:val="0"/>
          <w:numId w:val="7"/>
        </w:numPr>
        <w:shd w:val="clear" w:color="auto" w:fill="auto"/>
        <w:ind w:left="840"/>
        <w:sectPr w:rsidR="00A4351D">
          <w:pgSz w:w="11900" w:h="16840"/>
          <w:pgMar w:top="1954" w:right="840" w:bottom="2463" w:left="840" w:header="0" w:footer="3" w:gutter="0"/>
          <w:cols w:space="720"/>
          <w:noEndnote/>
          <w:docGrid w:linePitch="360"/>
        </w:sectPr>
      </w:pPr>
      <w:r>
        <w:rPr>
          <w:b/>
          <w:bCs/>
          <w:i/>
          <w:iCs/>
        </w:rPr>
        <w:t xml:space="preserve">P.2.1.1.1. Appearance Color, Odor, Taste </w:t>
      </w:r>
      <w:r>
        <w:t>White, odorless, crystalline powder, possessing a bitter taste.</w:t>
      </w:r>
    </w:p>
    <w:p w:rsidR="00A4351D" w:rsidRDefault="00094E8C">
      <w:pPr>
        <w:pStyle w:val="1"/>
        <w:numPr>
          <w:ilvl w:val="0"/>
          <w:numId w:val="8"/>
        </w:numPr>
        <w:shd w:val="clear" w:color="auto" w:fill="auto"/>
        <w:spacing w:after="140" w:line="240" w:lineRule="auto"/>
        <w:ind w:firstLine="820"/>
        <w:jc w:val="both"/>
      </w:pPr>
      <w:r>
        <w:rPr>
          <w:b/>
          <w:bCs/>
          <w:i/>
          <w:iCs/>
        </w:rPr>
        <w:lastRenderedPageBreak/>
        <w:t>P.2.1.1.2. Physical Properties</w:t>
      </w:r>
    </w:p>
    <w:p w:rsidR="00A4351D" w:rsidRDefault="00094E8C">
      <w:pPr>
        <w:pStyle w:val="30"/>
        <w:keepNext/>
        <w:keepLines/>
        <w:shd w:val="clear" w:color="auto" w:fill="auto"/>
        <w:spacing w:after="140" w:line="240" w:lineRule="auto"/>
        <w:ind w:firstLine="820"/>
        <w:jc w:val="both"/>
      </w:pPr>
      <w:bookmarkStart w:id="5" w:name="bookmark4"/>
      <w:bookmarkStart w:id="6" w:name="bookmark5"/>
      <w:r>
        <w:t>Solubility in Aqueous Solvents</w:t>
      </w:r>
      <w:bookmarkEnd w:id="5"/>
      <w:bookmarkEnd w:id="6"/>
    </w:p>
    <w:p w:rsidR="00A4351D" w:rsidRDefault="00094E8C">
      <w:pPr>
        <w:pStyle w:val="1"/>
        <w:shd w:val="clear" w:color="auto" w:fill="auto"/>
        <w:spacing w:after="140" w:line="240" w:lineRule="auto"/>
        <w:ind w:firstLine="820"/>
      </w:pPr>
      <w:r>
        <w:t>Solubility of paracetamol in distilled water: 20</w:t>
      </w:r>
      <w:r>
        <w:rPr>
          <w:vertAlign w:val="superscript"/>
        </w:rPr>
        <w:t>0</w:t>
      </w:r>
      <w:r>
        <w:t xml:space="preserve"> </w:t>
      </w:r>
      <w:r>
        <w:t>C, about 14.5 mg/ml</w:t>
      </w:r>
    </w:p>
    <w:p w:rsidR="00A4351D" w:rsidRDefault="00094E8C">
      <w:pPr>
        <w:pStyle w:val="1"/>
        <w:shd w:val="clear" w:color="auto" w:fill="auto"/>
        <w:spacing w:after="540" w:line="240" w:lineRule="auto"/>
        <w:ind w:firstLine="820"/>
      </w:pPr>
      <w:r>
        <w:t xml:space="preserve">In pH buffer solution at 37 </w:t>
      </w:r>
      <w:r>
        <w:rPr>
          <w:vertAlign w:val="superscript"/>
        </w:rPr>
        <w:t>0</w:t>
      </w:r>
      <w:r>
        <w:t>C its solubility has been recorded as 23.8 mg/ml</w:t>
      </w:r>
    </w:p>
    <w:p w:rsidR="00A4351D" w:rsidRDefault="00094E8C">
      <w:pPr>
        <w:pStyle w:val="a5"/>
        <w:shd w:val="clear" w:color="auto" w:fill="auto"/>
        <w:ind w:left="77"/>
      </w:pPr>
      <w:r>
        <w:rPr>
          <w:b/>
          <w:bCs/>
        </w:rPr>
        <w:t>Solubility in Water Miscible Solvents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4373"/>
        <w:gridCol w:w="4363"/>
      </w:tblGrid>
      <w:tr w:rsidR="00A4351D">
        <w:tblPrEx>
          <w:tblCellMar>
            <w:top w:w="0" w:type="dxa"/>
            <w:bottom w:w="0" w:type="dxa"/>
          </w:tblCellMar>
        </w:tblPrEx>
        <w:trPr>
          <w:trHeight w:hRule="exact" w:val="466"/>
          <w:jc w:val="center"/>
        </w:trPr>
        <w:tc>
          <w:tcPr>
            <w:tcW w:w="4373" w:type="dxa"/>
            <w:tcBorders>
              <w:top w:val="single" w:sz="4" w:space="0" w:color="auto"/>
              <w:left w:val="single" w:sz="4" w:space="0" w:color="auto"/>
            </w:tcBorders>
            <w:shd w:val="clear" w:color="auto" w:fill="FFFFFF"/>
          </w:tcPr>
          <w:p w:rsidR="00A4351D" w:rsidRDefault="00094E8C">
            <w:pPr>
              <w:pStyle w:val="a7"/>
              <w:shd w:val="clear" w:color="auto" w:fill="auto"/>
              <w:spacing w:line="240" w:lineRule="auto"/>
            </w:pPr>
            <w:r>
              <w:rPr>
                <w:b/>
                <w:bCs/>
              </w:rPr>
              <w:t>Solvent</w:t>
            </w:r>
          </w:p>
        </w:tc>
        <w:tc>
          <w:tcPr>
            <w:tcW w:w="4363"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rPr>
                <w:b/>
                <w:bCs/>
              </w:rPr>
              <w:t>Solubility (20</w:t>
            </w:r>
            <w:r>
              <w:rPr>
                <w:b/>
                <w:bCs/>
                <w:vertAlign w:val="superscript"/>
              </w:rPr>
              <w:t>0</w:t>
            </w:r>
            <w:r>
              <w:rPr>
                <w:b/>
                <w:bCs/>
              </w:rPr>
              <w:t xml:space="preserve"> C)</w:t>
            </w:r>
          </w:p>
        </w:tc>
      </w:tr>
      <w:tr w:rsidR="00A4351D">
        <w:tblPrEx>
          <w:tblCellMar>
            <w:top w:w="0" w:type="dxa"/>
            <w:bottom w:w="0" w:type="dxa"/>
          </w:tblCellMar>
        </w:tblPrEx>
        <w:trPr>
          <w:trHeight w:hRule="exact" w:val="466"/>
          <w:jc w:val="center"/>
        </w:trPr>
        <w:tc>
          <w:tcPr>
            <w:tcW w:w="4373" w:type="dxa"/>
            <w:tcBorders>
              <w:top w:val="single" w:sz="4" w:space="0" w:color="auto"/>
              <w:left w:val="single" w:sz="4" w:space="0" w:color="auto"/>
            </w:tcBorders>
            <w:shd w:val="clear" w:color="auto" w:fill="FFFFFF"/>
          </w:tcPr>
          <w:p w:rsidR="00A4351D" w:rsidRDefault="00094E8C">
            <w:pPr>
              <w:pStyle w:val="a7"/>
              <w:shd w:val="clear" w:color="auto" w:fill="auto"/>
              <w:spacing w:line="240" w:lineRule="auto"/>
            </w:pPr>
            <w:r>
              <w:rPr>
                <w:b/>
                <w:bCs/>
              </w:rPr>
              <w:t>Ethanol (95)</w:t>
            </w:r>
          </w:p>
        </w:tc>
        <w:tc>
          <w:tcPr>
            <w:tcW w:w="4363"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t>1 in 7</w:t>
            </w:r>
          </w:p>
        </w:tc>
      </w:tr>
      <w:tr w:rsidR="00A4351D">
        <w:tblPrEx>
          <w:tblCellMar>
            <w:top w:w="0" w:type="dxa"/>
            <w:bottom w:w="0" w:type="dxa"/>
          </w:tblCellMar>
        </w:tblPrEx>
        <w:trPr>
          <w:trHeight w:hRule="exact" w:val="461"/>
          <w:jc w:val="center"/>
        </w:trPr>
        <w:tc>
          <w:tcPr>
            <w:tcW w:w="4373" w:type="dxa"/>
            <w:tcBorders>
              <w:top w:val="single" w:sz="4" w:space="0" w:color="auto"/>
              <w:left w:val="single" w:sz="4" w:space="0" w:color="auto"/>
            </w:tcBorders>
            <w:shd w:val="clear" w:color="auto" w:fill="FFFFFF"/>
          </w:tcPr>
          <w:p w:rsidR="00A4351D" w:rsidRDefault="00094E8C">
            <w:pPr>
              <w:pStyle w:val="a7"/>
              <w:shd w:val="clear" w:color="auto" w:fill="auto"/>
              <w:spacing w:line="240" w:lineRule="auto"/>
            </w:pPr>
            <w:r>
              <w:rPr>
                <w:b/>
                <w:bCs/>
              </w:rPr>
              <w:t>Propylene Glycol</w:t>
            </w:r>
          </w:p>
        </w:tc>
        <w:tc>
          <w:tcPr>
            <w:tcW w:w="4363"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t>1 in 10</w:t>
            </w:r>
          </w:p>
        </w:tc>
      </w:tr>
      <w:tr w:rsidR="00A4351D">
        <w:tblPrEx>
          <w:tblCellMar>
            <w:top w:w="0" w:type="dxa"/>
            <w:bottom w:w="0" w:type="dxa"/>
          </w:tblCellMar>
        </w:tblPrEx>
        <w:trPr>
          <w:trHeight w:hRule="exact" w:val="475"/>
          <w:jc w:val="center"/>
        </w:trPr>
        <w:tc>
          <w:tcPr>
            <w:tcW w:w="4373" w:type="dxa"/>
            <w:tcBorders>
              <w:top w:val="single" w:sz="4" w:space="0" w:color="auto"/>
              <w:left w:val="single" w:sz="4" w:space="0" w:color="auto"/>
              <w:bottom w:val="single" w:sz="4" w:space="0" w:color="auto"/>
            </w:tcBorders>
            <w:shd w:val="clear" w:color="auto" w:fill="FFFFFF"/>
          </w:tcPr>
          <w:p w:rsidR="00A4351D" w:rsidRDefault="00094E8C">
            <w:pPr>
              <w:pStyle w:val="a7"/>
              <w:shd w:val="clear" w:color="auto" w:fill="auto"/>
              <w:spacing w:line="240" w:lineRule="auto"/>
            </w:pPr>
            <w:r>
              <w:rPr>
                <w:b/>
                <w:bCs/>
              </w:rPr>
              <w:t>Glycerol</w:t>
            </w:r>
          </w:p>
        </w:tc>
        <w:tc>
          <w:tcPr>
            <w:tcW w:w="4363" w:type="dxa"/>
            <w:tcBorders>
              <w:top w:val="single" w:sz="4" w:space="0" w:color="auto"/>
              <w:left w:val="single" w:sz="4" w:space="0" w:color="auto"/>
              <w:bottom w:val="single" w:sz="4" w:space="0" w:color="auto"/>
              <w:right w:val="single" w:sz="4" w:space="0" w:color="auto"/>
            </w:tcBorders>
            <w:shd w:val="clear" w:color="auto" w:fill="FFFFFF"/>
          </w:tcPr>
          <w:p w:rsidR="00A4351D" w:rsidRDefault="00094E8C">
            <w:pPr>
              <w:pStyle w:val="a7"/>
              <w:shd w:val="clear" w:color="auto" w:fill="auto"/>
              <w:spacing w:line="240" w:lineRule="auto"/>
            </w:pPr>
            <w:r>
              <w:t>1 in 40</w:t>
            </w:r>
          </w:p>
        </w:tc>
      </w:tr>
    </w:tbl>
    <w:p w:rsidR="00A4351D" w:rsidRDefault="00A4351D">
      <w:pPr>
        <w:spacing w:after="419" w:line="1" w:lineRule="exact"/>
      </w:pPr>
    </w:p>
    <w:p w:rsidR="00A4351D" w:rsidRDefault="00094E8C">
      <w:pPr>
        <w:pStyle w:val="30"/>
        <w:keepNext/>
        <w:keepLines/>
        <w:shd w:val="clear" w:color="auto" w:fill="auto"/>
        <w:spacing w:line="372" w:lineRule="auto"/>
        <w:ind w:firstLine="820"/>
        <w:jc w:val="both"/>
      </w:pPr>
      <w:bookmarkStart w:id="7" w:name="bookmark6"/>
      <w:bookmarkStart w:id="8" w:name="bookmark7"/>
      <w:r>
        <w:t>Ionisation and pH</w:t>
      </w:r>
      <w:bookmarkEnd w:id="7"/>
      <w:bookmarkEnd w:id="8"/>
    </w:p>
    <w:p w:rsidR="00A4351D" w:rsidRDefault="00094E8C">
      <w:pPr>
        <w:pStyle w:val="1"/>
        <w:shd w:val="clear" w:color="auto" w:fill="auto"/>
        <w:spacing w:after="420" w:line="372" w:lineRule="auto"/>
        <w:ind w:left="820" w:firstLine="20"/>
        <w:jc w:val="both"/>
      </w:pPr>
      <w:r>
        <w:t>Paracetamol is a weak acid, its saturated aqueous solution having a pH of 5.3 to 6.5 at 25</w:t>
      </w:r>
      <w:r>
        <w:rPr>
          <w:vertAlign w:val="superscript"/>
        </w:rPr>
        <w:t>0</w:t>
      </w:r>
      <w:r>
        <w:t xml:space="preserve"> C. pKa values for paracetamol have been quoted as 10.15.</w:t>
      </w:r>
    </w:p>
    <w:p w:rsidR="00A4351D" w:rsidRDefault="00094E8C">
      <w:pPr>
        <w:pStyle w:val="1"/>
        <w:numPr>
          <w:ilvl w:val="0"/>
          <w:numId w:val="9"/>
        </w:numPr>
        <w:shd w:val="clear" w:color="auto" w:fill="auto"/>
        <w:ind w:left="820" w:firstLine="20"/>
        <w:jc w:val="both"/>
      </w:pPr>
      <w:r>
        <w:rPr>
          <w:b/>
          <w:bCs/>
          <w:i/>
          <w:iCs/>
        </w:rPr>
        <w:t>P.2.1.1.3. Synthetic Routes</w:t>
      </w:r>
    </w:p>
    <w:p w:rsidR="00A4351D" w:rsidRDefault="00094E8C">
      <w:pPr>
        <w:pStyle w:val="1"/>
        <w:shd w:val="clear" w:color="auto" w:fill="auto"/>
        <w:spacing w:after="420"/>
        <w:ind w:left="820" w:firstLine="20"/>
        <w:jc w:val="both"/>
      </w:pPr>
      <w:r>
        <w:t xml:space="preserve">Paracetamol is synthesized by acetylation of p-aminophenol with acetic </w:t>
      </w:r>
      <w:r>
        <w:t>anhydrite.</w:t>
      </w:r>
    </w:p>
    <w:p w:rsidR="00A4351D" w:rsidRDefault="00094E8C">
      <w:pPr>
        <w:pStyle w:val="1"/>
        <w:numPr>
          <w:ilvl w:val="0"/>
          <w:numId w:val="10"/>
        </w:numPr>
        <w:shd w:val="clear" w:color="auto" w:fill="auto"/>
        <w:ind w:left="820" w:firstLine="20"/>
        <w:jc w:val="both"/>
      </w:pPr>
      <w:r>
        <w:rPr>
          <w:b/>
          <w:bCs/>
          <w:i/>
          <w:iCs/>
        </w:rPr>
        <w:t>P.2.1.1.4. Purification</w:t>
      </w:r>
    </w:p>
    <w:p w:rsidR="00A4351D" w:rsidRDefault="00094E8C">
      <w:pPr>
        <w:pStyle w:val="1"/>
        <w:shd w:val="clear" w:color="auto" w:fill="auto"/>
        <w:spacing w:after="840"/>
        <w:ind w:left="820" w:firstLine="20"/>
        <w:jc w:val="both"/>
      </w:pPr>
      <w:r>
        <w:t>Crude paracetamol is purified by recrystallization from hot water. Coloured impurities are removed during the recrystalyzation by treatment or by extraction of the aqueous p- aminophenol with an organic solvent.</w:t>
      </w:r>
    </w:p>
    <w:p w:rsidR="00A4351D" w:rsidRDefault="00094E8C">
      <w:pPr>
        <w:pStyle w:val="1"/>
        <w:shd w:val="clear" w:color="auto" w:fill="auto"/>
        <w:spacing w:after="140" w:line="240" w:lineRule="auto"/>
        <w:ind w:left="820" w:firstLine="20"/>
        <w:jc w:val="both"/>
      </w:pPr>
      <w:r>
        <w:rPr>
          <w:b/>
          <w:bCs/>
        </w:rPr>
        <w:t xml:space="preserve">Impurity </w:t>
      </w:r>
      <w:r>
        <w:rPr>
          <w:b/>
          <w:bCs/>
        </w:rPr>
        <w:t>Profile</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6"/>
        <w:gridCol w:w="2602"/>
        <w:gridCol w:w="3106"/>
        <w:gridCol w:w="2126"/>
      </w:tblGrid>
      <w:tr w:rsidR="00A4351D">
        <w:tblPrEx>
          <w:tblCellMar>
            <w:top w:w="0" w:type="dxa"/>
            <w:bottom w:w="0" w:type="dxa"/>
          </w:tblCellMar>
        </w:tblPrEx>
        <w:trPr>
          <w:trHeight w:hRule="exact" w:val="542"/>
          <w:jc w:val="center"/>
        </w:trPr>
        <w:tc>
          <w:tcPr>
            <w:tcW w:w="346" w:type="dxa"/>
            <w:tcBorders>
              <w:top w:val="single" w:sz="4" w:space="0" w:color="auto"/>
              <w:left w:val="single" w:sz="4" w:space="0" w:color="auto"/>
            </w:tcBorders>
            <w:shd w:val="clear" w:color="auto" w:fill="FFFFFF"/>
          </w:tcPr>
          <w:p w:rsidR="00A4351D" w:rsidRDefault="00A4351D">
            <w:pPr>
              <w:rPr>
                <w:sz w:val="10"/>
                <w:szCs w:val="10"/>
              </w:rPr>
            </w:pPr>
          </w:p>
        </w:tc>
        <w:tc>
          <w:tcPr>
            <w:tcW w:w="26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Substance</w:t>
            </w:r>
          </w:p>
        </w:tc>
        <w:tc>
          <w:tcPr>
            <w:tcW w:w="310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Origin</w:t>
            </w:r>
          </w:p>
        </w:tc>
        <w:tc>
          <w:tcPr>
            <w:tcW w:w="2126" w:type="dxa"/>
            <w:tcBorders>
              <w:top w:val="single" w:sz="4" w:space="0" w:color="auto"/>
              <w:left w:val="single" w:sz="4" w:space="0" w:color="auto"/>
              <w:right w:val="single" w:sz="4" w:space="0" w:color="auto"/>
            </w:tcBorders>
            <w:shd w:val="clear" w:color="auto" w:fill="FFFFFF"/>
          </w:tcPr>
          <w:p w:rsidR="00A4351D" w:rsidRDefault="00A4351D">
            <w:pPr>
              <w:rPr>
                <w:sz w:val="10"/>
                <w:szCs w:val="10"/>
              </w:rPr>
            </w:pPr>
          </w:p>
        </w:tc>
      </w:tr>
      <w:tr w:rsidR="00A4351D">
        <w:tblPrEx>
          <w:tblCellMar>
            <w:top w:w="0" w:type="dxa"/>
            <w:bottom w:w="0" w:type="dxa"/>
          </w:tblCellMar>
        </w:tblPrEx>
        <w:trPr>
          <w:trHeight w:hRule="exact" w:val="552"/>
          <w:jc w:val="center"/>
        </w:trPr>
        <w:tc>
          <w:tcPr>
            <w:tcW w:w="34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1</w:t>
            </w:r>
          </w:p>
        </w:tc>
        <w:tc>
          <w:tcPr>
            <w:tcW w:w="26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p-Nitrophenol</w:t>
            </w:r>
          </w:p>
        </w:tc>
        <w:tc>
          <w:tcPr>
            <w:tcW w:w="310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Synthetic precursor</w:t>
            </w:r>
          </w:p>
        </w:tc>
        <w:tc>
          <w:tcPr>
            <w:tcW w:w="2126" w:type="dxa"/>
            <w:tcBorders>
              <w:top w:val="single" w:sz="4" w:space="0" w:color="auto"/>
              <w:left w:val="single" w:sz="4" w:space="0" w:color="auto"/>
              <w:right w:val="single" w:sz="4" w:space="0" w:color="auto"/>
            </w:tcBorders>
            <w:shd w:val="clear" w:color="auto" w:fill="FFFFFF"/>
          </w:tcPr>
          <w:p w:rsidR="00A4351D" w:rsidRDefault="00A4351D">
            <w:pPr>
              <w:rPr>
                <w:sz w:val="10"/>
                <w:szCs w:val="10"/>
              </w:rPr>
            </w:pPr>
          </w:p>
        </w:tc>
      </w:tr>
      <w:tr w:rsidR="00A4351D">
        <w:tblPrEx>
          <w:tblCellMar>
            <w:top w:w="0" w:type="dxa"/>
            <w:bottom w:w="0" w:type="dxa"/>
          </w:tblCellMar>
        </w:tblPrEx>
        <w:trPr>
          <w:trHeight w:hRule="exact" w:val="552"/>
          <w:jc w:val="center"/>
        </w:trPr>
        <w:tc>
          <w:tcPr>
            <w:tcW w:w="34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2</w:t>
            </w:r>
          </w:p>
        </w:tc>
        <w:tc>
          <w:tcPr>
            <w:tcW w:w="26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p-Aminophenol</w:t>
            </w:r>
          </w:p>
        </w:tc>
        <w:tc>
          <w:tcPr>
            <w:tcW w:w="310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Synthetic intermediate</w:t>
            </w:r>
          </w:p>
        </w:tc>
        <w:tc>
          <w:tcPr>
            <w:tcW w:w="2126" w:type="dxa"/>
            <w:tcBorders>
              <w:top w:val="single" w:sz="4" w:space="0" w:color="auto"/>
              <w:left w:val="single" w:sz="4" w:space="0" w:color="auto"/>
              <w:right w:val="single" w:sz="4" w:space="0" w:color="auto"/>
            </w:tcBorders>
            <w:shd w:val="clear" w:color="auto" w:fill="FFFFFF"/>
          </w:tcPr>
          <w:p w:rsidR="00A4351D" w:rsidRDefault="00A4351D">
            <w:pPr>
              <w:rPr>
                <w:sz w:val="10"/>
                <w:szCs w:val="10"/>
              </w:rPr>
            </w:pPr>
          </w:p>
        </w:tc>
      </w:tr>
      <w:tr w:rsidR="00A4351D">
        <w:tblPrEx>
          <w:tblCellMar>
            <w:top w:w="0" w:type="dxa"/>
            <w:bottom w:w="0" w:type="dxa"/>
          </w:tblCellMar>
        </w:tblPrEx>
        <w:trPr>
          <w:trHeight w:hRule="exact" w:val="557"/>
          <w:jc w:val="center"/>
        </w:trPr>
        <w:tc>
          <w:tcPr>
            <w:tcW w:w="346" w:type="dxa"/>
            <w:tcBorders>
              <w:top w:val="single" w:sz="4" w:space="0" w:color="auto"/>
              <w:left w:val="single" w:sz="4" w:space="0" w:color="auto"/>
              <w:bottom w:val="single" w:sz="4" w:space="0" w:color="auto"/>
            </w:tcBorders>
            <w:shd w:val="clear" w:color="auto" w:fill="FFFFFF"/>
          </w:tcPr>
          <w:p w:rsidR="00A4351D" w:rsidRDefault="00094E8C">
            <w:pPr>
              <w:pStyle w:val="a7"/>
              <w:shd w:val="clear" w:color="auto" w:fill="auto"/>
              <w:spacing w:line="240" w:lineRule="auto"/>
            </w:pPr>
            <w:r>
              <w:rPr>
                <w:b/>
                <w:bCs/>
              </w:rPr>
              <w:t>3</w:t>
            </w:r>
          </w:p>
        </w:tc>
        <w:tc>
          <w:tcPr>
            <w:tcW w:w="2602" w:type="dxa"/>
            <w:tcBorders>
              <w:top w:val="single" w:sz="4" w:space="0" w:color="auto"/>
              <w:left w:val="single" w:sz="4" w:space="0" w:color="auto"/>
              <w:bottom w:val="single" w:sz="4" w:space="0" w:color="auto"/>
            </w:tcBorders>
            <w:shd w:val="clear" w:color="auto" w:fill="FFFFFF"/>
          </w:tcPr>
          <w:p w:rsidR="00A4351D" w:rsidRDefault="00094E8C">
            <w:pPr>
              <w:pStyle w:val="a7"/>
              <w:shd w:val="clear" w:color="auto" w:fill="auto"/>
              <w:spacing w:line="240" w:lineRule="auto"/>
            </w:pPr>
            <w:r>
              <w:rPr>
                <w:b/>
                <w:bCs/>
              </w:rPr>
              <w:t>p-Chloroacetanilide</w:t>
            </w:r>
          </w:p>
        </w:tc>
        <w:tc>
          <w:tcPr>
            <w:tcW w:w="3106" w:type="dxa"/>
            <w:tcBorders>
              <w:top w:val="single" w:sz="4" w:space="0" w:color="auto"/>
              <w:left w:val="single" w:sz="4" w:space="0" w:color="auto"/>
              <w:bottom w:val="single" w:sz="4" w:space="0" w:color="auto"/>
            </w:tcBorders>
            <w:shd w:val="clear" w:color="auto" w:fill="FFFFFF"/>
          </w:tcPr>
          <w:p w:rsidR="00A4351D" w:rsidRDefault="00094E8C">
            <w:pPr>
              <w:pStyle w:val="a7"/>
              <w:shd w:val="clear" w:color="auto" w:fill="auto"/>
              <w:spacing w:line="240" w:lineRule="auto"/>
            </w:pPr>
            <w:r>
              <w:t>Impurity</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A4351D" w:rsidRDefault="00A4351D">
            <w:pPr>
              <w:rPr>
                <w:sz w:val="10"/>
                <w:szCs w:val="10"/>
              </w:rPr>
            </w:pPr>
          </w:p>
        </w:tc>
      </w:tr>
      <w:tr w:rsidR="00A4351D">
        <w:tblPrEx>
          <w:tblCellMar>
            <w:top w:w="0" w:type="dxa"/>
            <w:bottom w:w="0" w:type="dxa"/>
          </w:tblCellMar>
        </w:tblPrEx>
        <w:trPr>
          <w:trHeight w:hRule="exact" w:val="864"/>
          <w:jc w:val="center"/>
        </w:trPr>
        <w:tc>
          <w:tcPr>
            <w:tcW w:w="346" w:type="dxa"/>
            <w:tcBorders>
              <w:top w:val="single" w:sz="4" w:space="0" w:color="auto"/>
              <w:left w:val="single" w:sz="4" w:space="0" w:color="auto"/>
            </w:tcBorders>
            <w:shd w:val="clear" w:color="auto" w:fill="FFFFFF"/>
          </w:tcPr>
          <w:p w:rsidR="00A4351D" w:rsidRDefault="00094E8C">
            <w:pPr>
              <w:pStyle w:val="a7"/>
              <w:shd w:val="clear" w:color="auto" w:fill="auto"/>
              <w:spacing w:line="240" w:lineRule="auto"/>
            </w:pPr>
            <w:r>
              <w:rPr>
                <w:b/>
                <w:bCs/>
                <w:lang w:val="de-DE" w:eastAsia="de-DE" w:bidi="de-DE"/>
              </w:rPr>
              <w:lastRenderedPageBreak/>
              <w:t>4</w:t>
            </w:r>
          </w:p>
        </w:tc>
        <w:tc>
          <w:tcPr>
            <w:tcW w:w="260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after="120" w:line="240" w:lineRule="auto"/>
            </w:pPr>
            <w:r>
              <w:rPr>
                <w:b/>
                <w:bCs/>
                <w:lang w:val="de-DE" w:eastAsia="de-DE" w:bidi="de-DE"/>
              </w:rPr>
              <w:t>O-Acetyl paracetamol</w:t>
            </w:r>
          </w:p>
          <w:p w:rsidR="00A4351D" w:rsidRDefault="00094E8C">
            <w:pPr>
              <w:pStyle w:val="a7"/>
              <w:shd w:val="clear" w:color="auto" w:fill="auto"/>
              <w:spacing w:line="240" w:lineRule="auto"/>
            </w:pPr>
            <w:r>
              <w:rPr>
                <w:b/>
                <w:bCs/>
                <w:lang w:val="de-DE" w:eastAsia="de-DE" w:bidi="de-DE"/>
              </w:rPr>
              <w:t>(DAPAP)</w:t>
            </w:r>
          </w:p>
        </w:tc>
        <w:tc>
          <w:tcPr>
            <w:tcW w:w="310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372" w:lineRule="auto"/>
            </w:pPr>
            <w:r>
              <w:t>Impurity from over acetylation of paracetamol</w:t>
            </w:r>
          </w:p>
        </w:tc>
        <w:tc>
          <w:tcPr>
            <w:tcW w:w="2126" w:type="dxa"/>
            <w:tcBorders>
              <w:top w:val="single" w:sz="4" w:space="0" w:color="auto"/>
              <w:left w:val="single" w:sz="4" w:space="0" w:color="auto"/>
              <w:right w:val="single" w:sz="4" w:space="0" w:color="auto"/>
            </w:tcBorders>
            <w:shd w:val="clear" w:color="auto" w:fill="FFFFFF"/>
          </w:tcPr>
          <w:p w:rsidR="00A4351D" w:rsidRDefault="00A4351D">
            <w:pPr>
              <w:rPr>
                <w:sz w:val="10"/>
                <w:szCs w:val="10"/>
              </w:rPr>
            </w:pPr>
          </w:p>
        </w:tc>
      </w:tr>
      <w:tr w:rsidR="00A4351D">
        <w:tblPrEx>
          <w:tblCellMar>
            <w:top w:w="0" w:type="dxa"/>
            <w:bottom w:w="0" w:type="dxa"/>
          </w:tblCellMar>
        </w:tblPrEx>
        <w:trPr>
          <w:trHeight w:hRule="exact" w:val="1296"/>
          <w:jc w:val="center"/>
        </w:trPr>
        <w:tc>
          <w:tcPr>
            <w:tcW w:w="346" w:type="dxa"/>
            <w:tcBorders>
              <w:top w:val="single" w:sz="4" w:space="0" w:color="auto"/>
              <w:left w:val="single" w:sz="4" w:space="0" w:color="auto"/>
              <w:bottom w:val="single" w:sz="4" w:space="0" w:color="auto"/>
            </w:tcBorders>
            <w:shd w:val="clear" w:color="auto" w:fill="FFFFFF"/>
          </w:tcPr>
          <w:p w:rsidR="00A4351D" w:rsidRDefault="00094E8C">
            <w:pPr>
              <w:pStyle w:val="a7"/>
              <w:shd w:val="clear" w:color="auto" w:fill="auto"/>
              <w:spacing w:line="240" w:lineRule="auto"/>
            </w:pPr>
            <w:r>
              <w:rPr>
                <w:b/>
                <w:bCs/>
                <w:lang w:val="de-DE" w:eastAsia="de-DE" w:bidi="de-DE"/>
              </w:rPr>
              <w:t>5</w:t>
            </w:r>
          </w:p>
        </w:tc>
        <w:tc>
          <w:tcPr>
            <w:tcW w:w="2602"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after="140" w:line="240" w:lineRule="auto"/>
            </w:pPr>
            <w:r>
              <w:rPr>
                <w:b/>
                <w:bCs/>
                <w:lang w:val="de-DE" w:eastAsia="de-DE" w:bidi="de-DE"/>
              </w:rPr>
              <w:t>Quinone Quinomine</w:t>
            </w:r>
          </w:p>
          <w:p w:rsidR="00A4351D" w:rsidRDefault="00094E8C">
            <w:pPr>
              <w:pStyle w:val="a7"/>
              <w:shd w:val="clear" w:color="auto" w:fill="auto"/>
              <w:spacing w:line="240" w:lineRule="auto"/>
            </w:pPr>
            <w:r>
              <w:rPr>
                <w:b/>
                <w:bCs/>
                <w:lang w:val="de-DE" w:eastAsia="de-DE" w:bidi="de-DE"/>
              </w:rPr>
              <w:t>meri-Quinon-imine</w:t>
            </w:r>
          </w:p>
        </w:tc>
        <w:tc>
          <w:tcPr>
            <w:tcW w:w="3106"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t>Oxidation of p-Aminophenol</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A4351D" w:rsidRDefault="00094E8C">
            <w:pPr>
              <w:pStyle w:val="a7"/>
              <w:shd w:val="clear" w:color="auto" w:fill="auto"/>
              <w:jc w:val="both"/>
            </w:pPr>
            <w:r>
              <w:t>Give a bluish or greyish color to paracetamol</w:t>
            </w:r>
          </w:p>
        </w:tc>
      </w:tr>
    </w:tbl>
    <w:p w:rsidR="00A4351D" w:rsidRDefault="00094E8C">
      <w:pPr>
        <w:pStyle w:val="a5"/>
        <w:shd w:val="clear" w:color="auto" w:fill="auto"/>
        <w:spacing w:line="360" w:lineRule="auto"/>
      </w:pPr>
      <w:r>
        <w:t xml:space="preserve">Impurities 1, 2, 3 are controlled in raw material according to current Eur. Ph. for Paracetamol (p.2667) which sets limits only for the above mentioned impurities and for the total </w:t>
      </w:r>
      <w:r>
        <w:t>impurities as well.</w:t>
      </w:r>
    </w:p>
    <w:p w:rsidR="00A4351D" w:rsidRDefault="00094E8C">
      <w:pPr>
        <w:pStyle w:val="1"/>
        <w:shd w:val="clear" w:color="auto" w:fill="auto"/>
        <w:spacing w:after="420" w:line="372" w:lineRule="auto"/>
        <w:ind w:left="820" w:firstLine="20"/>
        <w:jc w:val="both"/>
      </w:pPr>
      <w:r>
        <w:t>Current Eur. Ph. for Paracetamol does not set any limit for DAPAD and Quinone in specific; the reported limit is set for “any other impurities”.</w:t>
      </w:r>
    </w:p>
    <w:p w:rsidR="00A4351D" w:rsidRDefault="00094E8C">
      <w:pPr>
        <w:pStyle w:val="1"/>
        <w:numPr>
          <w:ilvl w:val="0"/>
          <w:numId w:val="11"/>
        </w:numPr>
        <w:shd w:val="clear" w:color="auto" w:fill="auto"/>
        <w:ind w:left="820" w:firstLine="20"/>
        <w:jc w:val="both"/>
      </w:pPr>
      <w:r>
        <w:rPr>
          <w:b/>
          <w:bCs/>
          <w:i/>
          <w:iCs/>
        </w:rPr>
        <w:t>P.2.1.1.5. Stability</w:t>
      </w:r>
    </w:p>
    <w:p w:rsidR="00A4351D" w:rsidRDefault="00094E8C">
      <w:pPr>
        <w:pStyle w:val="1"/>
        <w:shd w:val="clear" w:color="auto" w:fill="auto"/>
        <w:ind w:left="820" w:firstLine="20"/>
        <w:jc w:val="both"/>
      </w:pPr>
      <w:r>
        <w:rPr>
          <w:b/>
          <w:bCs/>
        </w:rPr>
        <w:t>Stability to Light (Photostability)</w:t>
      </w:r>
    </w:p>
    <w:p w:rsidR="00A4351D" w:rsidRDefault="00094E8C">
      <w:pPr>
        <w:pStyle w:val="1"/>
        <w:shd w:val="clear" w:color="auto" w:fill="auto"/>
        <w:ind w:left="820" w:firstLine="20"/>
        <w:jc w:val="both"/>
      </w:pPr>
      <w:r>
        <w:t xml:space="preserve">Paracetamol is slightly sensitive </w:t>
      </w:r>
      <w:r>
        <w:t>to light when in the form of a solution and may degrade by a mechanism involving pre-dissociation of the N-C bond.</w:t>
      </w:r>
    </w:p>
    <w:p w:rsidR="00A4351D" w:rsidRDefault="00094E8C">
      <w:pPr>
        <w:pStyle w:val="1"/>
        <w:shd w:val="clear" w:color="auto" w:fill="auto"/>
        <w:ind w:left="820" w:firstLine="20"/>
        <w:jc w:val="both"/>
      </w:pPr>
      <w:r>
        <w:t>Nevertheless, it was anticipated that by using type I amber glass ampoules as primary packaging material for the product, it would be protect</w:t>
      </w:r>
      <w:r>
        <w:t>ed from degradation due to light exposure.</w:t>
      </w:r>
    </w:p>
    <w:p w:rsidR="00A4351D" w:rsidRDefault="00094E8C">
      <w:pPr>
        <w:pStyle w:val="1"/>
        <w:shd w:val="clear" w:color="auto" w:fill="auto"/>
        <w:ind w:left="820" w:firstLine="20"/>
        <w:jc w:val="both"/>
      </w:pPr>
      <w:r>
        <w:t xml:space="preserve">This hypothesis was validated by means of a photostability test carried out according to specifications described in the Note for Guidance on the Photostability Testing of New Active Substances and Medicinal </w:t>
      </w:r>
      <w:r>
        <w:t>Products (CPMP/ ICH/ 279/95), which demonstrated that no degradation of paracetamol occurred as no impurities could be detected.</w:t>
      </w:r>
    </w:p>
    <w:p w:rsidR="00A4351D" w:rsidRDefault="00094E8C">
      <w:pPr>
        <w:pStyle w:val="1"/>
        <w:shd w:val="clear" w:color="auto" w:fill="auto"/>
        <w:spacing w:after="420"/>
        <w:ind w:left="820" w:firstLine="20"/>
        <w:jc w:val="both"/>
      </w:pPr>
      <w:r>
        <w:t>Therefore, it was deemed unnecessary to carry out any further testing, as per step 2 of the Decision Flowchart for Photostabili</w:t>
      </w:r>
      <w:r>
        <w:t>ty Testing of Medicinal Products of the above</w:t>
      </w:r>
      <w:r>
        <w:softHyphen/>
        <w:t>mentioned Note for Guidance.</w:t>
      </w:r>
    </w:p>
    <w:p w:rsidR="00A4351D" w:rsidRDefault="00094E8C">
      <w:pPr>
        <w:pStyle w:val="30"/>
        <w:keepNext/>
        <w:keepLines/>
        <w:shd w:val="clear" w:color="auto" w:fill="auto"/>
        <w:ind w:left="820" w:firstLine="20"/>
        <w:jc w:val="both"/>
      </w:pPr>
      <w:bookmarkStart w:id="9" w:name="bookmark8"/>
      <w:bookmarkStart w:id="10" w:name="bookmark9"/>
      <w:r>
        <w:t>Stability of solid paracetamol to Heat</w:t>
      </w:r>
      <w:bookmarkEnd w:id="9"/>
      <w:bookmarkEnd w:id="10"/>
    </w:p>
    <w:p w:rsidR="00A4351D" w:rsidRDefault="00094E8C">
      <w:pPr>
        <w:pStyle w:val="1"/>
        <w:shd w:val="clear" w:color="auto" w:fill="auto"/>
        <w:spacing w:after="420"/>
        <w:ind w:left="820" w:firstLine="20"/>
        <w:jc w:val="both"/>
      </w:pPr>
      <w:r>
        <w:t xml:space="preserve">Dry, pure, paracetamol is very stable at temperatures up to at least 45 </w:t>
      </w:r>
      <w:r>
        <w:rPr>
          <w:vertAlign w:val="superscript"/>
        </w:rPr>
        <w:t>0</w:t>
      </w:r>
      <w:r>
        <w:t>C. Should it however, be contaminated with traces of p-Aminophenol or</w:t>
      </w:r>
      <w:r>
        <w:t xml:space="preserve"> be exposed to humid conditions such that hydrolysis to p-Aminophenol takes place, then further oxidative degradation of p-Aminophenol occurs characterised by a gradual color change through pink to brown and eventually to dark brown. This involves the brea</w:t>
      </w:r>
      <w:r>
        <w:t>kdown of the p- Aminophenol to quinomimine and related compounds.</w:t>
      </w:r>
    </w:p>
    <w:p w:rsidR="00A4351D" w:rsidRDefault="00094E8C">
      <w:pPr>
        <w:pStyle w:val="30"/>
        <w:keepNext/>
        <w:keepLines/>
        <w:shd w:val="clear" w:color="auto" w:fill="auto"/>
        <w:ind w:firstLine="840"/>
        <w:jc w:val="both"/>
      </w:pPr>
      <w:bookmarkStart w:id="11" w:name="bookmark10"/>
      <w:bookmarkStart w:id="12" w:name="bookmark11"/>
      <w:r>
        <w:lastRenderedPageBreak/>
        <w:t>Stability of paracetamol Solutions</w:t>
      </w:r>
      <w:bookmarkEnd w:id="11"/>
      <w:bookmarkEnd w:id="12"/>
    </w:p>
    <w:p w:rsidR="00A4351D" w:rsidRDefault="00094E8C">
      <w:pPr>
        <w:pStyle w:val="1"/>
        <w:shd w:val="clear" w:color="auto" w:fill="auto"/>
        <w:spacing w:after="420"/>
        <w:ind w:left="840"/>
        <w:jc w:val="both"/>
      </w:pPr>
      <w:r>
        <w:t>The degradation of paracetamol in aqueous solutions appears to be both an acid catalysed and a base catalysed reaction. It is first order with respect to t</w:t>
      </w:r>
      <w:r>
        <w:t>he concentration of paracetamol and first order with respect to the hydrogen and hydroxyl ion concentration (Koshy K.T. and Lanh J.L., J. Pharm.Sci. 50, 113-118 - 1961).</w:t>
      </w:r>
    </w:p>
    <w:p w:rsidR="00A4351D" w:rsidRDefault="00094E8C">
      <w:pPr>
        <w:pStyle w:val="30"/>
        <w:keepNext/>
        <w:keepLines/>
        <w:shd w:val="clear" w:color="auto" w:fill="auto"/>
        <w:ind w:firstLine="840"/>
        <w:jc w:val="both"/>
      </w:pPr>
      <w:bookmarkStart w:id="13" w:name="bookmark12"/>
      <w:bookmarkStart w:id="14" w:name="bookmark13"/>
      <w:r>
        <w:t>Stability to Oxidation</w:t>
      </w:r>
      <w:bookmarkEnd w:id="13"/>
      <w:bookmarkEnd w:id="14"/>
    </w:p>
    <w:p w:rsidR="00A4351D" w:rsidRDefault="00094E8C">
      <w:pPr>
        <w:pStyle w:val="1"/>
        <w:shd w:val="clear" w:color="auto" w:fill="auto"/>
        <w:spacing w:after="220"/>
        <w:ind w:left="840"/>
        <w:sectPr w:rsidR="00A4351D">
          <w:pgSz w:w="11900" w:h="16840"/>
          <w:pgMar w:top="1954" w:right="840" w:bottom="1656" w:left="840" w:header="0" w:footer="3" w:gutter="0"/>
          <w:cols w:space="720"/>
          <w:noEndnote/>
          <w:docGrid w:linePitch="360"/>
        </w:sectPr>
      </w:pPr>
      <w:r>
        <w:t>Paracetamol is relatively stable to aerial</w:t>
      </w:r>
      <w:r>
        <w:t xml:space="preserve"> oxidation unlike its hydrolysis product p- Aminophenol. Paracetamol has been used as an antioxidant for carotene in mineral oil solution.</w:t>
      </w:r>
    </w:p>
    <w:p w:rsidR="00A4351D" w:rsidRDefault="00094E8C">
      <w:pPr>
        <w:pStyle w:val="1"/>
        <w:numPr>
          <w:ilvl w:val="0"/>
          <w:numId w:val="12"/>
        </w:numPr>
        <w:shd w:val="clear" w:color="auto" w:fill="auto"/>
        <w:spacing w:line="372" w:lineRule="auto"/>
        <w:ind w:firstLine="840"/>
        <w:jc w:val="both"/>
      </w:pPr>
      <w:r>
        <w:rPr>
          <w:b/>
          <w:bCs/>
          <w:i/>
          <w:iCs/>
          <w:lang w:val="fr-FR" w:eastAsia="fr-FR" w:bidi="fr-FR"/>
        </w:rPr>
        <w:lastRenderedPageBreak/>
        <w:t>P.2.1.2. Excipients</w:t>
      </w:r>
    </w:p>
    <w:p w:rsidR="00A4351D" w:rsidRDefault="00094E8C">
      <w:pPr>
        <w:pStyle w:val="1"/>
        <w:shd w:val="clear" w:color="auto" w:fill="auto"/>
        <w:spacing w:line="372" w:lineRule="auto"/>
        <w:ind w:left="840"/>
        <w:jc w:val="both"/>
      </w:pPr>
      <w:r>
        <w:rPr>
          <w:lang w:val="fr-FR" w:eastAsia="fr-FR" w:bidi="fr-FR"/>
        </w:rPr>
        <w:t xml:space="preserve">To the development of this formulation specific excipients have been used which have been chosen </w:t>
      </w:r>
      <w:r>
        <w:rPr>
          <w:lang w:val="fr-FR" w:eastAsia="fr-FR" w:bidi="fr-FR"/>
        </w:rPr>
        <w:t>concerning factors as the ones that follow:</w:t>
      </w:r>
    </w:p>
    <w:p w:rsidR="00A4351D" w:rsidRDefault="00094E8C">
      <w:pPr>
        <w:pStyle w:val="1"/>
        <w:numPr>
          <w:ilvl w:val="0"/>
          <w:numId w:val="13"/>
        </w:numPr>
        <w:shd w:val="clear" w:color="auto" w:fill="auto"/>
        <w:tabs>
          <w:tab w:val="left" w:pos="2276"/>
        </w:tabs>
        <w:spacing w:line="343" w:lineRule="auto"/>
        <w:ind w:left="1920"/>
        <w:jc w:val="both"/>
      </w:pPr>
      <w:r>
        <w:t xml:space="preserve">Compatibility with the </w:t>
      </w:r>
      <w:r>
        <w:rPr>
          <w:lang w:val="fr-FR" w:eastAsia="fr-FR" w:bidi="fr-FR"/>
        </w:rPr>
        <w:t>active substance</w:t>
      </w:r>
    </w:p>
    <w:p w:rsidR="00A4351D" w:rsidRDefault="00094E8C">
      <w:pPr>
        <w:pStyle w:val="1"/>
        <w:numPr>
          <w:ilvl w:val="0"/>
          <w:numId w:val="13"/>
        </w:numPr>
        <w:shd w:val="clear" w:color="auto" w:fill="auto"/>
        <w:tabs>
          <w:tab w:val="left" w:pos="2276"/>
        </w:tabs>
        <w:ind w:left="2280" w:hanging="360"/>
        <w:jc w:val="both"/>
      </w:pPr>
      <w:r>
        <w:t>Adjustment to the conditions and the manufacturing procedure of the specific pharmaceutical form</w:t>
      </w:r>
    </w:p>
    <w:p w:rsidR="00A4351D" w:rsidRDefault="00094E8C">
      <w:pPr>
        <w:pStyle w:val="1"/>
        <w:numPr>
          <w:ilvl w:val="0"/>
          <w:numId w:val="13"/>
        </w:numPr>
        <w:shd w:val="clear" w:color="auto" w:fill="auto"/>
        <w:tabs>
          <w:tab w:val="left" w:pos="2276"/>
        </w:tabs>
        <w:spacing w:line="343" w:lineRule="auto"/>
        <w:ind w:left="1920"/>
        <w:jc w:val="both"/>
      </w:pPr>
      <w:r>
        <w:t>Chemical Inertia</w:t>
      </w:r>
    </w:p>
    <w:p w:rsidR="00A4351D" w:rsidRDefault="00094E8C">
      <w:pPr>
        <w:pStyle w:val="1"/>
        <w:numPr>
          <w:ilvl w:val="0"/>
          <w:numId w:val="13"/>
        </w:numPr>
        <w:shd w:val="clear" w:color="auto" w:fill="auto"/>
        <w:tabs>
          <w:tab w:val="left" w:pos="2276"/>
        </w:tabs>
        <w:spacing w:after="420" w:line="353" w:lineRule="auto"/>
        <w:ind w:left="2280" w:hanging="360"/>
        <w:jc w:val="both"/>
      </w:pPr>
      <w:r>
        <w:t xml:space="preserve">Special characteristics concerning each excipient, which </w:t>
      </w:r>
      <w:r>
        <w:t>contribute to the final product properties</w:t>
      </w:r>
    </w:p>
    <w:p w:rsidR="00A4351D" w:rsidRDefault="00094E8C">
      <w:pPr>
        <w:pStyle w:val="1"/>
        <w:shd w:val="clear" w:color="auto" w:fill="auto"/>
        <w:spacing w:after="560" w:line="240" w:lineRule="auto"/>
        <w:ind w:firstLine="840"/>
        <w:jc w:val="both"/>
      </w:pPr>
      <w:r>
        <w:t>These are summarized as follows:</w:t>
      </w:r>
    </w:p>
    <w:p w:rsidR="00A4351D" w:rsidRDefault="00094E8C">
      <w:pPr>
        <w:pStyle w:val="30"/>
        <w:keepNext/>
        <w:keepLines/>
        <w:shd w:val="clear" w:color="auto" w:fill="auto"/>
        <w:ind w:firstLine="840"/>
        <w:jc w:val="both"/>
      </w:pPr>
      <w:bookmarkStart w:id="15" w:name="bookmark14"/>
      <w:bookmarkStart w:id="16" w:name="bookmark15"/>
      <w:r>
        <w:t>Excipients described in a Pharmacopoeia:</w:t>
      </w:r>
      <w:bookmarkEnd w:id="15"/>
      <w:bookmarkEnd w:id="16"/>
    </w:p>
    <w:p w:rsidR="00A4351D" w:rsidRDefault="00094E8C">
      <w:pPr>
        <w:pStyle w:val="1"/>
        <w:shd w:val="clear" w:color="auto" w:fill="auto"/>
        <w:spacing w:after="420"/>
        <w:ind w:left="840"/>
        <w:jc w:val="both"/>
      </w:pPr>
      <w:r>
        <w:rPr>
          <w:b/>
          <w:bCs/>
        </w:rPr>
        <w:t xml:space="preserve">Disodium edetate (D-EDTA): </w:t>
      </w:r>
      <w:r>
        <w:t>A chelating agent which is added as a sequestering scavenger of metal impurities that might derive from any of t</w:t>
      </w:r>
      <w:r>
        <w:t>he constituents of the formula.</w:t>
      </w:r>
    </w:p>
    <w:p w:rsidR="00A4351D" w:rsidRDefault="00094E8C">
      <w:pPr>
        <w:pStyle w:val="1"/>
        <w:shd w:val="clear" w:color="auto" w:fill="auto"/>
        <w:spacing w:after="420"/>
        <w:ind w:left="840"/>
        <w:jc w:val="both"/>
      </w:pPr>
      <w:r>
        <w:rPr>
          <w:b/>
          <w:bCs/>
        </w:rPr>
        <w:t xml:space="preserve">Sodium Metabisulfite </w:t>
      </w:r>
      <w:r>
        <w:t>is added as an antioxidant at concentrations of 0.01-1.0% w/v (</w:t>
      </w:r>
      <w:r>
        <w:rPr>
          <w:i/>
          <w:iCs/>
        </w:rPr>
        <w:t>Handbook of Pharmaceutical Excipients, Fifth Edition, 690-692</w:t>
      </w:r>
      <w:r>
        <w:t>). The sodium metabisulfite concentration decreases over time and with exposure</w:t>
      </w:r>
      <w:r>
        <w:t xml:space="preserve"> to temperature. This decrease is anticipated, as sodium metabisulfite is consumed by being engaged in oxidative chemical reactions, thus protecting the active pharmaceutical ingredient from oxidation. The pH is also anticipated to decrease over time and w</w:t>
      </w:r>
      <w:r>
        <w:t>ith exposure to temperature as a result of the sodium metabisulfite reactivity. Appearance of the product remains unchanged.</w:t>
      </w:r>
    </w:p>
    <w:p w:rsidR="00A4351D" w:rsidRDefault="00094E8C">
      <w:pPr>
        <w:pStyle w:val="1"/>
        <w:shd w:val="clear" w:color="auto" w:fill="auto"/>
        <w:spacing w:after="420"/>
        <w:ind w:left="840"/>
        <w:jc w:val="both"/>
      </w:pPr>
      <w:r>
        <w:rPr>
          <w:b/>
          <w:bCs/>
        </w:rPr>
        <w:t>Ethanol (10% V/V)</w:t>
      </w:r>
      <w:r>
        <w:t>, in which the paracetamol is soluble, is one of the solvents.</w:t>
      </w:r>
    </w:p>
    <w:p w:rsidR="00A4351D" w:rsidRDefault="00094E8C">
      <w:pPr>
        <w:pStyle w:val="1"/>
        <w:shd w:val="clear" w:color="auto" w:fill="auto"/>
        <w:spacing w:after="420"/>
        <w:ind w:left="840"/>
        <w:jc w:val="both"/>
      </w:pPr>
      <w:r>
        <w:rPr>
          <w:b/>
          <w:bCs/>
        </w:rPr>
        <w:t xml:space="preserve">Disodium phosphate dodecahydrate </w:t>
      </w:r>
      <w:r>
        <w:t>is used for the ad</w:t>
      </w:r>
      <w:r>
        <w:t>justment of the pH of the formulation.</w:t>
      </w:r>
    </w:p>
    <w:p w:rsidR="00A4351D" w:rsidRDefault="00094E8C">
      <w:pPr>
        <w:pStyle w:val="1"/>
        <w:shd w:val="clear" w:color="auto" w:fill="auto"/>
        <w:spacing w:after="420"/>
        <w:ind w:left="820" w:firstLine="20"/>
        <w:jc w:val="both"/>
      </w:pPr>
      <w:r>
        <w:rPr>
          <w:b/>
          <w:bCs/>
        </w:rPr>
        <w:t xml:space="preserve">Nitrogen </w:t>
      </w:r>
      <w:r>
        <w:t>used for inerting the finished medicinal product which is particularly sensitive to degradation by oxygen (current Ph. Eur.).</w:t>
      </w:r>
    </w:p>
    <w:p w:rsidR="00A4351D" w:rsidRDefault="00094E8C">
      <w:pPr>
        <w:pStyle w:val="1"/>
        <w:shd w:val="clear" w:color="auto" w:fill="auto"/>
        <w:spacing w:after="420" w:line="372" w:lineRule="auto"/>
        <w:ind w:left="820" w:firstLine="20"/>
        <w:jc w:val="both"/>
      </w:pPr>
      <w:r>
        <w:rPr>
          <w:b/>
          <w:bCs/>
        </w:rPr>
        <w:lastRenderedPageBreak/>
        <w:t>Water for Injection (30% V/V)</w:t>
      </w:r>
      <w:r>
        <w:t>, in which the excipients Disodium edetate and Sodium</w:t>
      </w:r>
      <w:r>
        <w:t xml:space="preserve"> metabisulfite are soluble.</w:t>
      </w:r>
    </w:p>
    <w:p w:rsidR="00A4351D" w:rsidRDefault="00094E8C">
      <w:pPr>
        <w:pStyle w:val="1"/>
        <w:shd w:val="clear" w:color="auto" w:fill="auto"/>
        <w:ind w:left="820" w:firstLine="20"/>
        <w:jc w:val="both"/>
      </w:pPr>
      <w:r>
        <w:rPr>
          <w:b/>
          <w:bCs/>
        </w:rPr>
        <w:t>Glycerol formal</w:t>
      </w:r>
      <w:r>
        <w:t>, is used in the manufacture of the paracetamol solution for injection described hereto and is a well-known excipient. Glycerol formal is considered as a substance of low toxicity and rapidly excreted via the kidn</w:t>
      </w:r>
      <w:r>
        <w:t xml:space="preserve">eys, therefore there is no need to establish an MRL level (EMEA/MRL/108/96-FINAL). Full non-clinical assessment, featuring a toxicological protocol for animal testing, of a Finished Dosage Formulation containing Glycerol Formal may be found in Module 4 of </w:t>
      </w:r>
      <w:r>
        <w:t xml:space="preserve">the Product APOTEL PLUS </w:t>
      </w:r>
      <w:r>
        <w:rPr>
          <w:vertAlign w:val="superscript"/>
        </w:rPr>
        <w:t xml:space="preserve">® </w:t>
      </w:r>
      <w:r>
        <w:t>INJ. SOL. (600+20)mg/4ml AMP. which is marketed in Greece since 2002.</w:t>
      </w:r>
    </w:p>
    <w:p w:rsidR="00A4351D" w:rsidRDefault="00094E8C">
      <w:pPr>
        <w:pStyle w:val="1"/>
        <w:shd w:val="clear" w:color="auto" w:fill="auto"/>
        <w:ind w:firstLine="820"/>
        <w:jc w:val="both"/>
      </w:pPr>
      <w:r>
        <w:t>Please refer to Section 3.3.</w:t>
      </w:r>
    </w:p>
    <w:p w:rsidR="00A4351D" w:rsidRDefault="00094E8C">
      <w:pPr>
        <w:pStyle w:val="1"/>
        <w:shd w:val="clear" w:color="auto" w:fill="auto"/>
        <w:ind w:left="820" w:firstLine="20"/>
        <w:jc w:val="both"/>
      </w:pPr>
      <w:r>
        <w:t>Each batch may contain residual amounts of formaldehyde &lt;200 ppm, from the manufacturing process.</w:t>
      </w:r>
    </w:p>
    <w:p w:rsidR="00A4351D" w:rsidRDefault="00094E8C">
      <w:pPr>
        <w:pStyle w:val="1"/>
        <w:shd w:val="clear" w:color="auto" w:fill="auto"/>
        <w:ind w:left="820" w:firstLine="20"/>
        <w:jc w:val="both"/>
      </w:pPr>
      <w:r>
        <w:t xml:space="preserve">Glycerol formal (60% V/V) was </w:t>
      </w:r>
      <w:r>
        <w:t>chosen for its solubilizing properties as a solvent for a wide variety of organic chemical substances and its ability to mix with water and ethanol.</w:t>
      </w:r>
    </w:p>
    <w:p w:rsidR="00A4351D" w:rsidRDefault="00094E8C">
      <w:pPr>
        <w:pStyle w:val="1"/>
        <w:shd w:val="clear" w:color="auto" w:fill="auto"/>
        <w:ind w:left="820" w:firstLine="20"/>
        <w:jc w:val="both"/>
      </w:pPr>
      <w:r>
        <w:t>The latter solvent was also chosen for its low toxicity and physical and chemical properties perfectly suit</w:t>
      </w:r>
      <w:r>
        <w:t>ed to the preparation of solutions destined for parenteral administration.</w:t>
      </w:r>
    </w:p>
    <w:p w:rsidR="00A4351D" w:rsidRDefault="00094E8C">
      <w:pPr>
        <w:pStyle w:val="1"/>
        <w:shd w:val="clear" w:color="auto" w:fill="auto"/>
        <w:spacing w:after="840"/>
        <w:ind w:left="820" w:firstLine="20"/>
        <w:jc w:val="both"/>
      </w:pPr>
      <w:r>
        <w:t xml:space="preserve">Another reason for this choice is that this clear and colorless liquid with a low viscosity index, in addition to being capable of mixing with water and ethanol, is also chemically </w:t>
      </w:r>
      <w:r>
        <w:t>remarkably stable.</w:t>
      </w:r>
    </w:p>
    <w:p w:rsidR="00A4351D" w:rsidRDefault="00094E8C">
      <w:pPr>
        <w:pStyle w:val="1"/>
        <w:shd w:val="clear" w:color="auto" w:fill="auto"/>
        <w:ind w:left="820" w:firstLine="20"/>
        <w:jc w:val="both"/>
      </w:pPr>
      <w:r>
        <w:t>All of the above excipients are described in Eur. Phar. monographs and they are of the appropriate compendial quality.</w:t>
      </w:r>
    </w:p>
    <w:p w:rsidR="00A4351D" w:rsidRDefault="00094E8C">
      <w:pPr>
        <w:pStyle w:val="1"/>
        <w:shd w:val="clear" w:color="auto" w:fill="auto"/>
        <w:spacing w:after="420"/>
        <w:ind w:left="840"/>
        <w:jc w:val="both"/>
      </w:pPr>
      <w:r>
        <w:t>The excipients are tested for microbial bioburden in compliance with the Ph. Eur. method.</w:t>
      </w:r>
    </w:p>
    <w:p w:rsidR="00A4351D" w:rsidRDefault="00094E8C">
      <w:pPr>
        <w:pStyle w:val="1"/>
        <w:shd w:val="clear" w:color="auto" w:fill="auto"/>
        <w:spacing w:line="372" w:lineRule="auto"/>
        <w:ind w:left="840"/>
        <w:jc w:val="both"/>
        <w:sectPr w:rsidR="00A4351D">
          <w:pgSz w:w="11900" w:h="16840"/>
          <w:pgMar w:top="1954" w:right="840" w:bottom="2040" w:left="840" w:header="0" w:footer="3" w:gutter="0"/>
          <w:cols w:space="720"/>
          <w:noEndnote/>
          <w:docGrid w:linePitch="360"/>
        </w:sectPr>
      </w:pPr>
      <w:r>
        <w:t xml:space="preserve">All of </w:t>
      </w:r>
      <w:r>
        <w:t>the used excipients are common and inert, they lack toxicity and are well known in the art, since they are widely used in pharmaceutical preparations.</w:t>
      </w:r>
    </w:p>
    <w:p w:rsidR="00A4351D" w:rsidRDefault="00094E8C">
      <w:pPr>
        <w:pStyle w:val="1"/>
        <w:numPr>
          <w:ilvl w:val="0"/>
          <w:numId w:val="14"/>
        </w:numPr>
        <w:shd w:val="clear" w:color="auto" w:fill="auto"/>
        <w:spacing w:before="420" w:line="372" w:lineRule="auto"/>
        <w:ind w:left="840"/>
        <w:jc w:val="both"/>
      </w:pPr>
      <w:r>
        <w:rPr>
          <w:b/>
          <w:bCs/>
          <w:i/>
          <w:iCs/>
          <w:lang w:val="fr-FR" w:eastAsia="fr-FR" w:bidi="fr-FR"/>
        </w:rPr>
        <w:lastRenderedPageBreak/>
        <w:t>P.2.2. Drug Product</w:t>
      </w:r>
    </w:p>
    <w:p w:rsidR="00A4351D" w:rsidRDefault="00094E8C">
      <w:pPr>
        <w:pStyle w:val="1"/>
        <w:shd w:val="clear" w:color="auto" w:fill="auto"/>
        <w:spacing w:line="372" w:lineRule="auto"/>
        <w:ind w:left="840"/>
        <w:jc w:val="both"/>
      </w:pPr>
      <w:r>
        <w:rPr>
          <w:b/>
          <w:bCs/>
          <w:lang w:val="fr-FR" w:eastAsia="fr-FR" w:bidi="fr-FR"/>
        </w:rPr>
        <w:t xml:space="preserve">Paracetamol/Uni-Pharma </w:t>
      </w:r>
      <w:r>
        <w:rPr>
          <w:b/>
          <w:bCs/>
          <w:i/>
          <w:iCs/>
          <w:lang w:val="fr-FR" w:eastAsia="fr-FR" w:bidi="fr-FR"/>
        </w:rPr>
        <w:t>Sol. iv. inf. 1g/6.7 ml Amp</w:t>
      </w:r>
      <w:r>
        <w:rPr>
          <w:b/>
          <w:bCs/>
          <w:lang w:val="fr-FR" w:eastAsia="fr-FR" w:bidi="fr-FR"/>
        </w:rPr>
        <w:t>.</w:t>
      </w:r>
    </w:p>
    <w:p w:rsidR="00A4351D" w:rsidRDefault="00094E8C">
      <w:pPr>
        <w:pStyle w:val="1"/>
        <w:shd w:val="clear" w:color="auto" w:fill="auto"/>
        <w:spacing w:after="840" w:line="372" w:lineRule="auto"/>
        <w:ind w:left="840"/>
        <w:jc w:val="both"/>
      </w:pPr>
      <w:r>
        <w:rPr>
          <w:lang w:val="fr-FR" w:eastAsia="fr-FR" w:bidi="fr-FR"/>
        </w:rPr>
        <w:t xml:space="preserve">The product is presented as an </w:t>
      </w:r>
      <w:r>
        <w:rPr>
          <w:lang w:val="fr-FR" w:eastAsia="fr-FR" w:bidi="fr-FR"/>
        </w:rPr>
        <w:t>injectable formulation concentrate -150 mg/ml paracetamol- packaged in 6.7 ml, Type I amber glass ampoules.</w:t>
      </w:r>
    </w:p>
    <w:p w:rsidR="00A4351D" w:rsidRDefault="00094E8C">
      <w:pPr>
        <w:pStyle w:val="1"/>
        <w:numPr>
          <w:ilvl w:val="0"/>
          <w:numId w:val="15"/>
        </w:numPr>
        <w:shd w:val="clear" w:color="auto" w:fill="auto"/>
        <w:ind w:left="840"/>
        <w:jc w:val="both"/>
      </w:pPr>
      <w:r>
        <w:rPr>
          <w:b/>
          <w:bCs/>
          <w:i/>
          <w:iCs/>
        </w:rPr>
        <w:t>P.2.2.1. Formulation Development</w:t>
      </w:r>
    </w:p>
    <w:p w:rsidR="00A4351D" w:rsidRDefault="00094E8C">
      <w:pPr>
        <w:pStyle w:val="1"/>
        <w:shd w:val="clear" w:color="auto" w:fill="auto"/>
        <w:ind w:left="840"/>
        <w:jc w:val="both"/>
      </w:pPr>
      <w:r>
        <w:t xml:space="preserve">As paracetamol is poorly soluble in water, co-solvents such as ethanol were added and glycerol formal was selected </w:t>
      </w:r>
      <w:r>
        <w:t>as a potential solubilizer for the active substance.</w:t>
      </w:r>
    </w:p>
    <w:p w:rsidR="00A4351D" w:rsidRDefault="00094E8C">
      <w:pPr>
        <w:pStyle w:val="1"/>
        <w:shd w:val="clear" w:color="auto" w:fill="auto"/>
        <w:ind w:left="840"/>
        <w:jc w:val="both"/>
      </w:pPr>
      <w:r>
        <w:t>During stability studies no incompatibilities were found between the drug and the excipients, all of which are well-established pharmaceutical preparation ingredients.</w:t>
      </w:r>
    </w:p>
    <w:p w:rsidR="00A4351D" w:rsidRDefault="00094E8C">
      <w:pPr>
        <w:pStyle w:val="1"/>
        <w:shd w:val="clear" w:color="auto" w:fill="auto"/>
        <w:ind w:left="840"/>
        <w:jc w:val="both"/>
      </w:pPr>
      <w:r>
        <w:t>All excipients are widely used mate</w:t>
      </w:r>
      <w:r>
        <w:t>rials in pharmaceutical formulation, with a long story of safe utilization.</w:t>
      </w:r>
    </w:p>
    <w:p w:rsidR="00A4351D" w:rsidRDefault="00094E8C">
      <w:pPr>
        <w:pStyle w:val="1"/>
        <w:shd w:val="clear" w:color="auto" w:fill="auto"/>
        <w:ind w:left="840"/>
        <w:jc w:val="both"/>
      </w:pPr>
      <w:r>
        <w:t>The selection of all proposed excipients was properly justified during formulation development and stability studies confirmed their good compatibility with paracetamol. Formulatio</w:t>
      </w:r>
      <w:r>
        <w:t>n pH - The formulation pH is controlled using a buffering system, which was optimized during formulation development.</w:t>
      </w:r>
    </w:p>
    <w:p w:rsidR="00A4351D" w:rsidRDefault="00094E8C">
      <w:pPr>
        <w:pStyle w:val="1"/>
        <w:shd w:val="clear" w:color="auto" w:fill="auto"/>
        <w:ind w:left="840"/>
        <w:jc w:val="both"/>
      </w:pPr>
      <w:r>
        <w:t>During stability studies at 40°C for three months the preliminary solution for injection containing 150 mg/ml paracetamol discoloured to a</w:t>
      </w:r>
      <w:r>
        <w:t xml:space="preserve"> pink appearance, due to oxidation, whilst there was no significant deterioration of the active substance. Nevertheless, sodium metabisulfite addition to the formula, to act as an antioxidant, was deemed warranted.</w:t>
      </w:r>
    </w:p>
    <w:p w:rsidR="00A4351D" w:rsidRDefault="00094E8C">
      <w:pPr>
        <w:pStyle w:val="1"/>
        <w:shd w:val="clear" w:color="auto" w:fill="auto"/>
        <w:ind w:left="840"/>
        <w:jc w:val="both"/>
      </w:pPr>
      <w:r>
        <w:t>No antimicrobial preservative is added to</w:t>
      </w:r>
      <w:r>
        <w:t xml:space="preserve"> this injectable preparation as the product has adequate inherent antimicrobial activity on the grounds of the significant non-aqueous solvent loading. Moreover, the finished product is a sterile solution presented as a monodose dosage form, produced asept</w:t>
      </w:r>
      <w:r>
        <w:t>ically and therefore is no requirement for the inclusion of preservatives in the formulation. However, in order to enhance the antimicrobial efficacy, ethanol was added.</w:t>
      </w:r>
    </w:p>
    <w:p w:rsidR="00A4351D" w:rsidRDefault="00094E8C">
      <w:pPr>
        <w:pStyle w:val="1"/>
        <w:shd w:val="clear" w:color="auto" w:fill="auto"/>
        <w:ind w:left="840"/>
        <w:jc w:val="both"/>
      </w:pPr>
      <w:r>
        <w:t xml:space="preserve">Stability data confirmed adequate stability of this formulation. Other relevant tests </w:t>
      </w:r>
      <w:r>
        <w:t>performed during development included syringeability and closure integrity tests.</w:t>
      </w:r>
    </w:p>
    <w:p w:rsidR="00A4351D" w:rsidRDefault="00094E8C">
      <w:pPr>
        <w:pStyle w:val="1"/>
        <w:shd w:val="clear" w:color="auto" w:fill="auto"/>
        <w:ind w:firstLine="840"/>
        <w:jc w:val="both"/>
      </w:pPr>
      <w:r>
        <w:rPr>
          <w:i/>
          <w:iCs/>
        </w:rPr>
        <w:t>Choice of excipients:</w:t>
      </w:r>
    </w:p>
    <w:p w:rsidR="00A4351D" w:rsidRDefault="00094E8C">
      <w:pPr>
        <w:pStyle w:val="1"/>
        <w:shd w:val="clear" w:color="auto" w:fill="auto"/>
        <w:ind w:left="840"/>
        <w:jc w:val="both"/>
      </w:pPr>
      <w:r>
        <w:t xml:space="preserve">The selection of excipients was thoroughly described. To enhance the solubility of Paracetamol, </w:t>
      </w:r>
      <w:r>
        <w:lastRenderedPageBreak/>
        <w:t xml:space="preserve">Glycerol formal (stabilized with the EDTA) and Ethanol </w:t>
      </w:r>
      <w:r>
        <w:t>were used.</w:t>
      </w:r>
    </w:p>
    <w:p w:rsidR="00A4351D" w:rsidRDefault="00094E8C">
      <w:pPr>
        <w:pStyle w:val="1"/>
        <w:shd w:val="clear" w:color="auto" w:fill="auto"/>
        <w:ind w:left="840"/>
        <w:jc w:val="both"/>
      </w:pPr>
      <w:r>
        <w:t>An antioxidant, Sodium Metabisulfite, with the chelating agent D-EDTA is also included in the formulation to reduce oxidative degradation and maintain good product appearance.</w:t>
      </w:r>
    </w:p>
    <w:p w:rsidR="00A4351D" w:rsidRDefault="00094E8C">
      <w:pPr>
        <w:pStyle w:val="1"/>
        <w:shd w:val="clear" w:color="auto" w:fill="auto"/>
        <w:ind w:left="840"/>
        <w:jc w:val="both"/>
      </w:pPr>
      <w:r>
        <w:t>The final formulation does not include any antimicrobial preservative</w:t>
      </w:r>
      <w:r>
        <w:t>s, due to self</w:t>
      </w:r>
      <w:r>
        <w:softHyphen/>
        <w:t>preserving properties, compliant with the Ph. Eur. 5.1.3 Efficacy of Antimicrobial Preservation.</w:t>
      </w:r>
    </w:p>
    <w:p w:rsidR="00A4351D" w:rsidRDefault="00094E8C">
      <w:pPr>
        <w:pStyle w:val="1"/>
        <w:shd w:val="clear" w:color="auto" w:fill="auto"/>
        <w:ind w:left="840"/>
        <w:jc w:val="both"/>
      </w:pPr>
      <w:r>
        <w:t xml:space="preserve">The different parts of the dossier substantiate the development of a concentrate for solution for infusion of acceptable chemical and </w:t>
      </w:r>
      <w:r>
        <w:t>pharmaceutical quality.</w:t>
      </w:r>
    </w:p>
    <w:p w:rsidR="00A4351D" w:rsidRDefault="00094E8C">
      <w:pPr>
        <w:pStyle w:val="1"/>
        <w:shd w:val="clear" w:color="auto" w:fill="auto"/>
        <w:ind w:left="840"/>
        <w:jc w:val="both"/>
      </w:pPr>
      <w:r>
        <w:t>Pre-formulation studies were carried out in order to identify the solubility and stability characteristics of Paracetamol.</w:t>
      </w:r>
    </w:p>
    <w:p w:rsidR="00A4351D" w:rsidRDefault="00094E8C">
      <w:pPr>
        <w:pStyle w:val="1"/>
        <w:shd w:val="clear" w:color="auto" w:fill="auto"/>
        <w:ind w:left="840"/>
        <w:jc w:val="both"/>
      </w:pPr>
      <w:r>
        <w:t>As concluded by the pre-formulation and formulation screening and optimization studies, stability of the sele</w:t>
      </w:r>
      <w:r>
        <w:t>cted formula is maintained even at a pH range of 3.8-6.5. This flexibility deriving from the robustness of the formulation was utilized in order to allow the inclusion of the selected anti-oxidant- Sodium Metabisulfite- in the formula, since the anti-oxida</w:t>
      </w:r>
      <w:r>
        <w:t>nt, through its mechanism of action (protective against the oxidation of paracetamol) contributes to a drop of the pH throughout the shelf-life of the product, within the abovementioned specified range. For a full discussion of this phenomenon please refer</w:t>
      </w:r>
      <w:r>
        <w:t xml:space="preserve"> to section </w:t>
      </w:r>
      <w:r>
        <w:rPr>
          <w:b/>
          <w:bCs/>
        </w:rPr>
        <w:t>3.2.P.2.2.3</w:t>
      </w:r>
      <w:r>
        <w:t>.</w:t>
      </w:r>
    </w:p>
    <w:p w:rsidR="00A4351D" w:rsidRDefault="00094E8C">
      <w:pPr>
        <w:pStyle w:val="1"/>
        <w:shd w:val="clear" w:color="auto" w:fill="auto"/>
        <w:spacing w:after="420"/>
        <w:ind w:left="840"/>
        <w:jc w:val="both"/>
      </w:pPr>
      <w:r>
        <w:t>A program of drug substance stress testing under extremes of heat, light, acidic/basic and oxidative conditions has been performed. P-aminophenol appears to be the only impurity. P-aminophenol is formed during shelf-life.</w:t>
      </w:r>
    </w:p>
    <w:p w:rsidR="00A4351D" w:rsidRDefault="00094E8C">
      <w:pPr>
        <w:pStyle w:val="1"/>
        <w:shd w:val="clear" w:color="auto" w:fill="auto"/>
        <w:ind w:left="840"/>
        <w:jc w:val="both"/>
      </w:pPr>
      <w:r>
        <w:t>Manufactu</w:t>
      </w:r>
      <w:r>
        <w:t>re of this kind of solution has to overcome the problem of the limited solubility of paracetamol in water, which is the solvent of choice for parenteral preparations.</w:t>
      </w:r>
    </w:p>
    <w:p w:rsidR="00A4351D" w:rsidRDefault="00094E8C">
      <w:pPr>
        <w:pStyle w:val="1"/>
        <w:shd w:val="clear" w:color="auto" w:fill="auto"/>
        <w:ind w:left="840"/>
        <w:jc w:val="both"/>
      </w:pPr>
      <w:r>
        <w:t>After solubility trials, a mixture of 3 solvents was thus chosen:</w:t>
      </w:r>
    </w:p>
    <w:p w:rsidR="00A4351D" w:rsidRDefault="00094E8C">
      <w:pPr>
        <w:pStyle w:val="1"/>
        <w:shd w:val="clear" w:color="auto" w:fill="auto"/>
        <w:jc w:val="center"/>
      </w:pPr>
      <w:r>
        <w:t xml:space="preserve">- Water for injections </w:t>
      </w:r>
      <w:r>
        <w:t>(30% V/V), in which additives are soluble,</w:t>
      </w:r>
    </w:p>
    <w:p w:rsidR="00A4351D" w:rsidRDefault="00094E8C">
      <w:pPr>
        <w:pStyle w:val="1"/>
        <w:shd w:val="clear" w:color="auto" w:fill="auto"/>
        <w:ind w:left="1960"/>
      </w:pPr>
      <w:r>
        <w:t>- Ethanol (10% V/V), in which paracetamol is soluble,</w:t>
      </w:r>
    </w:p>
    <w:p w:rsidR="00A4351D" w:rsidRDefault="00094E8C">
      <w:pPr>
        <w:pStyle w:val="1"/>
        <w:shd w:val="clear" w:color="auto" w:fill="auto"/>
        <w:ind w:left="2320" w:hanging="360"/>
        <w:jc w:val="both"/>
      </w:pPr>
      <w:r>
        <w:t>- Glycerol formal pre stabilized with EDTA (60% V/V), chosen for its solubilizing properties as a solvent for a wide variety of organic chemical substances, an</w:t>
      </w:r>
      <w:r>
        <w:t>d its ability to mix with water and ethanol.</w:t>
      </w:r>
    </w:p>
    <w:p w:rsidR="00A4351D" w:rsidRDefault="00094E8C">
      <w:pPr>
        <w:pStyle w:val="1"/>
        <w:shd w:val="clear" w:color="auto" w:fill="auto"/>
        <w:ind w:firstLine="840"/>
      </w:pPr>
      <w:r>
        <w:t>The following substances were added to the formula:</w:t>
      </w:r>
    </w:p>
    <w:p w:rsidR="00A4351D" w:rsidRDefault="00094E8C">
      <w:pPr>
        <w:pStyle w:val="1"/>
        <w:shd w:val="clear" w:color="auto" w:fill="auto"/>
        <w:ind w:left="2320" w:hanging="360"/>
        <w:jc w:val="both"/>
      </w:pPr>
      <w:r>
        <w:t>- Sodium metabisulfite, an antioxidant preservative added at concentration (0.1% m/V) sufficient to stabilize the preparation against any chemical breakdown of</w:t>
      </w:r>
      <w:r>
        <w:t xml:space="preserve"> paracetamol (oxidation of p-aminophenol towards quinine imine liable to </w:t>
      </w:r>
      <w:r>
        <w:lastRenderedPageBreak/>
        <w:t>polymerization with p-aminophenol resulting to the formation of coloured derivative products);</w:t>
      </w:r>
    </w:p>
    <w:p w:rsidR="00A4351D" w:rsidRDefault="00094E8C">
      <w:pPr>
        <w:pStyle w:val="1"/>
        <w:shd w:val="clear" w:color="auto" w:fill="auto"/>
        <w:ind w:left="2320" w:hanging="360"/>
        <w:jc w:val="both"/>
      </w:pPr>
      <w:r>
        <w:t>- Disodium phosphate dodecahydrate, used to adjust the pH of the preparation between 5.0</w:t>
      </w:r>
      <w:r>
        <w:t xml:space="preserve"> and 6.5 at the time of batch release, in order to avoid any hydrolysis of paracetamol in the aqueous medium resulting to the formation of p-aminophenol. The pH of range of 5.0-6.5 is specified as a quality parameter for the release of the finished product</w:t>
      </w:r>
      <w:r>
        <w:t>.</w:t>
      </w:r>
    </w:p>
    <w:p w:rsidR="00A4351D" w:rsidRDefault="00094E8C">
      <w:pPr>
        <w:pStyle w:val="1"/>
        <w:shd w:val="clear" w:color="auto" w:fill="auto"/>
        <w:ind w:left="840"/>
        <w:jc w:val="both"/>
        <w:sectPr w:rsidR="00A4351D">
          <w:pgSz w:w="11900" w:h="16840"/>
          <w:pgMar w:top="1959" w:right="840" w:bottom="1700" w:left="840" w:header="0" w:footer="3" w:gutter="0"/>
          <w:cols w:space="720"/>
          <w:noEndnote/>
          <w:docGrid w:linePitch="360"/>
        </w:sectPr>
      </w:pPr>
      <w:r>
        <w:t>Of course, as mentioned above, throughout the shelf life of the finished product, a pH range of 3.8-6.5 becomes applicable as a quality specification due to the phenomenon of the consumption of sodium metabisulfite, which leads to th</w:t>
      </w:r>
      <w:r>
        <w:t>e decrease of the pH value. The above pH range is relevant as documented by stability studies of the optimal formulation.</w:t>
      </w:r>
    </w:p>
    <w:p w:rsidR="00A4351D" w:rsidRDefault="00094E8C">
      <w:pPr>
        <w:pStyle w:val="1"/>
        <w:numPr>
          <w:ilvl w:val="0"/>
          <w:numId w:val="16"/>
        </w:numPr>
        <w:shd w:val="clear" w:color="auto" w:fill="auto"/>
        <w:spacing w:after="840"/>
        <w:ind w:left="820" w:firstLine="20"/>
        <w:jc w:val="both"/>
      </w:pPr>
      <w:r>
        <w:rPr>
          <w:b/>
          <w:bCs/>
          <w:i/>
          <w:iCs/>
        </w:rPr>
        <w:lastRenderedPageBreak/>
        <w:t xml:space="preserve">P.2.2.2. Overages </w:t>
      </w:r>
      <w:r>
        <w:t>Not applicable.</w:t>
      </w:r>
    </w:p>
    <w:p w:rsidR="00A4351D" w:rsidRDefault="00094E8C">
      <w:pPr>
        <w:pStyle w:val="1"/>
        <w:numPr>
          <w:ilvl w:val="0"/>
          <w:numId w:val="17"/>
        </w:numPr>
        <w:shd w:val="clear" w:color="auto" w:fill="auto"/>
        <w:ind w:left="820" w:firstLine="20"/>
        <w:jc w:val="both"/>
      </w:pPr>
      <w:r>
        <w:rPr>
          <w:b/>
          <w:bCs/>
          <w:i/>
          <w:iCs/>
        </w:rPr>
        <w:t>P.2.2.3. Physicochemical and Biological Properties</w:t>
      </w:r>
    </w:p>
    <w:p w:rsidR="00A4351D" w:rsidRDefault="00094E8C">
      <w:pPr>
        <w:pStyle w:val="1"/>
        <w:shd w:val="clear" w:color="auto" w:fill="auto"/>
        <w:spacing w:after="420"/>
        <w:ind w:left="820" w:firstLine="20"/>
        <w:jc w:val="both"/>
      </w:pPr>
      <w:r>
        <w:t xml:space="preserve">In this section the physicochemical parameters </w:t>
      </w:r>
      <w:r>
        <w:t xml:space="preserve">relevant to the performance of the drug product are discussed. Taking into consideration the pharmaceutical form of the medicinal product, the physicochemical property that should be addressed is the pH of the solution. A major concern was the drop in the </w:t>
      </w:r>
      <w:r>
        <w:t>pH of the solution due to the consumption of Sodium metabisulfite. Reducing agents such sulfite, bisulfite and metabisulfite are preferentially oxidized due to a lower redox potential than the drug or other excipients in the formulation. Sodium Metabisulfi</w:t>
      </w:r>
      <w:r>
        <w:t>te (S</w:t>
      </w:r>
      <w:r>
        <w:rPr>
          <w:sz w:val="16"/>
          <w:szCs w:val="16"/>
        </w:rPr>
        <w:t>2</w:t>
      </w:r>
      <w:r>
        <w:t>O</w:t>
      </w:r>
      <w:r>
        <w:rPr>
          <w:sz w:val="16"/>
          <w:szCs w:val="16"/>
        </w:rPr>
        <w:t>5</w:t>
      </w:r>
      <w:r>
        <w:rPr>
          <w:vertAlign w:val="superscript"/>
        </w:rPr>
        <w:t>2-</w:t>
      </w:r>
      <w:r>
        <w:t>) is an antioxidant that has been used in parenteral preparations for decades. In the APOTEL formulation, it is present in equilibrium and has the potential to initiate radical chain reactions. Salts of sulfite, bisulfite and metabisulfite are oxygen scave</w:t>
      </w:r>
      <w:r>
        <w:t xml:space="preserve">ngers with a high aqueous solubility. They are the most common antioxidants in parenteral products. </w:t>
      </w:r>
      <w:r>
        <w:rPr>
          <w:i/>
          <w:iCs/>
        </w:rPr>
        <w:t>(Handbook of Pharmaceutical Excipients, Fifth Edition,690-692)</w:t>
      </w:r>
      <w:r>
        <w:t>.</w:t>
      </w:r>
    </w:p>
    <w:p w:rsidR="00A4351D" w:rsidRDefault="00094E8C">
      <w:pPr>
        <w:pStyle w:val="30"/>
        <w:keepNext/>
        <w:keepLines/>
        <w:shd w:val="clear" w:color="auto" w:fill="auto"/>
        <w:spacing w:line="372" w:lineRule="auto"/>
        <w:ind w:left="820" w:firstLine="20"/>
        <w:jc w:val="both"/>
      </w:pPr>
      <w:bookmarkStart w:id="17" w:name="bookmark16"/>
      <w:bookmarkStart w:id="18" w:name="bookmark17"/>
      <w:r>
        <w:rPr>
          <w:u w:val="single"/>
        </w:rPr>
        <w:t>Degradation of glycerol formal</w:t>
      </w:r>
      <w:bookmarkEnd w:id="17"/>
      <w:bookmarkEnd w:id="18"/>
    </w:p>
    <w:p w:rsidR="00A4351D" w:rsidRDefault="00094E8C">
      <w:pPr>
        <w:pStyle w:val="1"/>
        <w:shd w:val="clear" w:color="auto" w:fill="auto"/>
        <w:spacing w:line="372" w:lineRule="auto"/>
        <w:ind w:left="820" w:firstLine="20"/>
        <w:jc w:val="both"/>
      </w:pPr>
      <w:r>
        <w:t>According to the CoA of the manufacturer for Glycerol Formal,</w:t>
      </w:r>
      <w:r>
        <w:t xml:space="preserve"> free formaldehyde is presented in the raw material.</w:t>
      </w:r>
    </w:p>
    <w:p w:rsidR="00A4351D" w:rsidRDefault="00094E8C">
      <w:pPr>
        <w:pStyle w:val="1"/>
        <w:shd w:val="clear" w:color="auto" w:fill="auto"/>
        <w:tabs>
          <w:tab w:val="left" w:pos="2237"/>
          <w:tab w:val="left" w:pos="2909"/>
          <w:tab w:val="left" w:pos="4373"/>
          <w:tab w:val="left" w:pos="5837"/>
          <w:tab w:val="left" w:pos="6566"/>
        </w:tabs>
        <w:spacing w:line="372" w:lineRule="auto"/>
        <w:ind w:left="820" w:firstLine="20"/>
        <w:jc w:val="both"/>
      </w:pPr>
      <w:r>
        <w:t>C</w:t>
      </w:r>
      <w:r>
        <w:rPr>
          <w:sz w:val="16"/>
          <w:szCs w:val="16"/>
        </w:rPr>
        <w:t>4</w:t>
      </w:r>
      <w:r>
        <w:t>H</w:t>
      </w:r>
      <w:r>
        <w:rPr>
          <w:sz w:val="16"/>
          <w:szCs w:val="16"/>
        </w:rPr>
        <w:t>8</w:t>
      </w:r>
      <w:r>
        <w:t>O</w:t>
      </w:r>
      <w:r>
        <w:rPr>
          <w:sz w:val="16"/>
          <w:szCs w:val="16"/>
        </w:rPr>
        <w:t>3</w:t>
      </w:r>
      <w:r>
        <w:rPr>
          <w:sz w:val="16"/>
          <w:szCs w:val="16"/>
        </w:rPr>
        <w:tab/>
      </w:r>
      <w:r>
        <w:t>+</w:t>
      </w:r>
      <w:r>
        <w:tab/>
        <w:t>H</w:t>
      </w:r>
      <w:r>
        <w:rPr>
          <w:sz w:val="16"/>
          <w:szCs w:val="16"/>
        </w:rPr>
        <w:t>2</w:t>
      </w:r>
      <w:r>
        <w:t>O</w:t>
      </w:r>
      <w:r>
        <w:tab/>
        <w:t>C</w:t>
      </w:r>
      <w:r>
        <w:rPr>
          <w:sz w:val="16"/>
          <w:szCs w:val="16"/>
        </w:rPr>
        <w:t>3</w:t>
      </w:r>
      <w:r>
        <w:t>H</w:t>
      </w:r>
      <w:r>
        <w:rPr>
          <w:sz w:val="16"/>
          <w:szCs w:val="16"/>
        </w:rPr>
        <w:t>8</w:t>
      </w:r>
      <w:r>
        <w:t>O</w:t>
      </w:r>
      <w:r>
        <w:rPr>
          <w:sz w:val="16"/>
          <w:szCs w:val="16"/>
        </w:rPr>
        <w:t>3</w:t>
      </w:r>
      <w:r>
        <w:rPr>
          <w:sz w:val="16"/>
          <w:szCs w:val="16"/>
        </w:rPr>
        <w:tab/>
      </w:r>
      <w:r>
        <w:t>+</w:t>
      </w:r>
      <w:r>
        <w:tab/>
        <w:t>CH</w:t>
      </w:r>
      <w:r>
        <w:rPr>
          <w:sz w:val="16"/>
          <w:szCs w:val="16"/>
        </w:rPr>
        <w:t>2</w:t>
      </w:r>
      <w:r>
        <w:t>O</w:t>
      </w:r>
    </w:p>
    <w:p w:rsidR="00A4351D" w:rsidRDefault="00094E8C">
      <w:pPr>
        <w:pStyle w:val="1"/>
        <w:shd w:val="clear" w:color="auto" w:fill="auto"/>
        <w:spacing w:after="420" w:line="372" w:lineRule="auto"/>
        <w:ind w:left="820" w:firstLine="20"/>
        <w:jc w:val="both"/>
      </w:pPr>
      <w:r>
        <w:t>Glycerol formal Water Glycerol Formaldehyde</w:t>
      </w:r>
    </w:p>
    <w:p w:rsidR="00A4351D" w:rsidRDefault="00094E8C">
      <w:pPr>
        <w:pStyle w:val="1"/>
        <w:shd w:val="clear" w:color="auto" w:fill="auto"/>
        <w:ind w:left="820" w:firstLine="20"/>
        <w:jc w:val="both"/>
      </w:pPr>
      <w:r>
        <w:t xml:space="preserve">In addition, formaldehyde is considered to be a degradation product of glycerol formal, as it can be noted from the figure above. 1 </w:t>
      </w:r>
      <w:r>
        <w:t>mol of glycerol and 1 mol of formaldehyde are produced after the degradation of 1 mol of glycerol formal.</w:t>
      </w:r>
    </w:p>
    <w:p w:rsidR="00A4351D" w:rsidRDefault="00094E8C">
      <w:pPr>
        <w:pStyle w:val="1"/>
        <w:shd w:val="clear" w:color="auto" w:fill="auto"/>
        <w:spacing w:after="420"/>
        <w:ind w:left="820" w:firstLine="20"/>
        <w:jc w:val="both"/>
      </w:pPr>
      <w:r>
        <w:t>Taking tolerability levels into account (United Nations Environmental Program, Formaldehyde Report), a limit of 100 pg/ml is considered to be acceptab</w:t>
      </w:r>
      <w:r>
        <w:t>le. Moreover, the limit set for formaldehyde by the European Pharmacopoeia for Glycerol Formal Monograph is 200ppm.</w:t>
      </w:r>
    </w:p>
    <w:p w:rsidR="00A4351D" w:rsidRDefault="00094E8C">
      <w:pPr>
        <w:pStyle w:val="1"/>
        <w:shd w:val="clear" w:color="auto" w:fill="auto"/>
        <w:spacing w:after="840"/>
        <w:ind w:left="840"/>
        <w:jc w:val="both"/>
      </w:pPr>
      <w:r>
        <w:rPr>
          <w:lang w:val="fr-FR" w:eastAsia="fr-FR" w:bidi="fr-FR"/>
        </w:rPr>
        <w:t xml:space="preserve">Actually, the limit for free formaldehyde during intake by patients of the end solution, </w:t>
      </w:r>
      <w:r>
        <w:t xml:space="preserve">prepared by </w:t>
      </w:r>
      <w:r>
        <w:rPr>
          <w:lang w:val="fr-FR" w:eastAsia="fr-FR" w:bidi="fr-FR"/>
        </w:rPr>
        <w:t xml:space="preserve">dilution </w:t>
      </w:r>
      <w:r>
        <w:t xml:space="preserve">of the </w:t>
      </w:r>
      <w:r>
        <w:rPr>
          <w:lang w:val="fr-FR" w:eastAsia="fr-FR" w:bidi="fr-FR"/>
        </w:rPr>
        <w:t xml:space="preserve">ampoule </w:t>
      </w:r>
      <w:r>
        <w:t>concentrate, is</w:t>
      </w:r>
      <w:r>
        <w:t xml:space="preserve"> 7 pg/ml, well below the accepted concentration cited under </w:t>
      </w:r>
      <w:r>
        <w:lastRenderedPageBreak/>
        <w:t>the above mentioned reference, since the ampoule content is diluted in 100ml of a 0.9% w/v NaCl solution prior to administration.</w:t>
      </w:r>
    </w:p>
    <w:p w:rsidR="00A4351D" w:rsidRDefault="00094E8C">
      <w:pPr>
        <w:pStyle w:val="1"/>
        <w:shd w:val="clear" w:color="auto" w:fill="auto"/>
        <w:ind w:firstLine="840"/>
      </w:pPr>
      <w:r>
        <w:rPr>
          <w:b/>
          <w:bCs/>
          <w:u w:val="single"/>
        </w:rPr>
        <w:t>Degradation of Metabisulfite</w:t>
      </w:r>
    </w:p>
    <w:p w:rsidR="00A4351D" w:rsidRDefault="00094E8C">
      <w:pPr>
        <w:pStyle w:val="1"/>
        <w:shd w:val="clear" w:color="auto" w:fill="auto"/>
        <w:spacing w:after="420"/>
        <w:ind w:firstLine="840"/>
      </w:pPr>
      <w:r>
        <w:rPr>
          <w:b/>
          <w:bCs/>
        </w:rPr>
        <w:t>Na</w:t>
      </w:r>
      <w:r>
        <w:rPr>
          <w:b/>
          <w:bCs/>
          <w:sz w:val="16"/>
          <w:szCs w:val="16"/>
        </w:rPr>
        <w:t>2</w:t>
      </w:r>
      <w:r>
        <w:rPr>
          <w:b/>
          <w:bCs/>
        </w:rPr>
        <w:t>S</w:t>
      </w:r>
      <w:r>
        <w:rPr>
          <w:b/>
          <w:bCs/>
          <w:sz w:val="16"/>
          <w:szCs w:val="16"/>
        </w:rPr>
        <w:t>2</w:t>
      </w:r>
      <w:r>
        <w:rPr>
          <w:b/>
          <w:bCs/>
        </w:rPr>
        <w:t>O</w:t>
      </w:r>
      <w:r>
        <w:rPr>
          <w:b/>
          <w:bCs/>
          <w:sz w:val="16"/>
          <w:szCs w:val="16"/>
        </w:rPr>
        <w:t xml:space="preserve">5 </w:t>
      </w:r>
      <w:r>
        <w:rPr>
          <w:b/>
          <w:bCs/>
        </w:rPr>
        <w:t>+ H</w:t>
      </w:r>
      <w:r>
        <w:rPr>
          <w:b/>
          <w:bCs/>
          <w:sz w:val="16"/>
          <w:szCs w:val="16"/>
        </w:rPr>
        <w:t>2</w:t>
      </w:r>
      <w:r>
        <w:rPr>
          <w:b/>
          <w:bCs/>
        </w:rPr>
        <w:t>O —► 2Na</w:t>
      </w:r>
      <w:r>
        <w:rPr>
          <w:b/>
          <w:bCs/>
          <w:vertAlign w:val="superscript"/>
        </w:rPr>
        <w:t>+</w:t>
      </w:r>
      <w:r>
        <w:rPr>
          <w:b/>
          <w:bCs/>
        </w:rPr>
        <w:t xml:space="preserve"> + 2HS0</w:t>
      </w:r>
      <w:r>
        <w:rPr>
          <w:b/>
          <w:bCs/>
          <w:sz w:val="16"/>
          <w:szCs w:val="16"/>
        </w:rPr>
        <w:t>3</w:t>
      </w:r>
      <w:r>
        <w:rPr>
          <w:b/>
          <w:bCs/>
          <w:vertAlign w:val="superscript"/>
        </w:rPr>
        <w:t>-</w:t>
      </w:r>
    </w:p>
    <w:p w:rsidR="00A4351D" w:rsidRDefault="00094E8C">
      <w:pPr>
        <w:pStyle w:val="30"/>
        <w:keepNext/>
        <w:keepLines/>
        <w:shd w:val="clear" w:color="auto" w:fill="auto"/>
        <w:spacing w:after="420"/>
        <w:ind w:firstLine="840"/>
      </w:pPr>
      <w:bookmarkStart w:id="19" w:name="bookmark18"/>
      <w:bookmarkStart w:id="20" w:name="bookmark19"/>
      <w:r>
        <w:t>2HSO</w:t>
      </w:r>
      <w:r>
        <w:rPr>
          <w:sz w:val="16"/>
          <w:szCs w:val="16"/>
        </w:rPr>
        <w:t>3</w:t>
      </w:r>
      <w:r>
        <w:rPr>
          <w:vertAlign w:val="superscript"/>
        </w:rPr>
        <w:t>-</w:t>
      </w:r>
      <w:r>
        <w:t xml:space="preserve"> + 2H</w:t>
      </w:r>
      <w:r>
        <w:rPr>
          <w:sz w:val="16"/>
          <w:szCs w:val="16"/>
        </w:rPr>
        <w:t>2</w:t>
      </w:r>
      <w:r>
        <w:t>O</w:t>
      </w:r>
      <w:r>
        <w:rPr>
          <w:sz w:val="16"/>
          <w:szCs w:val="16"/>
        </w:rPr>
        <w:t xml:space="preserve">2 —► </w:t>
      </w:r>
      <w:r>
        <w:t>2SO</w:t>
      </w:r>
      <w:r>
        <w:rPr>
          <w:sz w:val="16"/>
          <w:szCs w:val="16"/>
        </w:rPr>
        <w:t>4</w:t>
      </w:r>
      <w:r>
        <w:rPr>
          <w:vertAlign w:val="superscript"/>
        </w:rPr>
        <w:t>2-</w:t>
      </w:r>
      <w:r>
        <w:t xml:space="preserve"> + 2H</w:t>
      </w:r>
      <w:r>
        <w:rPr>
          <w:vertAlign w:val="superscript"/>
        </w:rPr>
        <w:t>+</w:t>
      </w:r>
      <w:r>
        <w:t xml:space="preserve"> + 2H</w:t>
      </w:r>
      <w:r>
        <w:rPr>
          <w:sz w:val="16"/>
          <w:szCs w:val="16"/>
        </w:rPr>
        <w:t>2</w:t>
      </w:r>
      <w:r>
        <w:t>O</w:t>
      </w:r>
      <w:bookmarkEnd w:id="19"/>
      <w:bookmarkEnd w:id="20"/>
    </w:p>
    <w:p w:rsidR="00A4351D" w:rsidRDefault="00094E8C">
      <w:pPr>
        <w:pStyle w:val="1"/>
        <w:shd w:val="clear" w:color="auto" w:fill="auto"/>
        <w:ind w:left="840"/>
        <w:jc w:val="both"/>
      </w:pPr>
      <w:r>
        <w:t xml:space="preserve">According to the suggested mechanisms presented above, the product of the consumption of the antioxidant in </w:t>
      </w:r>
      <w:r>
        <w:rPr>
          <w:b/>
          <w:bCs/>
        </w:rPr>
        <w:t xml:space="preserve">Paracetamol/Uni-Pharma </w:t>
      </w:r>
      <w:r>
        <w:rPr>
          <w:b/>
          <w:bCs/>
          <w:i/>
          <w:iCs/>
        </w:rPr>
        <w:t>Sol. iv. inf. 1g/6.7 ml Amp</w:t>
      </w:r>
      <w:r>
        <w:rPr>
          <w:b/>
          <w:bCs/>
        </w:rPr>
        <w:t xml:space="preserve">. </w:t>
      </w:r>
      <w:r>
        <w:t>is mainly expected to be the sulfate ion with simultaneous produ</w:t>
      </w:r>
      <w:r>
        <w:t xml:space="preserve">ction of hydrogen cations </w:t>
      </w:r>
      <w:r>
        <w:rPr>
          <w:i/>
          <w:iCs/>
        </w:rPr>
        <w:t>(Ref. M.R.Hoffmann and J.O. Edwards, Kinetics of the oxidation of Suflite by Hydrogen Peroxide in Acidic Solution, The journal of Physical Chemistry, Vol. 79, No 20, 1975)</w:t>
      </w:r>
      <w:r>
        <w:t>. The result of this chemical reactivity is the lowering of</w:t>
      </w:r>
      <w:r>
        <w:t xml:space="preserve"> the pH of the solution and the consumption of Sodium metabisulfite. Sulfate ions are considered as non toxic for humans and therefore it is not necessary for an upper limit to be established (Ref. </w:t>
      </w:r>
      <w:r>
        <w:rPr>
          <w:b/>
          <w:bCs/>
        </w:rPr>
        <w:t xml:space="preserve">WHO/SDE/WSH/03.04/114, Sulfate in Drinking-water </w:t>
      </w:r>
      <w:r>
        <w:t>Backgroun</w:t>
      </w:r>
      <w:r>
        <w:t xml:space="preserve">d document for development of WHO </w:t>
      </w:r>
      <w:r>
        <w:rPr>
          <w:i/>
          <w:iCs/>
        </w:rPr>
        <w:t>Guidelines for Drinking-water Quality</w:t>
      </w:r>
      <w:r>
        <w:t>)</w:t>
      </w:r>
      <w:r>
        <w:rPr>
          <w:i/>
          <w:iCs/>
        </w:rPr>
        <w:t>.</w:t>
      </w:r>
    </w:p>
    <w:p w:rsidR="00A4351D" w:rsidRDefault="00094E8C">
      <w:pPr>
        <w:pStyle w:val="1"/>
        <w:shd w:val="clear" w:color="auto" w:fill="auto"/>
        <w:ind w:left="840"/>
        <w:jc w:val="both"/>
      </w:pPr>
      <w:r>
        <w:t xml:space="preserve">Therefore the specified range for Sodium metabisulfite over the shelf life of the product, as documented by the stability studies of the optimal formulation, is 10-110% and applicable as a quality parameter </w:t>
      </w:r>
      <w:r>
        <w:rPr>
          <w:i/>
          <w:iCs/>
        </w:rPr>
        <w:t xml:space="preserve">(see also section </w:t>
      </w:r>
      <w:r>
        <w:rPr>
          <w:b/>
          <w:bCs/>
          <w:i/>
          <w:iCs/>
        </w:rPr>
        <w:t>3.2.P.8.1.2.</w:t>
      </w:r>
      <w:r>
        <w:rPr>
          <w:i/>
          <w:iCs/>
        </w:rPr>
        <w:t>)</w:t>
      </w:r>
      <w:r>
        <w:t>, whereas due to t</w:t>
      </w:r>
      <w:r>
        <w:t xml:space="preserve">he same phenomenon the pH range applicable as a quality parameter over the shelf life of the product, is specified at 3.8-6.5 </w:t>
      </w:r>
      <w:r>
        <w:rPr>
          <w:i/>
          <w:iCs/>
        </w:rPr>
        <w:t xml:space="preserve">(see section </w:t>
      </w:r>
      <w:r>
        <w:rPr>
          <w:b/>
          <w:bCs/>
          <w:i/>
          <w:iCs/>
        </w:rPr>
        <w:t>3.2.P.8.1.2.</w:t>
      </w:r>
      <w:r>
        <w:rPr>
          <w:i/>
          <w:iCs/>
        </w:rPr>
        <w:t>)</w:t>
      </w:r>
      <w:r>
        <w:t>.</w:t>
      </w:r>
    </w:p>
    <w:p w:rsidR="00A4351D" w:rsidRDefault="00094E8C">
      <w:pPr>
        <w:pStyle w:val="1"/>
        <w:shd w:val="clear" w:color="auto" w:fill="auto"/>
        <w:ind w:left="840"/>
        <w:jc w:val="both"/>
      </w:pPr>
      <w:r>
        <w:t>Using the semi-quantitative method for sulfate ion determination {Eur. Phar. (2.4.13)}, along with met</w:t>
      </w:r>
      <w:r>
        <w:t xml:space="preserve">hod B {Eur. Phar (2.4.18)} for determination of free formaldehyde, and the method of determination of Glycerol (current Eur. Phar.) the corresponding concentrations of the sulfate ion, formaldehyde and Glycerol in different batches of the product </w:t>
      </w:r>
      <w:r>
        <w:rPr>
          <w:b/>
          <w:bCs/>
        </w:rPr>
        <w:t>Paracetam</w:t>
      </w:r>
      <w:r>
        <w:rPr>
          <w:b/>
          <w:bCs/>
        </w:rPr>
        <w:t xml:space="preserve">ol/Uni-Pharma </w:t>
      </w:r>
      <w:r>
        <w:rPr>
          <w:b/>
          <w:bCs/>
          <w:i/>
          <w:iCs/>
        </w:rPr>
        <w:t>Sol. iv. inf. 1g/6.7 ml Amp</w:t>
      </w:r>
      <w:r>
        <w:rPr>
          <w:b/>
          <w:bCs/>
        </w:rPr>
        <w:t xml:space="preserve">. </w:t>
      </w:r>
      <w:r>
        <w:t>were determined. All of the above mentioned methods were adapted and validated by the Quality Control department of UNI-PHARMA S.A. The results together with the value of pH and quantification of the antioxidant a</w:t>
      </w:r>
      <w:r>
        <w:t>re shown in the following table (Table 1).</w:t>
      </w:r>
    </w:p>
    <w:p w:rsidR="00A4351D" w:rsidRDefault="00094E8C">
      <w:pPr>
        <w:pStyle w:val="1"/>
        <w:shd w:val="clear" w:color="auto" w:fill="auto"/>
        <w:spacing w:line="372" w:lineRule="auto"/>
        <w:ind w:left="720"/>
      </w:pPr>
      <w:r>
        <w:t xml:space="preserve">Careful selection of supplies of glass ampoules and testing of all new lots of glass ampoules was applied prior to the manufacture of </w:t>
      </w:r>
      <w:r>
        <w:rPr>
          <w:b/>
          <w:bCs/>
        </w:rPr>
        <w:t xml:space="preserve">Paracetamol/Uni-Pharma </w:t>
      </w:r>
      <w:r>
        <w:rPr>
          <w:b/>
          <w:bCs/>
          <w:i/>
          <w:iCs/>
        </w:rPr>
        <w:t>Sol. iv. inf. 1g/6.7 ml Amp</w:t>
      </w:r>
      <w:r>
        <w:rPr>
          <w:b/>
          <w:bCs/>
        </w:rPr>
        <w:t>.</w:t>
      </w:r>
      <w:r>
        <w:t xml:space="preserve">, in order </w:t>
      </w:r>
      <w:r>
        <w:lastRenderedPageBreak/>
        <w:t>to avoid compatib</w:t>
      </w:r>
      <w:r>
        <w:t>ility issues with the solution concerning physicochemical properties.</w:t>
      </w:r>
    </w:p>
    <w:p w:rsidR="00A4351D" w:rsidRDefault="00094E8C">
      <w:pPr>
        <w:pStyle w:val="1"/>
        <w:shd w:val="clear" w:color="auto" w:fill="auto"/>
        <w:spacing w:line="372" w:lineRule="auto"/>
        <w:ind w:firstLine="720"/>
      </w:pPr>
      <w:r>
        <w:rPr>
          <w:b/>
          <w:bCs/>
        </w:rPr>
        <w:t>Table 1</w:t>
      </w:r>
    </w:p>
    <w:tbl>
      <w:tblPr>
        <w:tblOverlap w:val="never"/>
        <w:tblW w:w="0" w:type="auto"/>
        <w:jc w:val="center"/>
        <w:tblLayout w:type="fixed"/>
        <w:tblCellMar>
          <w:left w:w="10" w:type="dxa"/>
          <w:right w:w="10" w:type="dxa"/>
        </w:tblCellMar>
        <w:tblLook w:val="0000" w:firstRow="0" w:lastRow="0" w:firstColumn="0" w:lastColumn="0" w:noHBand="0" w:noVBand="0"/>
      </w:tblPr>
      <w:tblGrid>
        <w:gridCol w:w="658"/>
        <w:gridCol w:w="1003"/>
        <w:gridCol w:w="1080"/>
        <w:gridCol w:w="653"/>
        <w:gridCol w:w="1085"/>
        <w:gridCol w:w="1080"/>
        <w:gridCol w:w="1080"/>
        <w:gridCol w:w="638"/>
        <w:gridCol w:w="1123"/>
        <w:gridCol w:w="1363"/>
      </w:tblGrid>
      <w:tr w:rsidR="00A4351D">
        <w:tblPrEx>
          <w:tblCellMar>
            <w:top w:w="0" w:type="dxa"/>
            <w:bottom w:w="0" w:type="dxa"/>
          </w:tblCellMar>
        </w:tblPrEx>
        <w:trPr>
          <w:trHeight w:hRule="exact" w:val="442"/>
          <w:jc w:val="center"/>
        </w:trPr>
        <w:tc>
          <w:tcPr>
            <w:tcW w:w="9763" w:type="dxa"/>
            <w:gridSpan w:val="10"/>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rPr>
                <w:b/>
                <w:bCs/>
              </w:rPr>
              <w:t>APOTEL</w:t>
            </w:r>
            <w:r>
              <w:rPr>
                <w:b/>
                <w:bCs/>
                <w:sz w:val="16"/>
                <w:szCs w:val="16"/>
              </w:rPr>
              <w:t xml:space="preserve">® </w:t>
            </w:r>
            <w:r>
              <w:rPr>
                <w:b/>
                <w:bCs/>
              </w:rPr>
              <w:t>SOL. IV. INF. 1000mg/6.7ml AMP.</w:t>
            </w:r>
          </w:p>
        </w:tc>
      </w:tr>
      <w:tr w:rsidR="00A4351D">
        <w:tblPrEx>
          <w:tblCellMar>
            <w:top w:w="0" w:type="dxa"/>
            <w:bottom w:w="0" w:type="dxa"/>
          </w:tblCellMar>
        </w:tblPrEx>
        <w:trPr>
          <w:trHeight w:hRule="exact" w:val="1282"/>
          <w:jc w:val="center"/>
        </w:trPr>
        <w:tc>
          <w:tcPr>
            <w:tcW w:w="658" w:type="dxa"/>
            <w:vMerge w:val="restart"/>
            <w:tcBorders>
              <w:top w:val="single" w:sz="4" w:space="0" w:color="auto"/>
              <w:left w:val="single" w:sz="4" w:space="0" w:color="auto"/>
            </w:tcBorders>
            <w:shd w:val="clear" w:color="auto" w:fill="FFFFFF"/>
            <w:textDirection w:val="btLr"/>
          </w:tcPr>
          <w:p w:rsidR="00A4351D" w:rsidRDefault="00094E8C">
            <w:pPr>
              <w:pStyle w:val="a7"/>
              <w:shd w:val="clear" w:color="auto" w:fill="auto"/>
              <w:spacing w:before="160" w:line="240" w:lineRule="auto"/>
              <w:jc w:val="both"/>
            </w:pPr>
            <w:r>
              <w:rPr>
                <w:b/>
                <w:bCs/>
              </w:rPr>
              <w:t>LOT No</w:t>
            </w:r>
          </w:p>
        </w:tc>
        <w:tc>
          <w:tcPr>
            <w:tcW w:w="1003" w:type="dxa"/>
            <w:vMerge w:val="restart"/>
            <w:tcBorders>
              <w:top w:val="single" w:sz="4" w:space="0" w:color="auto"/>
              <w:left w:val="single" w:sz="4" w:space="0" w:color="auto"/>
            </w:tcBorders>
            <w:shd w:val="clear" w:color="auto" w:fill="FFFFFF"/>
            <w:textDirection w:val="btLr"/>
          </w:tcPr>
          <w:p w:rsidR="00A4351D" w:rsidRDefault="00094E8C">
            <w:pPr>
              <w:pStyle w:val="a7"/>
              <w:shd w:val="clear" w:color="auto" w:fill="auto"/>
              <w:spacing w:before="340" w:line="240" w:lineRule="auto"/>
              <w:jc w:val="both"/>
            </w:pPr>
            <w:r>
              <w:rPr>
                <w:b/>
                <w:bCs/>
              </w:rPr>
              <w:t>PRODUCTION DATE</w:t>
            </w:r>
          </w:p>
        </w:tc>
        <w:tc>
          <w:tcPr>
            <w:tcW w:w="1080" w:type="dxa"/>
            <w:vMerge w:val="restart"/>
            <w:tcBorders>
              <w:top w:val="single" w:sz="4" w:space="0" w:color="auto"/>
              <w:left w:val="single" w:sz="4" w:space="0" w:color="auto"/>
            </w:tcBorders>
            <w:shd w:val="clear" w:color="auto" w:fill="FFFFFF"/>
            <w:textDirection w:val="btLr"/>
          </w:tcPr>
          <w:p w:rsidR="00A4351D" w:rsidRDefault="00094E8C">
            <w:pPr>
              <w:pStyle w:val="a7"/>
              <w:shd w:val="clear" w:color="auto" w:fill="auto"/>
              <w:tabs>
                <w:tab w:val="left" w:pos="2237"/>
              </w:tabs>
              <w:spacing w:after="140" w:line="240" w:lineRule="auto"/>
            </w:pPr>
            <w:r>
              <w:rPr>
                <w:b/>
                <w:bCs/>
              </w:rPr>
              <w:t>TIME</w:t>
            </w:r>
            <w:r>
              <w:rPr>
                <w:b/>
                <w:bCs/>
              </w:rPr>
              <w:tab/>
              <w:t>FROM</w:t>
            </w:r>
          </w:p>
          <w:p w:rsidR="00A4351D" w:rsidRDefault="00094E8C">
            <w:pPr>
              <w:pStyle w:val="a7"/>
              <w:shd w:val="clear" w:color="auto" w:fill="auto"/>
              <w:spacing w:after="140" w:line="240" w:lineRule="auto"/>
            </w:pPr>
            <w:r>
              <w:rPr>
                <w:b/>
                <w:bCs/>
              </w:rPr>
              <w:t>PRODUCTION DATE</w:t>
            </w:r>
          </w:p>
          <w:p w:rsidR="00A4351D" w:rsidRDefault="00094E8C">
            <w:pPr>
              <w:pStyle w:val="a7"/>
              <w:shd w:val="clear" w:color="auto" w:fill="auto"/>
              <w:spacing w:after="140" w:line="240" w:lineRule="auto"/>
            </w:pPr>
            <w:r>
              <w:rPr>
                <w:b/>
                <w:bCs/>
              </w:rPr>
              <w:t>(MONTHS)</w:t>
            </w:r>
          </w:p>
        </w:tc>
        <w:tc>
          <w:tcPr>
            <w:tcW w:w="653" w:type="dxa"/>
            <w:vMerge w:val="restart"/>
            <w:tcBorders>
              <w:top w:val="single" w:sz="4" w:space="0" w:color="auto"/>
              <w:left w:val="single" w:sz="4" w:space="0" w:color="auto"/>
            </w:tcBorders>
            <w:shd w:val="clear" w:color="auto" w:fill="FFFFFF"/>
            <w:textDirection w:val="btLr"/>
          </w:tcPr>
          <w:p w:rsidR="00A4351D" w:rsidRDefault="00094E8C">
            <w:pPr>
              <w:pStyle w:val="a7"/>
              <w:shd w:val="clear" w:color="auto" w:fill="auto"/>
              <w:spacing w:line="240" w:lineRule="auto"/>
            </w:pPr>
            <w:r>
              <w:rPr>
                <w:b/>
                <w:bCs/>
              </w:rPr>
              <w:t>STABILITY CONDITIONS</w:t>
            </w:r>
          </w:p>
        </w:tc>
        <w:tc>
          <w:tcPr>
            <w:tcW w:w="1085" w:type="dxa"/>
            <w:vMerge w:val="restart"/>
            <w:tcBorders>
              <w:top w:val="single" w:sz="4" w:space="0" w:color="auto"/>
              <w:left w:val="single" w:sz="4" w:space="0" w:color="auto"/>
            </w:tcBorders>
            <w:shd w:val="clear" w:color="auto" w:fill="FFFFFF"/>
            <w:textDirection w:val="btLr"/>
          </w:tcPr>
          <w:p w:rsidR="00A4351D" w:rsidRDefault="00094E8C">
            <w:pPr>
              <w:pStyle w:val="a7"/>
              <w:shd w:val="clear" w:color="auto" w:fill="auto"/>
              <w:spacing w:before="160" w:after="140" w:line="240" w:lineRule="auto"/>
            </w:pPr>
            <w:r>
              <w:rPr>
                <w:b/>
                <w:bCs/>
              </w:rPr>
              <w:t>Sulfate ion</w:t>
            </w:r>
          </w:p>
          <w:p w:rsidR="00A4351D" w:rsidRDefault="00094E8C">
            <w:pPr>
              <w:pStyle w:val="a7"/>
              <w:shd w:val="clear" w:color="auto" w:fill="auto"/>
              <w:spacing w:line="240" w:lineRule="auto"/>
            </w:pPr>
            <w:r>
              <w:rPr>
                <w:b/>
                <w:bCs/>
              </w:rPr>
              <w:t>(ppm)</w:t>
            </w:r>
          </w:p>
        </w:tc>
        <w:tc>
          <w:tcPr>
            <w:tcW w:w="1080" w:type="dxa"/>
            <w:vMerge w:val="restart"/>
            <w:tcBorders>
              <w:top w:val="single" w:sz="4" w:space="0" w:color="auto"/>
              <w:left w:val="single" w:sz="4" w:space="0" w:color="auto"/>
            </w:tcBorders>
            <w:shd w:val="clear" w:color="auto" w:fill="FFFFFF"/>
            <w:textDirection w:val="btLr"/>
          </w:tcPr>
          <w:p w:rsidR="00A4351D" w:rsidRDefault="00094E8C">
            <w:pPr>
              <w:pStyle w:val="a7"/>
              <w:shd w:val="clear" w:color="auto" w:fill="auto"/>
              <w:spacing w:before="160" w:line="372" w:lineRule="auto"/>
            </w:pPr>
            <w:r>
              <w:rPr>
                <w:b/>
                <w:bCs/>
              </w:rPr>
              <w:t>Glycerin Max 0.5 %</w:t>
            </w:r>
          </w:p>
        </w:tc>
        <w:tc>
          <w:tcPr>
            <w:tcW w:w="1080" w:type="dxa"/>
            <w:vMerge w:val="restart"/>
            <w:tcBorders>
              <w:top w:val="single" w:sz="4" w:space="0" w:color="auto"/>
              <w:left w:val="single" w:sz="4" w:space="0" w:color="auto"/>
            </w:tcBorders>
            <w:shd w:val="clear" w:color="auto" w:fill="FFFFFF"/>
            <w:textDirection w:val="btLr"/>
            <w:vAlign w:val="center"/>
          </w:tcPr>
          <w:p w:rsidR="00A4351D" w:rsidRDefault="00094E8C">
            <w:pPr>
              <w:pStyle w:val="a7"/>
              <w:shd w:val="clear" w:color="auto" w:fill="auto"/>
              <w:spacing w:after="140" w:line="240" w:lineRule="auto"/>
            </w:pPr>
            <w:r>
              <w:rPr>
                <w:b/>
                <w:bCs/>
              </w:rPr>
              <w:t>Free Formaldehyde</w:t>
            </w:r>
          </w:p>
          <w:p w:rsidR="00A4351D" w:rsidRDefault="00094E8C">
            <w:pPr>
              <w:pStyle w:val="a7"/>
              <w:shd w:val="clear" w:color="auto" w:fill="auto"/>
              <w:spacing w:line="240" w:lineRule="auto"/>
            </w:pPr>
            <w:r>
              <w:rPr>
                <w:b/>
                <w:bCs/>
              </w:rPr>
              <w:t>Max</w:t>
            </w:r>
            <w:r>
              <w:rPr>
                <w:b/>
                <w:bCs/>
              </w:rPr>
              <w:t xml:space="preserve"> 100 (pg/ml)</w:t>
            </w:r>
          </w:p>
        </w:tc>
        <w:tc>
          <w:tcPr>
            <w:tcW w:w="638" w:type="dxa"/>
            <w:vMerge w:val="restart"/>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pH</w:t>
            </w:r>
          </w:p>
        </w:tc>
        <w:tc>
          <w:tcPr>
            <w:tcW w:w="2486" w:type="dxa"/>
            <w:gridSpan w:val="2"/>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after="140" w:line="240" w:lineRule="auto"/>
            </w:pPr>
            <w:r>
              <w:rPr>
                <w:b/>
                <w:bCs/>
              </w:rPr>
              <w:t>ASSAY</w:t>
            </w:r>
          </w:p>
          <w:p w:rsidR="00A4351D" w:rsidRDefault="00094E8C">
            <w:pPr>
              <w:pStyle w:val="a7"/>
              <w:shd w:val="clear" w:color="auto" w:fill="auto"/>
              <w:spacing w:after="140" w:line="240" w:lineRule="auto"/>
            </w:pPr>
            <w:r>
              <w:rPr>
                <w:b/>
                <w:bCs/>
              </w:rPr>
              <w:t>(METABISULFITE)</w:t>
            </w:r>
          </w:p>
          <w:p w:rsidR="00A4351D" w:rsidRDefault="00094E8C">
            <w:pPr>
              <w:pStyle w:val="a7"/>
              <w:shd w:val="clear" w:color="auto" w:fill="auto"/>
              <w:spacing w:after="140" w:line="240" w:lineRule="auto"/>
            </w:pPr>
            <w:r>
              <w:rPr>
                <w:b/>
                <w:bCs/>
              </w:rPr>
              <w:t>(%)</w:t>
            </w:r>
          </w:p>
        </w:tc>
      </w:tr>
      <w:tr w:rsidR="00A4351D">
        <w:tblPrEx>
          <w:tblCellMar>
            <w:top w:w="0" w:type="dxa"/>
            <w:bottom w:w="0" w:type="dxa"/>
          </w:tblCellMar>
        </w:tblPrEx>
        <w:trPr>
          <w:trHeight w:hRule="exact" w:val="1709"/>
          <w:jc w:val="center"/>
        </w:trPr>
        <w:tc>
          <w:tcPr>
            <w:tcW w:w="658" w:type="dxa"/>
            <w:vMerge/>
            <w:tcBorders>
              <w:left w:val="single" w:sz="4" w:space="0" w:color="auto"/>
            </w:tcBorders>
            <w:shd w:val="clear" w:color="auto" w:fill="FFFFFF"/>
            <w:textDirection w:val="btLr"/>
          </w:tcPr>
          <w:p w:rsidR="00A4351D" w:rsidRDefault="00A4351D"/>
        </w:tc>
        <w:tc>
          <w:tcPr>
            <w:tcW w:w="1003" w:type="dxa"/>
            <w:vMerge/>
            <w:tcBorders>
              <w:left w:val="single" w:sz="4" w:space="0" w:color="auto"/>
            </w:tcBorders>
            <w:shd w:val="clear" w:color="auto" w:fill="FFFFFF"/>
            <w:textDirection w:val="btLr"/>
          </w:tcPr>
          <w:p w:rsidR="00A4351D" w:rsidRDefault="00A4351D"/>
        </w:tc>
        <w:tc>
          <w:tcPr>
            <w:tcW w:w="1080" w:type="dxa"/>
            <w:vMerge/>
            <w:tcBorders>
              <w:left w:val="single" w:sz="4" w:space="0" w:color="auto"/>
            </w:tcBorders>
            <w:shd w:val="clear" w:color="auto" w:fill="FFFFFF"/>
            <w:textDirection w:val="btLr"/>
          </w:tcPr>
          <w:p w:rsidR="00A4351D" w:rsidRDefault="00A4351D"/>
        </w:tc>
        <w:tc>
          <w:tcPr>
            <w:tcW w:w="653" w:type="dxa"/>
            <w:vMerge/>
            <w:tcBorders>
              <w:left w:val="single" w:sz="4" w:space="0" w:color="auto"/>
            </w:tcBorders>
            <w:shd w:val="clear" w:color="auto" w:fill="FFFFFF"/>
            <w:textDirection w:val="btLr"/>
          </w:tcPr>
          <w:p w:rsidR="00A4351D" w:rsidRDefault="00A4351D"/>
        </w:tc>
        <w:tc>
          <w:tcPr>
            <w:tcW w:w="1085" w:type="dxa"/>
            <w:vMerge/>
            <w:tcBorders>
              <w:left w:val="single" w:sz="4" w:space="0" w:color="auto"/>
            </w:tcBorders>
            <w:shd w:val="clear" w:color="auto" w:fill="FFFFFF"/>
            <w:textDirection w:val="btLr"/>
          </w:tcPr>
          <w:p w:rsidR="00A4351D" w:rsidRDefault="00A4351D"/>
        </w:tc>
        <w:tc>
          <w:tcPr>
            <w:tcW w:w="1080" w:type="dxa"/>
            <w:vMerge/>
            <w:tcBorders>
              <w:left w:val="single" w:sz="4" w:space="0" w:color="auto"/>
            </w:tcBorders>
            <w:shd w:val="clear" w:color="auto" w:fill="FFFFFF"/>
            <w:textDirection w:val="btLr"/>
          </w:tcPr>
          <w:p w:rsidR="00A4351D" w:rsidRDefault="00A4351D"/>
        </w:tc>
        <w:tc>
          <w:tcPr>
            <w:tcW w:w="1080" w:type="dxa"/>
            <w:vMerge/>
            <w:tcBorders>
              <w:left w:val="single" w:sz="4" w:space="0" w:color="auto"/>
            </w:tcBorders>
            <w:shd w:val="clear" w:color="auto" w:fill="FFFFFF"/>
            <w:textDirection w:val="btLr"/>
            <w:vAlign w:val="center"/>
          </w:tcPr>
          <w:p w:rsidR="00A4351D" w:rsidRDefault="00A4351D"/>
        </w:tc>
        <w:tc>
          <w:tcPr>
            <w:tcW w:w="638" w:type="dxa"/>
            <w:vMerge/>
            <w:tcBorders>
              <w:left w:val="single" w:sz="4" w:space="0" w:color="auto"/>
            </w:tcBorders>
            <w:shd w:val="clear" w:color="auto" w:fill="FFFFFF"/>
            <w:vAlign w:val="center"/>
          </w:tcPr>
          <w:p w:rsidR="00A4351D" w:rsidRDefault="00A4351D"/>
        </w:tc>
        <w:tc>
          <w:tcPr>
            <w:tcW w:w="1123"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372" w:lineRule="auto"/>
            </w:pPr>
            <w:r>
              <w:rPr>
                <w:b/>
                <w:bCs/>
              </w:rPr>
              <w:t>T=0 months</w:t>
            </w:r>
          </w:p>
        </w:tc>
        <w:tc>
          <w:tcPr>
            <w:tcW w:w="1363"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pPr>
            <w:r>
              <w:rPr>
                <w:b/>
                <w:bCs/>
              </w:rPr>
              <w:t>T= time from production date</w:t>
            </w:r>
          </w:p>
        </w:tc>
      </w:tr>
      <w:tr w:rsidR="00A4351D">
        <w:tblPrEx>
          <w:tblCellMar>
            <w:top w:w="0" w:type="dxa"/>
            <w:bottom w:w="0" w:type="dxa"/>
          </w:tblCellMar>
        </w:tblPrEx>
        <w:trPr>
          <w:trHeight w:hRule="exact" w:val="859"/>
          <w:jc w:val="center"/>
        </w:trPr>
        <w:tc>
          <w:tcPr>
            <w:tcW w:w="65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after="140" w:line="240" w:lineRule="auto"/>
            </w:pPr>
            <w:r>
              <w:rPr>
                <w:b/>
                <w:bCs/>
              </w:rPr>
              <w:t>05</w:t>
            </w:r>
            <w:r>
              <w:rPr>
                <w:b/>
                <w:bCs/>
              </w:rPr>
              <w:softHyphen/>
            </w:r>
          </w:p>
          <w:p w:rsidR="00A4351D" w:rsidRDefault="00094E8C">
            <w:pPr>
              <w:pStyle w:val="a7"/>
              <w:shd w:val="clear" w:color="auto" w:fill="auto"/>
              <w:spacing w:line="240" w:lineRule="auto"/>
            </w:pPr>
            <w:r>
              <w:rPr>
                <w:b/>
                <w:bCs/>
              </w:rPr>
              <w:t>01D</w:t>
            </w:r>
          </w:p>
        </w:tc>
        <w:tc>
          <w:tcPr>
            <w:tcW w:w="1003"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12/2005</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36</w:t>
            </w:r>
          </w:p>
        </w:tc>
        <w:tc>
          <w:tcPr>
            <w:tcW w:w="653" w:type="dxa"/>
            <w:tcBorders>
              <w:top w:val="single" w:sz="4" w:space="0" w:color="auto"/>
              <w:left w:val="single" w:sz="4" w:space="0" w:color="auto"/>
            </w:tcBorders>
            <w:shd w:val="clear" w:color="auto" w:fill="FFFFFF"/>
          </w:tcPr>
          <w:p w:rsidR="00A4351D" w:rsidRDefault="00094E8C">
            <w:pPr>
              <w:pStyle w:val="a7"/>
              <w:shd w:val="clear" w:color="auto" w:fill="auto"/>
              <w:spacing w:after="140" w:line="240" w:lineRule="auto"/>
            </w:pPr>
            <w:r>
              <w:t>25 ±</w:t>
            </w:r>
          </w:p>
          <w:p w:rsidR="00A4351D" w:rsidRDefault="00094E8C">
            <w:pPr>
              <w:pStyle w:val="a7"/>
              <w:shd w:val="clear" w:color="auto" w:fill="auto"/>
              <w:spacing w:line="240" w:lineRule="auto"/>
            </w:pPr>
            <w:r>
              <w:t>2 °C</w:t>
            </w:r>
          </w:p>
        </w:tc>
        <w:tc>
          <w:tcPr>
            <w:tcW w:w="1085"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850</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0.25</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&lt;100</w:t>
            </w:r>
          </w:p>
        </w:tc>
        <w:tc>
          <w:tcPr>
            <w:tcW w:w="63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4.2</w:t>
            </w:r>
          </w:p>
        </w:tc>
        <w:tc>
          <w:tcPr>
            <w:tcW w:w="1123"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108</w:t>
            </w:r>
          </w:p>
        </w:tc>
        <w:tc>
          <w:tcPr>
            <w:tcW w:w="136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t>35</w:t>
            </w:r>
          </w:p>
        </w:tc>
      </w:tr>
      <w:tr w:rsidR="00A4351D">
        <w:tblPrEx>
          <w:tblCellMar>
            <w:top w:w="0" w:type="dxa"/>
            <w:bottom w:w="0" w:type="dxa"/>
          </w:tblCellMar>
        </w:tblPrEx>
        <w:trPr>
          <w:trHeight w:hRule="exact" w:val="859"/>
          <w:jc w:val="center"/>
        </w:trPr>
        <w:tc>
          <w:tcPr>
            <w:tcW w:w="65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after="140" w:line="240" w:lineRule="auto"/>
            </w:pPr>
            <w:r>
              <w:rPr>
                <w:b/>
                <w:bCs/>
              </w:rPr>
              <w:t>06</w:t>
            </w:r>
            <w:r>
              <w:rPr>
                <w:b/>
                <w:bCs/>
              </w:rPr>
              <w:softHyphen/>
            </w:r>
          </w:p>
          <w:p w:rsidR="00A4351D" w:rsidRDefault="00094E8C">
            <w:pPr>
              <w:pStyle w:val="a7"/>
              <w:shd w:val="clear" w:color="auto" w:fill="auto"/>
              <w:spacing w:line="240" w:lineRule="auto"/>
            </w:pPr>
            <w:r>
              <w:rPr>
                <w:b/>
                <w:bCs/>
              </w:rPr>
              <w:t>01D</w:t>
            </w:r>
          </w:p>
        </w:tc>
        <w:tc>
          <w:tcPr>
            <w:tcW w:w="1003"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10/2006</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30</w:t>
            </w:r>
          </w:p>
        </w:tc>
        <w:tc>
          <w:tcPr>
            <w:tcW w:w="653" w:type="dxa"/>
            <w:tcBorders>
              <w:top w:val="single" w:sz="4" w:space="0" w:color="auto"/>
              <w:left w:val="single" w:sz="4" w:space="0" w:color="auto"/>
            </w:tcBorders>
            <w:shd w:val="clear" w:color="auto" w:fill="FFFFFF"/>
          </w:tcPr>
          <w:p w:rsidR="00A4351D" w:rsidRDefault="00094E8C">
            <w:pPr>
              <w:pStyle w:val="a7"/>
              <w:shd w:val="clear" w:color="auto" w:fill="auto"/>
              <w:spacing w:after="140" w:line="240" w:lineRule="auto"/>
            </w:pPr>
            <w:r>
              <w:t>25 ±</w:t>
            </w:r>
          </w:p>
          <w:p w:rsidR="00A4351D" w:rsidRDefault="00094E8C">
            <w:pPr>
              <w:pStyle w:val="a7"/>
              <w:shd w:val="clear" w:color="auto" w:fill="auto"/>
              <w:spacing w:line="240" w:lineRule="auto"/>
            </w:pPr>
            <w:r>
              <w:t>2 °C</w:t>
            </w:r>
          </w:p>
        </w:tc>
        <w:tc>
          <w:tcPr>
            <w:tcW w:w="1085"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810</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0.20</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&lt;100</w:t>
            </w:r>
          </w:p>
        </w:tc>
        <w:tc>
          <w:tcPr>
            <w:tcW w:w="63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4.3</w:t>
            </w:r>
          </w:p>
        </w:tc>
        <w:tc>
          <w:tcPr>
            <w:tcW w:w="1123"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103.9</w:t>
            </w:r>
          </w:p>
        </w:tc>
        <w:tc>
          <w:tcPr>
            <w:tcW w:w="136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t>41</w:t>
            </w:r>
          </w:p>
        </w:tc>
      </w:tr>
      <w:tr w:rsidR="00A4351D">
        <w:tblPrEx>
          <w:tblCellMar>
            <w:top w:w="0" w:type="dxa"/>
            <w:bottom w:w="0" w:type="dxa"/>
          </w:tblCellMar>
        </w:tblPrEx>
        <w:trPr>
          <w:trHeight w:hRule="exact" w:val="859"/>
          <w:jc w:val="center"/>
        </w:trPr>
        <w:tc>
          <w:tcPr>
            <w:tcW w:w="65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after="140" w:line="240" w:lineRule="auto"/>
            </w:pPr>
            <w:r>
              <w:rPr>
                <w:b/>
                <w:bCs/>
              </w:rPr>
              <w:t>06</w:t>
            </w:r>
            <w:r>
              <w:rPr>
                <w:b/>
                <w:bCs/>
              </w:rPr>
              <w:softHyphen/>
            </w:r>
          </w:p>
          <w:p w:rsidR="00A4351D" w:rsidRDefault="00094E8C">
            <w:pPr>
              <w:pStyle w:val="a7"/>
              <w:shd w:val="clear" w:color="auto" w:fill="auto"/>
              <w:spacing w:line="240" w:lineRule="auto"/>
            </w:pPr>
            <w:r>
              <w:rPr>
                <w:b/>
                <w:bCs/>
              </w:rPr>
              <w:t>02D</w:t>
            </w:r>
          </w:p>
        </w:tc>
        <w:tc>
          <w:tcPr>
            <w:tcW w:w="1003"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10/2006</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30</w:t>
            </w:r>
          </w:p>
        </w:tc>
        <w:tc>
          <w:tcPr>
            <w:tcW w:w="653" w:type="dxa"/>
            <w:tcBorders>
              <w:top w:val="single" w:sz="4" w:space="0" w:color="auto"/>
              <w:left w:val="single" w:sz="4" w:space="0" w:color="auto"/>
            </w:tcBorders>
            <w:shd w:val="clear" w:color="auto" w:fill="FFFFFF"/>
          </w:tcPr>
          <w:p w:rsidR="00A4351D" w:rsidRDefault="00094E8C">
            <w:pPr>
              <w:pStyle w:val="a7"/>
              <w:shd w:val="clear" w:color="auto" w:fill="auto"/>
              <w:spacing w:after="140" w:line="240" w:lineRule="auto"/>
            </w:pPr>
            <w:r>
              <w:t>25 ±</w:t>
            </w:r>
          </w:p>
          <w:p w:rsidR="00A4351D" w:rsidRDefault="00094E8C">
            <w:pPr>
              <w:pStyle w:val="a7"/>
              <w:shd w:val="clear" w:color="auto" w:fill="auto"/>
              <w:spacing w:line="240" w:lineRule="auto"/>
            </w:pPr>
            <w:r>
              <w:t>2 °C</w:t>
            </w:r>
          </w:p>
        </w:tc>
        <w:tc>
          <w:tcPr>
            <w:tcW w:w="1085"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840</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0.21</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&lt;100</w:t>
            </w:r>
          </w:p>
        </w:tc>
        <w:tc>
          <w:tcPr>
            <w:tcW w:w="63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4.2</w:t>
            </w:r>
          </w:p>
        </w:tc>
        <w:tc>
          <w:tcPr>
            <w:tcW w:w="1123"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104</w:t>
            </w:r>
          </w:p>
        </w:tc>
        <w:tc>
          <w:tcPr>
            <w:tcW w:w="136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t>35</w:t>
            </w:r>
          </w:p>
        </w:tc>
      </w:tr>
      <w:tr w:rsidR="00A4351D">
        <w:tblPrEx>
          <w:tblCellMar>
            <w:top w:w="0" w:type="dxa"/>
            <w:bottom w:w="0" w:type="dxa"/>
          </w:tblCellMar>
        </w:tblPrEx>
        <w:trPr>
          <w:trHeight w:hRule="exact" w:val="1286"/>
          <w:jc w:val="center"/>
        </w:trPr>
        <w:tc>
          <w:tcPr>
            <w:tcW w:w="65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after="140" w:line="240" w:lineRule="auto"/>
            </w:pPr>
            <w:r>
              <w:rPr>
                <w:b/>
                <w:bCs/>
              </w:rPr>
              <w:t>08</w:t>
            </w:r>
            <w:r>
              <w:rPr>
                <w:b/>
                <w:bCs/>
              </w:rPr>
              <w:softHyphen/>
            </w:r>
          </w:p>
          <w:p w:rsidR="00A4351D" w:rsidRDefault="00094E8C">
            <w:pPr>
              <w:pStyle w:val="a7"/>
              <w:shd w:val="clear" w:color="auto" w:fill="auto"/>
              <w:spacing w:line="240" w:lineRule="auto"/>
            </w:pPr>
            <w:r>
              <w:rPr>
                <w:b/>
                <w:bCs/>
              </w:rPr>
              <w:t>01</w:t>
            </w:r>
          </w:p>
        </w:tc>
        <w:tc>
          <w:tcPr>
            <w:tcW w:w="1003"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02/2008</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6</w:t>
            </w:r>
          </w:p>
        </w:tc>
        <w:tc>
          <w:tcPr>
            <w:tcW w:w="653" w:type="dxa"/>
            <w:tcBorders>
              <w:top w:val="single" w:sz="4" w:space="0" w:color="auto"/>
              <w:left w:val="single" w:sz="4" w:space="0" w:color="auto"/>
            </w:tcBorders>
            <w:shd w:val="clear" w:color="auto" w:fill="FFFFFF"/>
          </w:tcPr>
          <w:p w:rsidR="00A4351D" w:rsidRDefault="00094E8C">
            <w:pPr>
              <w:pStyle w:val="a7"/>
              <w:shd w:val="clear" w:color="auto" w:fill="auto"/>
              <w:spacing w:after="140" w:line="240" w:lineRule="auto"/>
            </w:pPr>
            <w:r>
              <w:t>40 ±</w:t>
            </w:r>
          </w:p>
          <w:p w:rsidR="00A4351D" w:rsidRDefault="00094E8C">
            <w:pPr>
              <w:pStyle w:val="a7"/>
              <w:shd w:val="clear" w:color="auto" w:fill="auto"/>
              <w:spacing w:line="240" w:lineRule="auto"/>
            </w:pPr>
            <w:r>
              <w:t>2 °C</w:t>
            </w:r>
          </w:p>
        </w:tc>
        <w:tc>
          <w:tcPr>
            <w:tcW w:w="1085"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780</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0.15</w:t>
            </w:r>
          </w:p>
        </w:tc>
        <w:tc>
          <w:tcPr>
            <w:tcW w:w="108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&lt;100</w:t>
            </w:r>
          </w:p>
        </w:tc>
        <w:tc>
          <w:tcPr>
            <w:tcW w:w="63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4.35</w:t>
            </w:r>
          </w:p>
        </w:tc>
        <w:tc>
          <w:tcPr>
            <w:tcW w:w="1123"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108</w:t>
            </w:r>
          </w:p>
        </w:tc>
        <w:tc>
          <w:tcPr>
            <w:tcW w:w="136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t>43</w:t>
            </w:r>
          </w:p>
        </w:tc>
      </w:tr>
      <w:tr w:rsidR="00A4351D">
        <w:tblPrEx>
          <w:tblCellMar>
            <w:top w:w="0" w:type="dxa"/>
            <w:bottom w:w="0" w:type="dxa"/>
          </w:tblCellMar>
        </w:tblPrEx>
        <w:trPr>
          <w:trHeight w:hRule="exact" w:val="1291"/>
          <w:jc w:val="center"/>
        </w:trPr>
        <w:tc>
          <w:tcPr>
            <w:tcW w:w="658"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after="140" w:line="240" w:lineRule="auto"/>
            </w:pPr>
            <w:r>
              <w:rPr>
                <w:b/>
                <w:bCs/>
              </w:rPr>
              <w:t>08</w:t>
            </w:r>
            <w:r>
              <w:rPr>
                <w:b/>
                <w:bCs/>
              </w:rPr>
              <w:softHyphen/>
            </w:r>
          </w:p>
          <w:p w:rsidR="00A4351D" w:rsidRDefault="00094E8C">
            <w:pPr>
              <w:pStyle w:val="a7"/>
              <w:shd w:val="clear" w:color="auto" w:fill="auto"/>
              <w:spacing w:line="240" w:lineRule="auto"/>
            </w:pPr>
            <w:r>
              <w:rPr>
                <w:b/>
                <w:bCs/>
              </w:rPr>
              <w:t>01</w:t>
            </w:r>
          </w:p>
        </w:tc>
        <w:tc>
          <w:tcPr>
            <w:tcW w:w="1003"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t>02/2008</w:t>
            </w:r>
          </w:p>
        </w:tc>
        <w:tc>
          <w:tcPr>
            <w:tcW w:w="1080"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t>18</w:t>
            </w:r>
          </w:p>
        </w:tc>
        <w:tc>
          <w:tcPr>
            <w:tcW w:w="653" w:type="dxa"/>
            <w:tcBorders>
              <w:top w:val="single" w:sz="4" w:space="0" w:color="auto"/>
              <w:left w:val="single" w:sz="4" w:space="0" w:color="auto"/>
              <w:bottom w:val="single" w:sz="4" w:space="0" w:color="auto"/>
            </w:tcBorders>
            <w:shd w:val="clear" w:color="auto" w:fill="FFFFFF"/>
          </w:tcPr>
          <w:p w:rsidR="00A4351D" w:rsidRDefault="00094E8C">
            <w:pPr>
              <w:pStyle w:val="a7"/>
              <w:shd w:val="clear" w:color="auto" w:fill="auto"/>
              <w:spacing w:after="140" w:line="240" w:lineRule="auto"/>
            </w:pPr>
            <w:r>
              <w:t>30 ±</w:t>
            </w:r>
          </w:p>
          <w:p w:rsidR="00A4351D" w:rsidRDefault="00094E8C">
            <w:pPr>
              <w:pStyle w:val="a7"/>
              <w:shd w:val="clear" w:color="auto" w:fill="auto"/>
              <w:spacing w:line="240" w:lineRule="auto"/>
            </w:pPr>
            <w:r>
              <w:t>2 °C</w:t>
            </w:r>
          </w:p>
        </w:tc>
        <w:tc>
          <w:tcPr>
            <w:tcW w:w="1085"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t>650</w:t>
            </w:r>
          </w:p>
        </w:tc>
        <w:tc>
          <w:tcPr>
            <w:tcW w:w="1080"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t>0.17</w:t>
            </w:r>
          </w:p>
        </w:tc>
        <w:tc>
          <w:tcPr>
            <w:tcW w:w="1080"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t>&lt;100</w:t>
            </w:r>
          </w:p>
        </w:tc>
        <w:tc>
          <w:tcPr>
            <w:tcW w:w="638"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t>4.8</w:t>
            </w:r>
          </w:p>
        </w:tc>
        <w:tc>
          <w:tcPr>
            <w:tcW w:w="1123"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t>108</w:t>
            </w:r>
          </w:p>
        </w:tc>
        <w:tc>
          <w:tcPr>
            <w:tcW w:w="1363" w:type="dxa"/>
            <w:tcBorders>
              <w:top w:val="single" w:sz="4" w:space="0" w:color="auto"/>
              <w:left w:val="single" w:sz="4" w:space="0" w:color="auto"/>
              <w:bottom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t>55</w:t>
            </w:r>
          </w:p>
        </w:tc>
      </w:tr>
    </w:tbl>
    <w:p w:rsidR="00A4351D" w:rsidRDefault="00A4351D">
      <w:pPr>
        <w:spacing w:after="419" w:line="1" w:lineRule="exact"/>
      </w:pPr>
    </w:p>
    <w:p w:rsidR="00A4351D" w:rsidRDefault="00094E8C">
      <w:pPr>
        <w:pStyle w:val="1"/>
        <w:numPr>
          <w:ilvl w:val="0"/>
          <w:numId w:val="18"/>
        </w:numPr>
        <w:shd w:val="clear" w:color="auto" w:fill="auto"/>
        <w:spacing w:after="140" w:line="240" w:lineRule="auto"/>
        <w:ind w:firstLine="720"/>
      </w:pPr>
      <w:r>
        <w:rPr>
          <w:b/>
          <w:bCs/>
          <w:i/>
          <w:iCs/>
        </w:rPr>
        <w:t>P.2.3. Manufacturing Process Development</w:t>
      </w:r>
    </w:p>
    <w:p w:rsidR="00A4351D" w:rsidRDefault="00094E8C">
      <w:pPr>
        <w:pStyle w:val="1"/>
        <w:shd w:val="clear" w:color="auto" w:fill="auto"/>
        <w:spacing w:after="280" w:line="240" w:lineRule="auto"/>
        <w:ind w:firstLine="720"/>
      </w:pPr>
      <w:r>
        <w:rPr>
          <w:b/>
          <w:bCs/>
        </w:rPr>
        <w:t>Method of preparation</w:t>
      </w:r>
    </w:p>
    <w:p w:rsidR="00A4351D" w:rsidRDefault="00094E8C">
      <w:pPr>
        <w:pStyle w:val="1"/>
        <w:shd w:val="clear" w:color="auto" w:fill="auto"/>
        <w:spacing w:after="420"/>
        <w:ind w:left="720"/>
        <w:jc w:val="both"/>
      </w:pPr>
      <w:r>
        <w:rPr>
          <w:lang w:val="fr-FR" w:eastAsia="fr-FR" w:bidi="fr-FR"/>
        </w:rPr>
        <w:t xml:space="preserve">The manufacturing process is well controlled and in-process testing is adequate </w:t>
      </w:r>
      <w:r>
        <w:rPr>
          <w:lang w:val="fr-FR" w:eastAsia="fr-FR" w:bidi="fr-FR"/>
        </w:rPr>
        <w:t>to ensure consistent quality in the product.</w:t>
      </w:r>
    </w:p>
    <w:p w:rsidR="00A4351D" w:rsidRDefault="00094E8C">
      <w:pPr>
        <w:pStyle w:val="1"/>
        <w:shd w:val="clear" w:color="auto" w:fill="auto"/>
        <w:spacing w:after="420"/>
        <w:ind w:firstLine="720"/>
      </w:pPr>
      <w:r>
        <w:rPr>
          <w:b/>
          <w:bCs/>
        </w:rPr>
        <w:t>Control of starting materials</w:t>
      </w:r>
    </w:p>
    <w:p w:rsidR="00A4351D" w:rsidRDefault="00094E8C">
      <w:pPr>
        <w:pStyle w:val="1"/>
        <w:shd w:val="clear" w:color="auto" w:fill="auto"/>
        <w:ind w:firstLine="720"/>
      </w:pPr>
      <w:r>
        <w:rPr>
          <w:b/>
          <w:bCs/>
          <w:i/>
          <w:iCs/>
        </w:rPr>
        <w:lastRenderedPageBreak/>
        <w:t>Active substance:</w:t>
      </w:r>
      <w:r>
        <w:rPr>
          <w:b/>
          <w:bCs/>
        </w:rPr>
        <w:t xml:space="preserve"> PARACETAMOL</w:t>
      </w:r>
    </w:p>
    <w:p w:rsidR="00A4351D" w:rsidRDefault="00094E8C">
      <w:pPr>
        <w:pStyle w:val="1"/>
        <w:shd w:val="clear" w:color="auto" w:fill="auto"/>
        <w:ind w:firstLine="720"/>
      </w:pPr>
      <w:r>
        <w:t>According to current Ph. Eur.</w:t>
      </w:r>
    </w:p>
    <w:p w:rsidR="00A4351D" w:rsidRDefault="00094E8C">
      <w:pPr>
        <w:pStyle w:val="1"/>
        <w:shd w:val="clear" w:color="auto" w:fill="auto"/>
        <w:ind w:left="720"/>
        <w:jc w:val="both"/>
      </w:pPr>
      <w:r>
        <w:t>A detailed specification for the active substance including tests for appearance, particle size, identification, total vi</w:t>
      </w:r>
      <w:r>
        <w:t>able aerobic count, combined yeast and moulds, specified microorganisms, related substances, residual solvents, loss on drying, sulfated ash, heavy metals, clarity and colour of solution and assay was provided.</w:t>
      </w:r>
    </w:p>
    <w:p w:rsidR="00A4351D" w:rsidRDefault="00094E8C">
      <w:pPr>
        <w:pStyle w:val="1"/>
        <w:shd w:val="clear" w:color="auto" w:fill="auto"/>
        <w:spacing w:after="420"/>
        <w:ind w:left="720"/>
        <w:jc w:val="both"/>
      </w:pPr>
      <w:r>
        <w:t>The active is packaged in a double polyethyle</w:t>
      </w:r>
      <w:r>
        <w:t>ne liner (double layers of low density PE) in drums.</w:t>
      </w:r>
    </w:p>
    <w:p w:rsidR="00A4351D" w:rsidRDefault="00094E8C">
      <w:pPr>
        <w:pStyle w:val="1"/>
        <w:shd w:val="clear" w:color="auto" w:fill="auto"/>
        <w:ind w:firstLine="720"/>
      </w:pPr>
      <w:r>
        <w:rPr>
          <w:b/>
          <w:bCs/>
          <w:i/>
          <w:iCs/>
        </w:rPr>
        <w:t>Excipients:</w:t>
      </w:r>
    </w:p>
    <w:p w:rsidR="00A4351D" w:rsidRDefault="00094E8C">
      <w:pPr>
        <w:pStyle w:val="1"/>
        <w:shd w:val="clear" w:color="auto" w:fill="auto"/>
        <w:ind w:left="720"/>
        <w:jc w:val="both"/>
      </w:pPr>
      <w:r>
        <w:t>Glycerol formal, Ethanol anhydrous, Sodium metabisulfite, Disodium phosphate dodecahydrate, Water for Injection, D-EDTA, and Nitrogen comply with the appropriate current monographs of the Ph.</w:t>
      </w:r>
      <w:r>
        <w:t xml:space="preserve"> Eur. or the in house methods.</w:t>
      </w:r>
    </w:p>
    <w:p w:rsidR="00A4351D" w:rsidRDefault="00094E8C">
      <w:pPr>
        <w:pStyle w:val="1"/>
        <w:shd w:val="clear" w:color="auto" w:fill="auto"/>
        <w:ind w:left="720"/>
        <w:jc w:val="both"/>
      </w:pPr>
      <w:r>
        <w:t>The excipients are tested for microbial bioburden according to the current Ph. Eur. method.</w:t>
      </w:r>
    </w:p>
    <w:p w:rsidR="00A4351D" w:rsidRDefault="00094E8C">
      <w:pPr>
        <w:pStyle w:val="1"/>
        <w:shd w:val="clear" w:color="auto" w:fill="auto"/>
        <w:ind w:left="720"/>
        <w:jc w:val="both"/>
      </w:pPr>
      <w:r>
        <w:t xml:space="preserve">The manufacture of the solution for injection is based essentially on the dissolution of the active substance in a cosolvent system. </w:t>
      </w:r>
      <w:r>
        <w:t xml:space="preserve">The dissolution is facilitated by ensuring that the pH of the solution lies in a range at which the active substance is stable. The most critical step of the process is to ensure that the manufacture is conducted in an atmosphere free of oxygen, since the </w:t>
      </w:r>
      <w:r>
        <w:t>active substance is prone to oxidation, when in the form of a solution.</w:t>
      </w:r>
    </w:p>
    <w:p w:rsidR="00A4351D" w:rsidRDefault="00094E8C">
      <w:pPr>
        <w:pStyle w:val="1"/>
        <w:shd w:val="clear" w:color="auto" w:fill="auto"/>
        <w:ind w:left="720"/>
        <w:jc w:val="both"/>
      </w:pPr>
      <w:r>
        <w:t>Terminal sterilization with moist heat is not possible due to the increase in total degradation product levels it causes., A combination of aseptic filtration and aseptic processing ha</w:t>
      </w:r>
      <w:r>
        <w:t>s to be followed, instead. Final full scale batches showed full compliance with the finished product specifications.</w:t>
      </w:r>
    </w:p>
    <w:p w:rsidR="00A4351D" w:rsidRDefault="00094E8C">
      <w:pPr>
        <w:pStyle w:val="1"/>
        <w:shd w:val="clear" w:color="auto" w:fill="auto"/>
        <w:ind w:left="720"/>
        <w:jc w:val="both"/>
      </w:pPr>
      <w:r>
        <w:t>The two following minor points of process parameter adjustments have been established:</w:t>
      </w:r>
    </w:p>
    <w:p w:rsidR="00A4351D" w:rsidRDefault="00094E8C">
      <w:pPr>
        <w:pStyle w:val="1"/>
        <w:numPr>
          <w:ilvl w:val="0"/>
          <w:numId w:val="13"/>
        </w:numPr>
        <w:shd w:val="clear" w:color="auto" w:fill="auto"/>
        <w:tabs>
          <w:tab w:val="left" w:pos="2180"/>
        </w:tabs>
        <w:spacing w:line="341" w:lineRule="auto"/>
        <w:ind w:left="1820"/>
      </w:pPr>
      <w:r>
        <w:t>The holding time prior to filtration has been reduce</w:t>
      </w:r>
      <w:r>
        <w:t>d to 4 hours.</w:t>
      </w:r>
    </w:p>
    <w:p w:rsidR="00A4351D" w:rsidRDefault="00094E8C">
      <w:pPr>
        <w:pStyle w:val="1"/>
        <w:numPr>
          <w:ilvl w:val="0"/>
          <w:numId w:val="13"/>
        </w:numPr>
        <w:shd w:val="clear" w:color="auto" w:fill="auto"/>
        <w:tabs>
          <w:tab w:val="left" w:pos="2180"/>
        </w:tabs>
        <w:spacing w:line="353" w:lineRule="auto"/>
        <w:ind w:left="2180" w:hanging="360"/>
        <w:jc w:val="both"/>
      </w:pPr>
      <w:r>
        <w:t>Over killing conditions during the production are used to provide a sterility assurance level (SAL) of 10</w:t>
      </w:r>
      <w:r>
        <w:rPr>
          <w:vertAlign w:val="superscript"/>
        </w:rPr>
        <w:t>-8</w:t>
      </w:r>
      <w:r>
        <w:t>.</w:t>
      </w:r>
    </w:p>
    <w:p w:rsidR="00A4351D" w:rsidRDefault="00094E8C">
      <w:pPr>
        <w:pStyle w:val="1"/>
        <w:shd w:val="clear" w:color="auto" w:fill="auto"/>
        <w:ind w:firstLine="720"/>
      </w:pPr>
      <w:r>
        <w:t>The impact on p-aminophenol formation is minor, from 0.0% to 0.0001%.</w:t>
      </w:r>
    </w:p>
    <w:p w:rsidR="00A4351D" w:rsidRDefault="00094E8C">
      <w:pPr>
        <w:pStyle w:val="1"/>
        <w:shd w:val="clear" w:color="auto" w:fill="auto"/>
        <w:ind w:left="720"/>
        <w:jc w:val="both"/>
      </w:pPr>
      <w:r>
        <w:t xml:space="preserve">The manufacturing formulae for the proposed batch sizes were </w:t>
      </w:r>
      <w:r>
        <w:t>presented for the solution for injection formulations.</w:t>
      </w:r>
    </w:p>
    <w:p w:rsidR="00A4351D" w:rsidRDefault="00094E8C">
      <w:pPr>
        <w:pStyle w:val="1"/>
        <w:shd w:val="clear" w:color="auto" w:fill="auto"/>
        <w:ind w:left="720"/>
        <w:jc w:val="both"/>
      </w:pPr>
      <w:r>
        <w:t>The manufacturing process for the solution for injection is a standard process consisting of a solution preparation followed by sterilisation by filtration and filling into ampoules in an aseptic proce</w:t>
      </w:r>
      <w:r>
        <w:t xml:space="preserve">ssing zone. The sterilisation methods of equipment and primary packaging are considered appropriate. The manufacturing process has been described in sufficient detail. Details of the </w:t>
      </w:r>
      <w:r>
        <w:lastRenderedPageBreak/>
        <w:t>in-process controls including pH measurements , clarity, bioburden level,</w:t>
      </w:r>
      <w:r>
        <w:t xml:space="preserve"> filter integrity, fill volume/weight, oxygen headspace and vial defect controls along with the specifications set were provided.</w:t>
      </w:r>
    </w:p>
    <w:p w:rsidR="00A4351D" w:rsidRDefault="00094E8C">
      <w:pPr>
        <w:pStyle w:val="1"/>
        <w:shd w:val="clear" w:color="auto" w:fill="auto"/>
        <w:ind w:left="720"/>
        <w:jc w:val="both"/>
      </w:pPr>
      <w:r>
        <w:t xml:space="preserve">Batch analysis data for the solution for injection demonstrate that the respective manufacturing process consistently renders </w:t>
      </w:r>
      <w:r>
        <w:t>a product that meets the required specifications.</w:t>
      </w:r>
    </w:p>
    <w:p w:rsidR="00A4351D" w:rsidRDefault="00094E8C">
      <w:pPr>
        <w:pStyle w:val="1"/>
        <w:shd w:val="clear" w:color="auto" w:fill="auto"/>
        <w:spacing w:after="420"/>
        <w:ind w:left="720"/>
        <w:jc w:val="both"/>
      </w:pPr>
      <w:r>
        <w:t>Satisfactory process validation data demonstrate the processes to be reliable and robust and a validation protocol for the initial commercial batches was presented.</w:t>
      </w:r>
    </w:p>
    <w:p w:rsidR="00A4351D" w:rsidRDefault="00094E8C">
      <w:pPr>
        <w:pStyle w:val="30"/>
        <w:keepNext/>
        <w:keepLines/>
        <w:shd w:val="clear" w:color="auto" w:fill="auto"/>
        <w:ind w:firstLine="720"/>
      </w:pPr>
      <w:bookmarkStart w:id="21" w:name="bookmark20"/>
      <w:bookmarkStart w:id="22" w:name="bookmark21"/>
      <w:r>
        <w:t>Control of finished product</w:t>
      </w:r>
      <w:bookmarkEnd w:id="21"/>
      <w:bookmarkEnd w:id="22"/>
    </w:p>
    <w:p w:rsidR="00A4351D" w:rsidRDefault="00094E8C">
      <w:pPr>
        <w:pStyle w:val="1"/>
        <w:shd w:val="clear" w:color="auto" w:fill="auto"/>
        <w:spacing w:after="2540"/>
        <w:ind w:left="720"/>
        <w:jc w:val="both"/>
      </w:pPr>
      <w:r>
        <w:t xml:space="preserve">The finished </w:t>
      </w:r>
      <w:r>
        <w:t>product consists of an aqueous organic solution (150 mg/ml paracetamol) adjusted to a target pH value of 6.4.</w:t>
      </w:r>
    </w:p>
    <w:p w:rsidR="00A4351D" w:rsidRDefault="00094E8C">
      <w:pPr>
        <w:pStyle w:val="1"/>
        <w:shd w:val="clear" w:color="auto" w:fill="auto"/>
        <w:spacing w:line="240" w:lineRule="auto"/>
        <w:ind w:firstLine="720"/>
      </w:pPr>
      <w:r>
        <w:rPr>
          <w:b/>
          <w:bCs/>
          <w:i/>
          <w:iCs/>
        </w:rPr>
        <w:t>Solution for infusion - Specifications of the finished product</w:t>
      </w: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3773"/>
        <w:gridCol w:w="5165"/>
      </w:tblGrid>
      <w:tr w:rsidR="00A4351D">
        <w:tblPrEx>
          <w:tblCellMar>
            <w:top w:w="0" w:type="dxa"/>
            <w:bottom w:w="0" w:type="dxa"/>
          </w:tblCellMar>
        </w:tblPrEx>
        <w:trPr>
          <w:trHeight w:hRule="exact" w:val="432"/>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lastRenderedPageBreak/>
              <w:t>Determinations</w:t>
            </w:r>
          </w:p>
        </w:tc>
        <w:tc>
          <w:tcPr>
            <w:tcW w:w="5165" w:type="dxa"/>
            <w:tcBorders>
              <w:top w:val="single" w:sz="4" w:space="0" w:color="auto"/>
              <w:left w:val="single" w:sz="4" w:space="0" w:color="auto"/>
              <w:right w:val="single" w:sz="4" w:space="0" w:color="auto"/>
            </w:tcBorders>
            <w:shd w:val="clear" w:color="auto" w:fill="DFDFDF"/>
          </w:tcPr>
          <w:p w:rsidR="00A4351D" w:rsidRDefault="00094E8C">
            <w:pPr>
              <w:pStyle w:val="a7"/>
              <w:shd w:val="clear" w:color="auto" w:fill="auto"/>
              <w:spacing w:line="240" w:lineRule="auto"/>
            </w:pPr>
            <w:r>
              <w:rPr>
                <w:b/>
                <w:bCs/>
                <w:i/>
                <w:iCs/>
              </w:rPr>
              <w:t>Specifications</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rPr>
              <w:t>Appearance</w:t>
            </w:r>
          </w:p>
        </w:tc>
        <w:tc>
          <w:tcPr>
            <w:tcW w:w="5165"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jc w:val="both"/>
            </w:pPr>
            <w:r>
              <w:t xml:space="preserve">Limpid, colorless to slightly yellow, </w:t>
            </w:r>
            <w:r>
              <w:t>odorless solution free of visible particles</w:t>
            </w:r>
          </w:p>
        </w:tc>
      </w:tr>
      <w:tr w:rsidR="00A4351D">
        <w:tblPrEx>
          <w:tblCellMar>
            <w:top w:w="0" w:type="dxa"/>
            <w:bottom w:w="0" w:type="dxa"/>
          </w:tblCellMar>
        </w:tblPrEx>
        <w:trPr>
          <w:trHeight w:hRule="exact" w:val="3408"/>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lang w:val="de-DE" w:eastAsia="de-DE" w:bidi="de-DE"/>
              </w:rPr>
              <w:t xml:space="preserve">Identification </w:t>
            </w:r>
            <w:r>
              <w:rPr>
                <w:b/>
                <w:bCs/>
                <w:i/>
                <w:iCs/>
              </w:rPr>
              <w:t xml:space="preserve">of </w:t>
            </w:r>
            <w:r>
              <w:rPr>
                <w:b/>
                <w:bCs/>
                <w:i/>
                <w:iCs/>
                <w:lang w:val="de-DE" w:eastAsia="de-DE" w:bidi="de-DE"/>
              </w:rPr>
              <w:t>Paracetamol</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numPr>
                <w:ilvl w:val="0"/>
                <w:numId w:val="19"/>
              </w:numPr>
              <w:shd w:val="clear" w:color="auto" w:fill="auto"/>
              <w:tabs>
                <w:tab w:val="left" w:pos="278"/>
              </w:tabs>
              <w:jc w:val="both"/>
            </w:pPr>
            <w:r>
              <w:t>HPLC - Retention time: The retention time of the major peak in the chromatogram of the Assay preparation corresponds to that in the chromatogram of the Standard preparation.</w:t>
            </w:r>
          </w:p>
          <w:p w:rsidR="00A4351D" w:rsidRDefault="00094E8C">
            <w:pPr>
              <w:pStyle w:val="a7"/>
              <w:numPr>
                <w:ilvl w:val="0"/>
                <w:numId w:val="19"/>
              </w:numPr>
              <w:shd w:val="clear" w:color="auto" w:fill="auto"/>
              <w:tabs>
                <w:tab w:val="left" w:pos="274"/>
              </w:tabs>
              <w:jc w:val="both"/>
            </w:pPr>
            <w:r>
              <w:t xml:space="preserve">HPLC - </w:t>
            </w:r>
            <w:r>
              <w:t>Diode array: The spectra of the peak of the drug substance in the sample solution is identical to the spectra of the peak of the drug substance in the standard preparation.</w:t>
            </w:r>
          </w:p>
        </w:tc>
      </w:tr>
      <w:tr w:rsidR="00A4351D">
        <w:tblPrEx>
          <w:tblCellMar>
            <w:top w:w="0" w:type="dxa"/>
            <w:bottom w:w="0" w:type="dxa"/>
          </w:tblCellMar>
        </w:tblPrEx>
        <w:trPr>
          <w:trHeight w:hRule="exact" w:val="845"/>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tabs>
                <w:tab w:val="left" w:pos="1968"/>
                <w:tab w:val="left" w:pos="2779"/>
              </w:tabs>
              <w:spacing w:after="120" w:line="240" w:lineRule="auto"/>
            </w:pPr>
            <w:r>
              <w:rPr>
                <w:b/>
                <w:bCs/>
                <w:i/>
                <w:iCs/>
                <w:lang w:val="de-DE" w:eastAsia="de-DE" w:bidi="de-DE"/>
              </w:rPr>
              <w:t>Identification</w:t>
            </w:r>
            <w:r>
              <w:rPr>
                <w:b/>
                <w:bCs/>
                <w:i/>
                <w:iCs/>
                <w:lang w:val="de-DE" w:eastAsia="de-DE" w:bidi="de-DE"/>
              </w:rPr>
              <w:tab/>
            </w:r>
            <w:r>
              <w:rPr>
                <w:b/>
                <w:bCs/>
                <w:i/>
                <w:iCs/>
              </w:rPr>
              <w:t>of</w:t>
            </w:r>
            <w:r>
              <w:rPr>
                <w:b/>
                <w:bCs/>
                <w:i/>
                <w:iCs/>
              </w:rPr>
              <w:tab/>
              <w:t>Sodium</w:t>
            </w:r>
          </w:p>
          <w:p w:rsidR="00A4351D" w:rsidRDefault="00094E8C">
            <w:pPr>
              <w:pStyle w:val="a7"/>
              <w:shd w:val="clear" w:color="auto" w:fill="auto"/>
              <w:spacing w:line="240" w:lineRule="auto"/>
            </w:pPr>
            <w:r>
              <w:rPr>
                <w:b/>
                <w:bCs/>
                <w:i/>
                <w:iCs/>
              </w:rPr>
              <w:t>Metabisulfite</w:t>
            </w:r>
          </w:p>
        </w:tc>
        <w:tc>
          <w:tcPr>
            <w:tcW w:w="5165"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both"/>
            </w:pPr>
            <w:r>
              <w:t>Iodometric method</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rPr>
              <w:t>Assay of Paracetamol</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jc w:val="both"/>
            </w:pPr>
            <w:r>
              <w:t>95.0-105.0% at the time of batch release and during shelf-life of the product.</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rPr>
              <w:t>Assay of Sodium Metabisulfite</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after="140" w:line="240" w:lineRule="auto"/>
              <w:jc w:val="both"/>
            </w:pPr>
            <w:r>
              <w:t>80.0-110.0% at the time of batch release</w:t>
            </w:r>
          </w:p>
          <w:p w:rsidR="00A4351D" w:rsidRDefault="00094E8C">
            <w:pPr>
              <w:pStyle w:val="a7"/>
              <w:shd w:val="clear" w:color="auto" w:fill="auto"/>
              <w:spacing w:line="240" w:lineRule="auto"/>
            </w:pPr>
            <w:r>
              <w:t>10.0-110.0% during shelf-life of the product</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tabs>
                <w:tab w:val="left" w:pos="1229"/>
                <w:tab w:val="left" w:pos="2842"/>
              </w:tabs>
              <w:spacing w:after="120" w:line="240" w:lineRule="auto"/>
            </w:pPr>
            <w:r>
              <w:rPr>
                <w:b/>
                <w:bCs/>
                <w:i/>
                <w:iCs/>
              </w:rPr>
              <w:t>Related</w:t>
            </w:r>
            <w:r>
              <w:rPr>
                <w:b/>
                <w:bCs/>
                <w:i/>
                <w:iCs/>
              </w:rPr>
              <w:tab/>
              <w:t>Substances</w:t>
            </w:r>
            <w:r>
              <w:rPr>
                <w:b/>
                <w:bCs/>
                <w:i/>
                <w:iCs/>
              </w:rPr>
              <w:tab/>
              <w:t>(HPLC</w:t>
            </w:r>
          </w:p>
          <w:p w:rsidR="00A4351D" w:rsidRDefault="00094E8C">
            <w:pPr>
              <w:pStyle w:val="a7"/>
              <w:shd w:val="clear" w:color="auto" w:fill="auto"/>
              <w:spacing w:line="240" w:lineRule="auto"/>
            </w:pPr>
            <w:r>
              <w:rPr>
                <w:b/>
                <w:bCs/>
                <w:i/>
                <w:iCs/>
              </w:rPr>
              <w:t>method)</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372" w:lineRule="auto"/>
              <w:jc w:val="both"/>
            </w:pPr>
            <w:r>
              <w:t>p-Aminophenol : NMT 0.50 %</w:t>
            </w:r>
            <w:r>
              <w:t xml:space="preserve"> of paracetamol content</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rPr>
              <w:t>pH value</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after="140" w:line="240" w:lineRule="auto"/>
              <w:jc w:val="both"/>
            </w:pPr>
            <w:r>
              <w:t>5.0-6.5 at the time of the batch release</w:t>
            </w:r>
          </w:p>
          <w:p w:rsidR="00A4351D" w:rsidRDefault="00094E8C">
            <w:pPr>
              <w:pStyle w:val="a7"/>
              <w:shd w:val="clear" w:color="auto" w:fill="auto"/>
              <w:spacing w:line="240" w:lineRule="auto"/>
              <w:jc w:val="both"/>
            </w:pPr>
            <w:r>
              <w:t>3.8-6.5 during the shelf-life of the product</w:t>
            </w:r>
          </w:p>
        </w:tc>
      </w:tr>
      <w:tr w:rsidR="00A4351D">
        <w:tblPrEx>
          <w:tblCellMar>
            <w:top w:w="0" w:type="dxa"/>
            <w:bottom w:w="0" w:type="dxa"/>
          </w:tblCellMar>
        </w:tblPrEx>
        <w:trPr>
          <w:trHeight w:hRule="exact" w:val="437"/>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Extractable volume</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jc w:val="both"/>
            </w:pPr>
            <w:r>
              <w:t>Any individual container NLT 6.7 ml</w:t>
            </w:r>
          </w:p>
        </w:tc>
      </w:tr>
      <w:tr w:rsidR="00A4351D">
        <w:tblPrEx>
          <w:tblCellMar>
            <w:top w:w="0" w:type="dxa"/>
            <w:bottom w:w="0" w:type="dxa"/>
          </w:tblCellMar>
        </w:tblPrEx>
        <w:trPr>
          <w:trHeight w:hRule="exact" w:val="432"/>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Particulate Contamination</w:t>
            </w:r>
          </w:p>
        </w:tc>
        <w:tc>
          <w:tcPr>
            <w:tcW w:w="5165" w:type="dxa"/>
            <w:tcBorders>
              <w:top w:val="single" w:sz="4" w:space="0" w:color="auto"/>
              <w:left w:val="single" w:sz="4" w:space="0" w:color="auto"/>
              <w:right w:val="single" w:sz="4" w:space="0" w:color="auto"/>
            </w:tcBorders>
            <w:shd w:val="clear" w:color="auto" w:fill="FFFFFF"/>
          </w:tcPr>
          <w:p w:rsidR="00A4351D" w:rsidRDefault="00A4351D">
            <w:pPr>
              <w:rPr>
                <w:sz w:val="10"/>
                <w:szCs w:val="10"/>
              </w:rPr>
            </w:pPr>
          </w:p>
        </w:tc>
      </w:tr>
      <w:tr w:rsidR="00A4351D">
        <w:tblPrEx>
          <w:tblCellMar>
            <w:top w:w="0" w:type="dxa"/>
            <w:bottom w:w="0" w:type="dxa"/>
          </w:tblCellMar>
        </w:tblPrEx>
        <w:trPr>
          <w:trHeight w:hRule="exact" w:val="437"/>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-Visible particles</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jc w:val="both"/>
            </w:pPr>
            <w:r>
              <w:t>Current Eur. Pharm. § 2.9.20.</w:t>
            </w:r>
          </w:p>
        </w:tc>
      </w:tr>
      <w:tr w:rsidR="00A4351D">
        <w:tblPrEx>
          <w:tblCellMar>
            <w:top w:w="0" w:type="dxa"/>
            <w:bottom w:w="0" w:type="dxa"/>
          </w:tblCellMar>
        </w:tblPrEx>
        <w:trPr>
          <w:trHeight w:hRule="exact" w:val="432"/>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-Sub-Visible particles</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jc w:val="both"/>
            </w:pPr>
            <w:r>
              <w:t>Current Eur. Pharm. § 2.9.19 Method 2 Test 2B.</w:t>
            </w:r>
          </w:p>
        </w:tc>
      </w:tr>
      <w:tr w:rsidR="00A4351D">
        <w:tblPrEx>
          <w:tblCellMar>
            <w:top w:w="0" w:type="dxa"/>
            <w:bottom w:w="0" w:type="dxa"/>
          </w:tblCellMar>
        </w:tblPrEx>
        <w:trPr>
          <w:trHeight w:hRule="exact" w:val="437"/>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Relative Density</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t>1.145 ± 5% at the time of batch release</w:t>
            </w:r>
          </w:p>
        </w:tc>
      </w:tr>
      <w:tr w:rsidR="00A4351D">
        <w:tblPrEx>
          <w:tblCellMar>
            <w:top w:w="0" w:type="dxa"/>
            <w:bottom w:w="0" w:type="dxa"/>
          </w:tblCellMar>
        </w:tblPrEx>
        <w:trPr>
          <w:trHeight w:hRule="exact" w:val="437"/>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Sterility</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jc w:val="both"/>
            </w:pPr>
            <w:r>
              <w:t>Sterile according to Ph. Eur. V</w:t>
            </w:r>
          </w:p>
        </w:tc>
      </w:tr>
      <w:tr w:rsidR="00A4351D">
        <w:tblPrEx>
          <w:tblCellMar>
            <w:top w:w="0" w:type="dxa"/>
            <w:bottom w:w="0" w:type="dxa"/>
          </w:tblCellMar>
        </w:tblPrEx>
        <w:trPr>
          <w:trHeight w:hRule="exact" w:val="461"/>
          <w:jc w:val="center"/>
        </w:trPr>
        <w:tc>
          <w:tcPr>
            <w:tcW w:w="3773" w:type="dxa"/>
            <w:tcBorders>
              <w:top w:val="single" w:sz="4" w:space="0" w:color="auto"/>
              <w:left w:val="single" w:sz="4" w:space="0" w:color="auto"/>
              <w:bottom w:val="single" w:sz="4" w:space="0" w:color="auto"/>
            </w:tcBorders>
            <w:shd w:val="clear" w:color="auto" w:fill="DFDFDF"/>
          </w:tcPr>
          <w:p w:rsidR="00A4351D" w:rsidRDefault="00094E8C">
            <w:pPr>
              <w:pStyle w:val="a7"/>
              <w:shd w:val="clear" w:color="auto" w:fill="auto"/>
              <w:spacing w:line="240" w:lineRule="auto"/>
            </w:pPr>
            <w:r>
              <w:rPr>
                <w:b/>
                <w:bCs/>
                <w:i/>
                <w:iCs/>
              </w:rPr>
              <w:t>Bacterial Endotoxins</w:t>
            </w:r>
          </w:p>
        </w:tc>
        <w:tc>
          <w:tcPr>
            <w:tcW w:w="5165" w:type="dxa"/>
            <w:tcBorders>
              <w:top w:val="single" w:sz="4" w:space="0" w:color="auto"/>
              <w:left w:val="single" w:sz="4" w:space="0" w:color="auto"/>
              <w:bottom w:val="single" w:sz="4" w:space="0" w:color="auto"/>
              <w:right w:val="single" w:sz="4" w:space="0" w:color="auto"/>
            </w:tcBorders>
            <w:shd w:val="clear" w:color="auto" w:fill="FFFFFF"/>
          </w:tcPr>
          <w:p w:rsidR="00A4351D" w:rsidRDefault="00094E8C">
            <w:pPr>
              <w:pStyle w:val="a7"/>
              <w:shd w:val="clear" w:color="auto" w:fill="auto"/>
              <w:spacing w:line="240" w:lineRule="auto"/>
              <w:jc w:val="both"/>
            </w:pPr>
            <w:r>
              <w:rPr>
                <w:sz w:val="26"/>
                <w:szCs w:val="26"/>
              </w:rPr>
              <w:t xml:space="preserve">&lt; </w:t>
            </w:r>
            <w:r>
              <w:t>13.1 UI/ml</w:t>
            </w:r>
          </w:p>
        </w:tc>
      </w:tr>
    </w:tbl>
    <w:p w:rsidR="00A4351D" w:rsidRDefault="00094E8C">
      <w:pPr>
        <w:pStyle w:val="a5"/>
        <w:shd w:val="clear" w:color="auto" w:fill="auto"/>
        <w:ind w:left="178"/>
      </w:pPr>
      <w:r>
        <w:rPr>
          <w:lang w:val="de-DE" w:eastAsia="de-DE" w:bidi="de-DE"/>
        </w:rPr>
        <w:t>NMT: Not More Than</w:t>
      </w:r>
    </w:p>
    <w:p w:rsidR="00A4351D" w:rsidRDefault="00A4351D">
      <w:pPr>
        <w:spacing w:after="99" w:line="1" w:lineRule="exact"/>
      </w:pPr>
    </w:p>
    <w:p w:rsidR="00A4351D" w:rsidRDefault="00094E8C">
      <w:pPr>
        <w:pStyle w:val="1"/>
        <w:shd w:val="clear" w:color="auto" w:fill="auto"/>
        <w:spacing w:line="240" w:lineRule="auto"/>
        <w:ind w:firstLine="720"/>
      </w:pPr>
      <w:r>
        <w:rPr>
          <w:lang w:val="de-DE" w:eastAsia="de-DE" w:bidi="de-DE"/>
        </w:rPr>
        <w:t xml:space="preserve">NLT: Not Less Than </w:t>
      </w:r>
      <w:r>
        <w:t xml:space="preserve">Detailed </w:t>
      </w:r>
      <w:r>
        <w:t xml:space="preserve">specifications for both release and end-of-shelf-life testing including tests for; Appearance (visual); Identification (HPLC); Refractive index, Fill volume; pH (potentiometric); </w:t>
      </w:r>
      <w:r>
        <w:lastRenderedPageBreak/>
        <w:t>Sterility (membrane filtration method, Ph. Eur.); Particulate matter, Bacteri</w:t>
      </w:r>
      <w:r>
        <w:t>al endotoxins (gel-clot evaluation, Ph. Eur.); Assay of sodium metabisulfite (Iodometric); Assay of paracetamol (HPLC); Degradation products of glycerol formal (Formaldehyde), Degradation products of paracetamol (p-aminophenol) (HPLC) were provided.</w:t>
      </w:r>
    </w:p>
    <w:p w:rsidR="00A4351D" w:rsidRDefault="00094E8C">
      <w:pPr>
        <w:pStyle w:val="1"/>
        <w:shd w:val="clear" w:color="auto" w:fill="auto"/>
        <w:ind w:firstLine="720"/>
        <w:jc w:val="both"/>
      </w:pPr>
      <w:r>
        <w:t xml:space="preserve">Total </w:t>
      </w:r>
      <w:r>
        <w:t>degradation product (p-aminophenol) specification is NMT 0.50%.</w:t>
      </w:r>
    </w:p>
    <w:p w:rsidR="00A4351D" w:rsidRDefault="00094E8C">
      <w:pPr>
        <w:pStyle w:val="1"/>
        <w:shd w:val="clear" w:color="auto" w:fill="auto"/>
        <w:ind w:left="720"/>
        <w:jc w:val="both"/>
      </w:pPr>
      <w:r>
        <w:t>All control methods are fully described in the current Eur. Phar. with the exception of the analytical method for assay determination of the Active Substance, which is described in the current</w:t>
      </w:r>
      <w:r>
        <w:t xml:space="preserve"> edition of the USP. Relevant test methods have been validated according to ICH requirements. The method used for the assay of sodium metabisulfite has been sufficiently validated with respect to specificity, accuracy, repeatability and intermediate precis</w:t>
      </w:r>
      <w:r>
        <w:t>ion, linearity and range, LOQ and robustness. The HPLC method has been sufficiently validated with respect to specificity, accuracy, repeatability and intermediate precision, linearity and range, LOQ and robustness.</w:t>
      </w:r>
    </w:p>
    <w:p w:rsidR="00A4351D" w:rsidRDefault="00094E8C">
      <w:pPr>
        <w:pStyle w:val="1"/>
        <w:shd w:val="clear" w:color="auto" w:fill="auto"/>
        <w:ind w:left="720"/>
        <w:jc w:val="both"/>
      </w:pPr>
      <w:r>
        <w:t>Forced degradation studies of the finish</w:t>
      </w:r>
      <w:r>
        <w:t>ed product in its primary packaging (with parameters such as temperature, pH, oxidation and light exposure), showed that the resulting degradation products were anticipated degradation products of the active substance. The chromatograms showed that the deg</w:t>
      </w:r>
      <w:r>
        <w:t>radation products were well separated from the active substance and what is most important; from each other. These data provide evidence for the stability while indicating the relevance and effectiveness of the analytical method.</w:t>
      </w:r>
    </w:p>
    <w:p w:rsidR="00A4351D" w:rsidRDefault="00094E8C">
      <w:pPr>
        <w:pStyle w:val="1"/>
        <w:shd w:val="clear" w:color="auto" w:fill="auto"/>
        <w:ind w:left="720"/>
        <w:jc w:val="both"/>
      </w:pPr>
      <w:r>
        <w:t>The test for bacterial end</w:t>
      </w:r>
      <w:r>
        <w:t>otoxins was sufficiently validated. The limit of detection was calculated to be 3 EU/ml which is approximately ~20% of the specified endotoxin limit (13.1 EU/ml). The other test methods are either simple or compendial methods and need no further validation</w:t>
      </w:r>
      <w:r>
        <w:t>.</w:t>
      </w:r>
    </w:p>
    <w:p w:rsidR="00A4351D" w:rsidRDefault="00094E8C">
      <w:pPr>
        <w:pStyle w:val="1"/>
        <w:shd w:val="clear" w:color="auto" w:fill="auto"/>
        <w:ind w:left="720"/>
        <w:jc w:val="both"/>
      </w:pPr>
      <w:r>
        <w:t>Each batch was manufactured and released at the proposed production/release site and packaged at the proposed packaging site. Three certificates of analysis are included in the dossier. All samples passed the release criteria.</w:t>
      </w:r>
    </w:p>
    <w:p w:rsidR="00A4351D" w:rsidRDefault="00094E8C">
      <w:pPr>
        <w:pStyle w:val="1"/>
        <w:numPr>
          <w:ilvl w:val="0"/>
          <w:numId w:val="20"/>
        </w:numPr>
        <w:shd w:val="clear" w:color="auto" w:fill="auto"/>
        <w:ind w:firstLine="720"/>
      </w:pPr>
      <w:r>
        <w:rPr>
          <w:b/>
          <w:bCs/>
          <w:i/>
          <w:iCs/>
        </w:rPr>
        <w:t xml:space="preserve">P.2.4. Container Closure </w:t>
      </w:r>
      <w:r>
        <w:rPr>
          <w:b/>
          <w:bCs/>
          <w:i/>
          <w:iCs/>
        </w:rPr>
        <w:t>System</w:t>
      </w:r>
    </w:p>
    <w:p w:rsidR="00A4351D" w:rsidRDefault="00094E8C">
      <w:pPr>
        <w:pStyle w:val="1"/>
        <w:shd w:val="clear" w:color="auto" w:fill="auto"/>
        <w:ind w:left="720"/>
        <w:jc w:val="both"/>
      </w:pPr>
      <w:r>
        <w:t>Based on the results of photostability study the product is considered photostable when stored in type I amber glass ampoules. Results from tests regarding container closure integrity and fragmentation/self sealability were found to be acceptable.</w:t>
      </w:r>
    </w:p>
    <w:p w:rsidR="00A4351D" w:rsidRDefault="00094E8C">
      <w:pPr>
        <w:pStyle w:val="1"/>
        <w:shd w:val="clear" w:color="auto" w:fill="auto"/>
        <w:ind w:left="720"/>
        <w:jc w:val="both"/>
      </w:pPr>
      <w:r>
        <w:t>T</w:t>
      </w:r>
      <w:r>
        <w:t>he primary container is a type I amber glass ampoule that protects the solution from contamination on one hand, and from light on the other, to both of which the active ingredient is sensitive. The stability trials on the final product were carried out wit</w:t>
      </w:r>
      <w:r>
        <w:t>h this type of primary packaging and showed that the solution is stable for 36 months at ambient temperature.</w:t>
      </w:r>
    </w:p>
    <w:p w:rsidR="00A4351D" w:rsidRDefault="00094E8C">
      <w:pPr>
        <w:pStyle w:val="1"/>
        <w:shd w:val="clear" w:color="auto" w:fill="auto"/>
        <w:ind w:left="720"/>
        <w:jc w:val="both"/>
      </w:pPr>
      <w:r>
        <w:t xml:space="preserve">Satisfactory specifications for the container and closure components have been provided. The </w:t>
      </w:r>
      <w:r>
        <w:lastRenderedPageBreak/>
        <w:t>packaging materials have been subjected to rigorous i</w:t>
      </w:r>
      <w:r>
        <w:t>ntegrity testing and have been found to be satisfactory.</w:t>
      </w:r>
    </w:p>
    <w:p w:rsidR="00A4351D" w:rsidRDefault="00094E8C">
      <w:pPr>
        <w:pStyle w:val="1"/>
        <w:shd w:val="clear" w:color="auto" w:fill="auto"/>
        <w:ind w:left="720"/>
        <w:jc w:val="both"/>
      </w:pPr>
      <w:r>
        <w:t>Particular emphasis has been placed on the sourcing of glass ampoules. Particulates found in early stability studies were identified as glass, resulting from delamination of the ampoules. This has be</w:t>
      </w:r>
      <w:r>
        <w:t>en considered critical. However, an acceptable quality level for the presence of glass particles detected by visual inspection has been provided, on the basis of a protocol for stress testing all new lots of glass ampoules prior to use in the manufacture o</w:t>
      </w:r>
      <w:r>
        <w:t>f the product. Each batch of ampoules used is required to be qualified using satisfactory methodology.</w:t>
      </w:r>
    </w:p>
    <w:p w:rsidR="00A4351D" w:rsidRDefault="00094E8C">
      <w:pPr>
        <w:pStyle w:val="1"/>
        <w:shd w:val="clear" w:color="auto" w:fill="auto"/>
        <w:ind w:left="720"/>
        <w:jc w:val="both"/>
      </w:pPr>
      <w:r>
        <w:t>The sterilization method of primary packaging and testing for bacterial endotoxins, complies with current ICH requirements.</w:t>
      </w:r>
    </w:p>
    <w:p w:rsidR="00A4351D" w:rsidRDefault="00094E8C">
      <w:pPr>
        <w:pStyle w:val="1"/>
        <w:shd w:val="clear" w:color="auto" w:fill="auto"/>
        <w:ind w:firstLine="720"/>
        <w:sectPr w:rsidR="00A4351D">
          <w:pgSz w:w="11900" w:h="16840"/>
          <w:pgMar w:top="1954" w:right="758" w:bottom="1719" w:left="923" w:header="0" w:footer="3" w:gutter="0"/>
          <w:cols w:space="720"/>
          <w:noEndnote/>
          <w:docGrid w:linePitch="360"/>
        </w:sectPr>
      </w:pPr>
      <w:r>
        <w:t xml:space="preserve">The </w:t>
      </w:r>
      <w:r>
        <w:t>flow-chart presented below shows the packing of the injectable solution.</w:t>
      </w:r>
    </w:p>
    <w:p w:rsidR="00A4351D" w:rsidRDefault="00A4351D">
      <w:pPr>
        <w:spacing w:line="240" w:lineRule="exact"/>
        <w:rPr>
          <w:sz w:val="19"/>
          <w:szCs w:val="19"/>
        </w:rPr>
      </w:pPr>
    </w:p>
    <w:p w:rsidR="00A4351D" w:rsidRDefault="00A4351D">
      <w:pPr>
        <w:spacing w:before="19" w:after="19" w:line="240" w:lineRule="exact"/>
        <w:rPr>
          <w:sz w:val="19"/>
          <w:szCs w:val="19"/>
        </w:rPr>
      </w:pPr>
    </w:p>
    <w:p w:rsidR="00A4351D" w:rsidRDefault="00A4351D">
      <w:pPr>
        <w:spacing w:line="1" w:lineRule="exact"/>
        <w:sectPr w:rsidR="00A4351D">
          <w:pgSz w:w="11900" w:h="16840"/>
          <w:pgMar w:top="1824" w:right="346" w:bottom="1464" w:left="356" w:header="0" w:footer="3" w:gutter="0"/>
          <w:cols w:space="720"/>
          <w:noEndnote/>
          <w:docGrid w:linePitch="360"/>
        </w:sectPr>
      </w:pPr>
    </w:p>
    <w:p w:rsidR="00A4351D" w:rsidRDefault="00094E8C">
      <w:pPr>
        <w:pStyle w:val="30"/>
        <w:keepNext/>
        <w:keepLines/>
        <w:framePr w:w="2213" w:h="326" w:wrap="none" w:vAnchor="text" w:hAnchor="page" w:x="357" w:y="21"/>
        <w:shd w:val="clear" w:color="auto" w:fill="auto"/>
        <w:spacing w:line="240" w:lineRule="auto"/>
      </w:pPr>
      <w:bookmarkStart w:id="23" w:name="bookmark22"/>
      <w:bookmarkStart w:id="24" w:name="bookmark23"/>
      <w:r>
        <w:t>Flow chart - Step Nr</w:t>
      </w:r>
      <w:bookmarkEnd w:id="23"/>
      <w:bookmarkEnd w:id="24"/>
    </w:p>
    <w:p w:rsidR="00A4351D" w:rsidRDefault="00094E8C">
      <w:pPr>
        <w:pStyle w:val="30"/>
        <w:keepNext/>
        <w:keepLines/>
        <w:framePr w:w="2026" w:h="322" w:wrap="none" w:vAnchor="text" w:hAnchor="page" w:x="8291" w:y="21"/>
        <w:shd w:val="clear" w:color="auto" w:fill="auto"/>
        <w:spacing w:line="240" w:lineRule="auto"/>
      </w:pPr>
      <w:bookmarkStart w:id="25" w:name="bookmark24"/>
      <w:bookmarkStart w:id="26" w:name="bookmark25"/>
      <w:r>
        <w:t>In-process controls</w:t>
      </w:r>
      <w:bookmarkEnd w:id="25"/>
      <w:bookmarkEnd w:id="26"/>
    </w:p>
    <w:p w:rsidR="00A4351D" w:rsidRDefault="00094E8C">
      <w:pPr>
        <w:pStyle w:val="1"/>
        <w:framePr w:w="326" w:h="317" w:wrap="none" w:vAnchor="text" w:hAnchor="page" w:x="7158" w:y="3913"/>
        <w:shd w:val="clear" w:color="auto" w:fill="auto"/>
        <w:spacing w:line="240" w:lineRule="auto"/>
      </w:pPr>
      <w:r>
        <w:t>VI</w:t>
      </w:r>
    </w:p>
    <w:p w:rsidR="00A4351D" w:rsidRDefault="00094E8C">
      <w:pPr>
        <w:pStyle w:val="1"/>
        <w:framePr w:w="403" w:h="317" w:wrap="none" w:vAnchor="text" w:hAnchor="page" w:x="7158" w:y="7369"/>
        <w:shd w:val="clear" w:color="auto" w:fill="auto"/>
        <w:spacing w:line="240" w:lineRule="auto"/>
      </w:pPr>
      <w:r>
        <w:t>VII</w:t>
      </w:r>
    </w:p>
    <w:p w:rsidR="00A4351D" w:rsidRDefault="00094E8C">
      <w:pPr>
        <w:pStyle w:val="1"/>
        <w:framePr w:w="3264" w:h="1306" w:wrap="none" w:vAnchor="text" w:hAnchor="page" w:x="8291" w:y="3913"/>
        <w:shd w:val="clear" w:color="auto" w:fill="auto"/>
        <w:jc w:val="both"/>
      </w:pPr>
      <w:r>
        <w:t>Room sterility, extractable volume, leakage tests, laminar air flow function</w:t>
      </w:r>
    </w:p>
    <w:p w:rsidR="00A4351D" w:rsidRDefault="00094E8C">
      <w:pPr>
        <w:pStyle w:val="1"/>
        <w:framePr w:w="2150" w:h="322" w:wrap="none" w:vAnchor="text" w:hAnchor="page" w:x="8291" w:y="7369"/>
        <w:shd w:val="clear" w:color="auto" w:fill="auto"/>
        <w:spacing w:line="240" w:lineRule="auto"/>
      </w:pPr>
      <w:r>
        <w:t>Conformity, counting</w:t>
      </w:r>
    </w:p>
    <w:p w:rsidR="00A4351D" w:rsidRDefault="00094E8C">
      <w:pPr>
        <w:spacing w:line="360" w:lineRule="exact"/>
      </w:pPr>
      <w:r>
        <w:rPr>
          <w:noProof/>
          <w:lang w:val="ru-RU" w:eastAsia="ru-RU" w:bidi="ar-SA"/>
        </w:rPr>
        <w:lastRenderedPageBreak/>
        <w:drawing>
          <wp:anchor distT="0" distB="0" distL="0" distR="0" simplePos="0" relativeHeight="62914696" behindDoc="1" locked="0" layoutInCell="1" allowOverlap="1">
            <wp:simplePos x="0" y="0"/>
            <wp:positionH relativeFrom="page">
              <wp:posOffset>356870</wp:posOffset>
            </wp:positionH>
            <wp:positionV relativeFrom="paragraph">
              <wp:posOffset>621665</wp:posOffset>
            </wp:positionV>
            <wp:extent cx="3901440" cy="3785870"/>
            <wp:effectExtent l="0" t="0" r="0" b="0"/>
            <wp:wrapNone/>
            <wp:docPr id="8" name="Shape 8"/>
            <wp:cNvGraphicFramePr/>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0"/>
                    <a:stretch/>
                  </pic:blipFill>
                  <pic:spPr>
                    <a:xfrm>
                      <a:off x="0" y="0"/>
                      <a:ext cx="3901440" cy="3785870"/>
                    </a:xfrm>
                    <a:prstGeom prst="rect">
                      <a:avLst/>
                    </a:prstGeom>
                  </pic:spPr>
                </pic:pic>
              </a:graphicData>
            </a:graphic>
          </wp:anchor>
        </w:drawing>
      </w: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line="360" w:lineRule="exact"/>
      </w:pPr>
    </w:p>
    <w:p w:rsidR="00A4351D" w:rsidRDefault="00A4351D">
      <w:pPr>
        <w:spacing w:after="489" w:line="1" w:lineRule="exact"/>
      </w:pPr>
    </w:p>
    <w:p w:rsidR="00A4351D" w:rsidRDefault="00A4351D">
      <w:pPr>
        <w:spacing w:line="1" w:lineRule="exact"/>
        <w:sectPr w:rsidR="00A4351D">
          <w:type w:val="continuous"/>
          <w:pgSz w:w="11900" w:h="16840"/>
          <w:pgMar w:top="1824" w:right="346" w:bottom="1464" w:left="356" w:header="0" w:footer="3" w:gutter="0"/>
          <w:cols w:space="720"/>
          <w:noEndnote/>
          <w:docGrid w:linePitch="360"/>
        </w:sectPr>
      </w:pPr>
    </w:p>
    <w:p w:rsidR="00A4351D" w:rsidRDefault="00094E8C">
      <w:pPr>
        <w:pStyle w:val="1"/>
        <w:numPr>
          <w:ilvl w:val="0"/>
          <w:numId w:val="21"/>
        </w:numPr>
        <w:shd w:val="clear" w:color="auto" w:fill="auto"/>
        <w:jc w:val="both"/>
      </w:pPr>
      <w:r>
        <w:rPr>
          <w:b/>
          <w:bCs/>
          <w:i/>
          <w:iCs/>
        </w:rPr>
        <w:lastRenderedPageBreak/>
        <w:t>P.2.5. Microbiological Attributes</w:t>
      </w:r>
    </w:p>
    <w:p w:rsidR="00A4351D" w:rsidRDefault="00094E8C">
      <w:pPr>
        <w:pStyle w:val="1"/>
        <w:shd w:val="clear" w:color="auto" w:fill="auto"/>
        <w:jc w:val="both"/>
      </w:pPr>
      <w:r>
        <w:t>The final formulation does not include any antimicrobial preservatives, due to self</w:t>
      </w:r>
      <w:r>
        <w:softHyphen/>
        <w:t>preserving properties, compliant with the Ph. Eur. 5.1.3 Efficacy of Antimicrobial Preservation.</w:t>
      </w:r>
    </w:p>
    <w:p w:rsidR="00A4351D" w:rsidRDefault="00094E8C">
      <w:pPr>
        <w:pStyle w:val="1"/>
        <w:shd w:val="clear" w:color="auto" w:fill="auto"/>
        <w:jc w:val="both"/>
      </w:pPr>
      <w:r>
        <w:t xml:space="preserve">Over </w:t>
      </w:r>
      <w:r>
        <w:t>killing conditions during production provide a sterility assurance level (SAL) of 10</w:t>
      </w:r>
      <w:r>
        <w:rPr>
          <w:vertAlign w:val="superscript"/>
        </w:rPr>
        <w:t>-8</w:t>
      </w:r>
      <w:r>
        <w:t xml:space="preserve"> due to the nature of the product (Presence of ethanol-glycerol formal) (please refer to 3.2.P.3.5)</w:t>
      </w:r>
    </w:p>
    <w:p w:rsidR="00A4351D" w:rsidRDefault="00094E8C">
      <w:pPr>
        <w:pStyle w:val="1"/>
        <w:shd w:val="clear" w:color="auto" w:fill="auto"/>
        <w:jc w:val="both"/>
      </w:pPr>
      <w:r>
        <w:t>The manufacturing process for the solution is a standard process consi</w:t>
      </w:r>
      <w:r>
        <w:t>sting of a solution preparation followed by sterilisation by filtration and filling into ampoules in an aseptic processing zone. The sterilisation methods of equipment and primary packaging comply with the current ICH requirements.</w:t>
      </w:r>
    </w:p>
    <w:p w:rsidR="00A4351D" w:rsidRDefault="00094E8C">
      <w:pPr>
        <w:pStyle w:val="1"/>
        <w:shd w:val="clear" w:color="auto" w:fill="auto"/>
        <w:jc w:val="both"/>
        <w:sectPr w:rsidR="00A4351D">
          <w:pgSz w:w="11900" w:h="16840"/>
          <w:pgMar w:top="2377" w:right="1652" w:bottom="2377" w:left="1656" w:header="0" w:footer="3" w:gutter="0"/>
          <w:cols w:space="720"/>
          <w:noEndnote/>
          <w:docGrid w:linePitch="360"/>
        </w:sectPr>
      </w:pPr>
      <w:r>
        <w:t>A v</w:t>
      </w:r>
      <w:r>
        <w:t xml:space="preserve">alidated aseptically based sterilisation method was adopted. </w:t>
      </w:r>
      <w:r>
        <w:rPr>
          <w:i/>
          <w:iCs/>
        </w:rPr>
        <w:t>CPMP/QWP/054/98 Annex to Note for guidance on Development Pharmaceutics (CPMP/QWP/155/96): Decision Trees for Selection of Sterilisation Methods.</w:t>
      </w:r>
    </w:p>
    <w:p w:rsidR="00A4351D" w:rsidRDefault="00094E8C">
      <w:pPr>
        <w:pStyle w:val="1"/>
        <w:numPr>
          <w:ilvl w:val="0"/>
          <w:numId w:val="22"/>
        </w:numPr>
        <w:shd w:val="clear" w:color="auto" w:fill="auto"/>
        <w:jc w:val="both"/>
      </w:pPr>
      <w:r>
        <w:rPr>
          <w:b/>
          <w:bCs/>
          <w:i/>
          <w:iCs/>
        </w:rPr>
        <w:lastRenderedPageBreak/>
        <w:t>P.2.6. Compatibility</w:t>
      </w:r>
    </w:p>
    <w:p w:rsidR="00A4351D" w:rsidRDefault="00094E8C">
      <w:pPr>
        <w:pStyle w:val="1"/>
        <w:shd w:val="clear" w:color="auto" w:fill="auto"/>
        <w:spacing w:after="1280"/>
        <w:jc w:val="both"/>
      </w:pPr>
      <w:r>
        <w:t xml:space="preserve">During stability studies no </w:t>
      </w:r>
      <w:r>
        <w:t xml:space="preserve">incompatibilities were found between the drug and the excipients, all of which are well-established pharmaceutical preparation ingredients. Compatibility studies indicated that paracetamol is stable for 4 hours in intravenous admixtures and containers </w:t>
      </w:r>
      <w:r>
        <w:rPr>
          <w:b/>
          <w:bCs/>
        </w:rPr>
        <w:t>(0.9</w:t>
      </w:r>
      <w:r>
        <w:rPr>
          <w:b/>
          <w:bCs/>
        </w:rPr>
        <w:t>% sodium chloride</w:t>
      </w:r>
      <w:r>
        <w:t xml:space="preserve">, </w:t>
      </w:r>
      <w:r>
        <w:rPr>
          <w:b/>
          <w:bCs/>
        </w:rPr>
        <w:t>Lactated Ringer's,* 3,33% Dextr./ 0,3% NaCl, 5,0% Dextr.)</w:t>
      </w:r>
      <w:r>
        <w:t>.</w:t>
      </w:r>
    </w:p>
    <w:p w:rsidR="00A4351D" w:rsidRDefault="00094E8C">
      <w:pPr>
        <w:pStyle w:val="30"/>
        <w:keepNext/>
        <w:keepLines/>
        <w:shd w:val="clear" w:color="auto" w:fill="auto"/>
        <w:jc w:val="both"/>
      </w:pPr>
      <w:bookmarkStart w:id="27" w:name="bookmark26"/>
      <w:bookmarkStart w:id="28" w:name="bookmark27"/>
      <w:r>
        <w:rPr>
          <w:lang w:val="fr-FR" w:eastAsia="fr-FR" w:bidi="fr-FR"/>
        </w:rPr>
        <w:t>CONCLUSIONS</w:t>
      </w:r>
      <w:bookmarkEnd w:id="27"/>
      <w:bookmarkEnd w:id="28"/>
    </w:p>
    <w:p w:rsidR="00A4351D" w:rsidRDefault="00094E8C">
      <w:pPr>
        <w:pStyle w:val="1"/>
        <w:shd w:val="clear" w:color="auto" w:fill="auto"/>
        <w:jc w:val="both"/>
      </w:pPr>
      <w:r>
        <w:rPr>
          <w:lang w:val="fr-FR" w:eastAsia="fr-FR" w:bidi="fr-FR"/>
        </w:rPr>
        <w:t xml:space="preserve">The concentrate solution for infusion contains 150 mg of paracetamol per ml which can be administrated to humans after dilution to a final volume of 100 ml. It is </w:t>
      </w:r>
      <w:r>
        <w:rPr>
          <w:lang w:val="fr-FR" w:eastAsia="fr-FR" w:bidi="fr-FR"/>
        </w:rPr>
        <w:t>packed in an amber glass ampoule.</w:t>
      </w:r>
    </w:p>
    <w:p w:rsidR="00A4351D" w:rsidRDefault="00094E8C">
      <w:pPr>
        <w:pStyle w:val="1"/>
        <w:shd w:val="clear" w:color="auto" w:fill="auto"/>
        <w:jc w:val="both"/>
      </w:pPr>
      <w:r>
        <w:rPr>
          <w:lang w:val="fr-FR" w:eastAsia="fr-FR" w:bidi="fr-FR"/>
        </w:rPr>
        <w:t xml:space="preserve">Full information is provided in the dossier to justify the quality of batches. Excipients used in the manufacture of the product are considered quite common for use in injection preparations. The dossier provides a </w:t>
      </w:r>
      <w:r>
        <w:rPr>
          <w:lang w:val="fr-FR" w:eastAsia="fr-FR" w:bidi="fr-FR"/>
        </w:rPr>
        <w:t>suitable description of the active substance and the chosen formulations, and confirms production of the active substance and of the final product at a consistent quality. Analytical methods are well described, and data of their validation confirm their su</w:t>
      </w:r>
      <w:r>
        <w:rPr>
          <w:lang w:val="fr-FR" w:eastAsia="fr-FR" w:bidi="fr-FR"/>
        </w:rPr>
        <w:t>itability.</w:t>
      </w:r>
    </w:p>
    <w:p w:rsidR="00A4351D" w:rsidRDefault="00094E8C">
      <w:pPr>
        <w:pStyle w:val="1"/>
        <w:shd w:val="clear" w:color="auto" w:fill="auto"/>
        <w:jc w:val="both"/>
      </w:pPr>
      <w:r>
        <w:rPr>
          <w:lang w:val="fr-FR" w:eastAsia="fr-FR" w:bidi="fr-FR"/>
        </w:rPr>
        <w:t>Manufacturing processes are sufficiently detailed for all preparations and demonstrate that production of the final product is subject to a consistent quality. The specifications for the final product contain sufficient acceptance criteria and c</w:t>
      </w:r>
      <w:r>
        <w:rPr>
          <w:lang w:val="fr-FR" w:eastAsia="fr-FR" w:bidi="fr-FR"/>
        </w:rPr>
        <w:t xml:space="preserve">orresponding tests. Stability studies have been performed according to ICH guidelines. The stability studies on the finished products justify a shelf-life of 3 years for the solution concentrate for infusion at a temperature below 25 </w:t>
      </w:r>
      <w:r>
        <w:rPr>
          <w:vertAlign w:val="superscript"/>
          <w:lang w:val="fr-FR" w:eastAsia="fr-FR" w:bidi="fr-FR"/>
        </w:rPr>
        <w:t>o</w:t>
      </w:r>
      <w:r>
        <w:rPr>
          <w:lang w:val="fr-FR" w:eastAsia="fr-FR" w:bidi="fr-FR"/>
        </w:rPr>
        <w:t>C.</w:t>
      </w:r>
    </w:p>
    <w:p w:rsidR="00A4351D" w:rsidRDefault="00094E8C">
      <w:pPr>
        <w:pStyle w:val="1"/>
        <w:numPr>
          <w:ilvl w:val="0"/>
          <w:numId w:val="23"/>
        </w:numPr>
        <w:shd w:val="clear" w:color="auto" w:fill="auto"/>
        <w:spacing w:after="560" w:line="240" w:lineRule="auto"/>
        <w:rPr>
          <w:sz w:val="26"/>
          <w:szCs w:val="26"/>
        </w:rPr>
      </w:pPr>
      <w:r>
        <w:rPr>
          <w:b/>
          <w:bCs/>
          <w:i/>
          <w:iCs/>
          <w:sz w:val="26"/>
          <w:szCs w:val="26"/>
          <w:lang w:val="fr-FR" w:eastAsia="fr-FR" w:bidi="fr-FR"/>
        </w:rPr>
        <w:lastRenderedPageBreak/>
        <w:t>P.3 MANUFACTURE</w:t>
      </w:r>
    </w:p>
    <w:p w:rsidR="00A4351D" w:rsidRDefault="00094E8C">
      <w:pPr>
        <w:pStyle w:val="1"/>
        <w:numPr>
          <w:ilvl w:val="0"/>
          <w:numId w:val="24"/>
        </w:numPr>
        <w:shd w:val="clear" w:color="auto" w:fill="auto"/>
        <w:spacing w:line="343" w:lineRule="auto"/>
        <w:rPr>
          <w:sz w:val="26"/>
          <w:szCs w:val="26"/>
        </w:rPr>
      </w:pPr>
      <w:r>
        <w:rPr>
          <w:b/>
          <w:bCs/>
          <w:i/>
          <w:iCs/>
          <w:sz w:val="26"/>
          <w:szCs w:val="26"/>
          <w:lang w:val="fr-FR" w:eastAsia="fr-FR" w:bidi="fr-FR"/>
        </w:rPr>
        <w:t>P.</w:t>
      </w:r>
      <w:r>
        <w:rPr>
          <w:b/>
          <w:bCs/>
          <w:i/>
          <w:iCs/>
          <w:sz w:val="26"/>
          <w:szCs w:val="26"/>
          <w:lang w:val="fr-FR" w:eastAsia="fr-FR" w:bidi="fr-FR"/>
        </w:rPr>
        <w:t>3.1 Manufacture(s)</w:t>
      </w:r>
    </w:p>
    <w:p w:rsidR="00A4351D" w:rsidRDefault="00094E8C">
      <w:pPr>
        <w:pStyle w:val="1"/>
        <w:shd w:val="clear" w:color="auto" w:fill="auto"/>
      </w:pPr>
      <w:r>
        <w:rPr>
          <w:lang w:val="fr-FR" w:eastAsia="fr-FR" w:bidi="fr-FR"/>
        </w:rPr>
        <w:t>Manufacturers of the finished dosage form:</w:t>
      </w:r>
    </w:p>
    <w:p w:rsidR="00A4351D" w:rsidRDefault="00094E8C">
      <w:pPr>
        <w:pStyle w:val="1"/>
        <w:shd w:val="clear" w:color="auto" w:fill="auto"/>
      </w:pPr>
      <w:r>
        <w:rPr>
          <w:lang w:val="fr-FR" w:eastAsia="fr-FR" w:bidi="fr-FR"/>
        </w:rPr>
        <w:t>UNI-PHARMA KLEON TSETIS PHARMACEUTICAL LABORATORIES S.A. 14</w:t>
      </w:r>
      <w:r>
        <w:rPr>
          <w:vertAlign w:val="superscript"/>
          <w:lang w:val="fr-FR" w:eastAsia="fr-FR" w:bidi="fr-FR"/>
        </w:rPr>
        <w:t>th</w:t>
      </w:r>
      <w:r>
        <w:rPr>
          <w:lang w:val="fr-FR" w:eastAsia="fr-FR" w:bidi="fr-FR"/>
        </w:rPr>
        <w:t xml:space="preserve"> km National Road 1,</w:t>
      </w:r>
    </w:p>
    <w:p w:rsidR="00A4351D" w:rsidRDefault="00094E8C">
      <w:pPr>
        <w:pStyle w:val="1"/>
        <w:shd w:val="clear" w:color="auto" w:fill="auto"/>
        <w:spacing w:after="400" w:line="372" w:lineRule="auto"/>
      </w:pPr>
      <w:r>
        <w:rPr>
          <w:lang w:val="fr-FR" w:eastAsia="fr-FR" w:bidi="fr-FR"/>
        </w:rPr>
        <w:t>GR-145 64, Kifissia, Greece</w:t>
      </w:r>
    </w:p>
    <w:p w:rsidR="00A4351D" w:rsidRDefault="00094E8C">
      <w:pPr>
        <w:pStyle w:val="1"/>
        <w:shd w:val="clear" w:color="auto" w:fill="auto"/>
        <w:spacing w:line="377" w:lineRule="auto"/>
      </w:pPr>
      <w:r>
        <w:rPr>
          <w:lang w:val="fr-FR" w:eastAsia="fr-FR" w:bidi="fr-FR"/>
        </w:rPr>
        <w:t>UNI-PHARMA KLEON TSETIS, PHARMACEUTICAL LABORATORIES S.A., possesses:</w:t>
      </w:r>
    </w:p>
    <w:p w:rsidR="00A4351D" w:rsidRDefault="00094E8C">
      <w:pPr>
        <w:pStyle w:val="1"/>
        <w:numPr>
          <w:ilvl w:val="0"/>
          <w:numId w:val="25"/>
        </w:numPr>
        <w:shd w:val="clear" w:color="auto" w:fill="auto"/>
        <w:tabs>
          <w:tab w:val="left" w:pos="740"/>
        </w:tabs>
        <w:spacing w:line="348" w:lineRule="auto"/>
        <w:ind w:firstLine="380"/>
      </w:pPr>
      <w:r>
        <w:t>“Manufacturing</w:t>
      </w:r>
      <w:r>
        <w:t xml:space="preserve"> </w:t>
      </w:r>
      <w:r>
        <w:rPr>
          <w:lang w:val="fr-FR" w:eastAsia="fr-FR" w:bidi="fr-FR"/>
        </w:rPr>
        <w:t>Licence”</w:t>
      </w:r>
    </w:p>
    <w:p w:rsidR="00A4351D" w:rsidRDefault="00094E8C">
      <w:pPr>
        <w:pStyle w:val="1"/>
        <w:numPr>
          <w:ilvl w:val="0"/>
          <w:numId w:val="25"/>
        </w:numPr>
        <w:shd w:val="clear" w:color="auto" w:fill="auto"/>
        <w:tabs>
          <w:tab w:val="left" w:pos="740"/>
        </w:tabs>
        <w:spacing w:line="348" w:lineRule="auto"/>
        <w:ind w:firstLine="380"/>
      </w:pPr>
      <w:r>
        <w:t xml:space="preserve">“Good Manufacturing </w:t>
      </w:r>
      <w:r>
        <w:rPr>
          <w:lang w:val="fr-FR" w:eastAsia="fr-FR" w:bidi="fr-FR"/>
        </w:rPr>
        <w:t xml:space="preserve">Practice </w:t>
      </w:r>
      <w:r>
        <w:t>Certificate”</w:t>
      </w:r>
    </w:p>
    <w:p w:rsidR="00A4351D" w:rsidRDefault="00094E8C">
      <w:pPr>
        <w:pStyle w:val="1"/>
        <w:shd w:val="clear" w:color="auto" w:fill="auto"/>
        <w:spacing w:after="400" w:line="377" w:lineRule="auto"/>
      </w:pPr>
      <w:r>
        <w:t>from the Greek National Organization for Medicines.</w:t>
      </w:r>
    </w:p>
    <w:p w:rsidR="00A4351D" w:rsidRDefault="00094E8C">
      <w:pPr>
        <w:pStyle w:val="1"/>
        <w:numPr>
          <w:ilvl w:val="0"/>
          <w:numId w:val="26"/>
        </w:numPr>
        <w:shd w:val="clear" w:color="auto" w:fill="auto"/>
        <w:spacing w:line="343" w:lineRule="auto"/>
        <w:rPr>
          <w:sz w:val="26"/>
          <w:szCs w:val="26"/>
        </w:rPr>
      </w:pPr>
      <w:r>
        <w:rPr>
          <w:b/>
          <w:bCs/>
          <w:i/>
          <w:iCs/>
          <w:sz w:val="26"/>
          <w:szCs w:val="26"/>
        </w:rPr>
        <w:t>P.3.2 Batch Formula</w:t>
      </w:r>
    </w:p>
    <w:p w:rsidR="00A4351D" w:rsidRDefault="00094E8C">
      <w:pPr>
        <w:pStyle w:val="1"/>
        <w:shd w:val="clear" w:color="auto" w:fill="auto"/>
        <w:spacing w:line="372" w:lineRule="auto"/>
      </w:pPr>
      <w:r>
        <w:t>Product:</w:t>
      </w:r>
    </w:p>
    <w:p w:rsidR="00A4351D" w:rsidRDefault="00094E8C">
      <w:pPr>
        <w:pStyle w:val="1"/>
        <w:shd w:val="clear" w:color="auto" w:fill="auto"/>
        <w:spacing w:after="400" w:line="372" w:lineRule="auto"/>
      </w:pPr>
      <w:r>
        <w:rPr>
          <w:b/>
          <w:bCs/>
          <w:i/>
          <w:iCs/>
        </w:rPr>
        <w:t>Paracetamol Sol. iv. inf. 1g/6.7 ml amp.</w:t>
      </w:r>
    </w:p>
    <w:p w:rsidR="00A4351D" w:rsidRDefault="00094E8C">
      <w:pPr>
        <w:pStyle w:val="1"/>
        <w:shd w:val="clear" w:color="auto" w:fill="auto"/>
        <w:spacing w:after="200"/>
      </w:pPr>
      <w:r>
        <w:t xml:space="preserve">The proposed commercial batch size of Paracetamol Sol. iv. Inf. 1g/6.7ml amp. is </w:t>
      </w:r>
      <w:r>
        <w:t>200.00 L.</w:t>
      </w:r>
    </w:p>
    <w:p w:rsidR="00A4351D" w:rsidRDefault="00094E8C">
      <w:pPr>
        <w:pStyle w:val="1"/>
        <w:shd w:val="clear" w:color="auto" w:fill="auto"/>
        <w:spacing w:line="372" w:lineRule="auto"/>
      </w:pPr>
      <w:r>
        <w:t>The qualitative and quantitative composition of the stated standard production batch of</w:t>
      </w:r>
    </w:p>
    <w:p w:rsidR="00A4351D" w:rsidRDefault="00094E8C">
      <w:pPr>
        <w:pStyle w:val="1"/>
        <w:shd w:val="clear" w:color="auto" w:fill="auto"/>
        <w:spacing w:after="100" w:line="372" w:lineRule="auto"/>
        <w:sectPr w:rsidR="00A4351D">
          <w:pgSz w:w="11900" w:h="16840"/>
          <w:pgMar w:top="1954" w:right="1437" w:bottom="4229" w:left="1583" w:header="0" w:footer="3" w:gutter="0"/>
          <w:cols w:space="720"/>
          <w:noEndnote/>
          <w:docGrid w:linePitch="360"/>
        </w:sectPr>
      </w:pPr>
      <w:r>
        <w:t>200.00 L (or 229.00 kg since the density of the solution is considered 1.145 g/ml ± 5%) is presented in the table in section 3.2.P.3.2.</w:t>
      </w:r>
    </w:p>
    <w:p w:rsidR="00A4351D" w:rsidRDefault="00094E8C">
      <w:pPr>
        <w:pStyle w:val="1"/>
        <w:numPr>
          <w:ilvl w:val="0"/>
          <w:numId w:val="27"/>
        </w:numPr>
        <w:shd w:val="clear" w:color="auto" w:fill="auto"/>
        <w:spacing w:before="460" w:line="338" w:lineRule="auto"/>
        <w:rPr>
          <w:sz w:val="26"/>
          <w:szCs w:val="26"/>
        </w:rPr>
      </w:pPr>
      <w:r>
        <w:rPr>
          <w:b/>
          <w:bCs/>
          <w:i/>
          <w:iCs/>
          <w:sz w:val="26"/>
          <w:szCs w:val="26"/>
        </w:rPr>
        <w:lastRenderedPageBreak/>
        <w:t>P</w:t>
      </w:r>
      <w:r>
        <w:rPr>
          <w:b/>
          <w:bCs/>
          <w:i/>
          <w:iCs/>
          <w:sz w:val="26"/>
          <w:szCs w:val="26"/>
        </w:rPr>
        <w:t>.3.3 Manufacturing procedure</w:t>
      </w:r>
    </w:p>
    <w:p w:rsidR="00A4351D" w:rsidRDefault="00094E8C">
      <w:pPr>
        <w:pStyle w:val="1"/>
        <w:shd w:val="clear" w:color="auto" w:fill="auto"/>
        <w:spacing w:after="200"/>
      </w:pPr>
      <w:r>
        <w:t>Before the beginning of the production all the premises and equipment are properly cleaned, disinfected and sterilized.</w:t>
      </w:r>
    </w:p>
    <w:p w:rsidR="00A4351D" w:rsidRDefault="00094E8C">
      <w:pPr>
        <w:pStyle w:val="1"/>
        <w:shd w:val="clear" w:color="auto" w:fill="auto"/>
        <w:spacing w:after="200" w:line="372" w:lineRule="auto"/>
      </w:pPr>
      <w:r>
        <w:t>Before the beginning of the production all the premises and equipment are properly cleaned, disinfected and</w:t>
      </w:r>
      <w:r>
        <w:t xml:space="preserve"> sterilized.</w:t>
      </w:r>
    </w:p>
    <w:p w:rsidR="00A4351D" w:rsidRDefault="00094E8C">
      <w:pPr>
        <w:pStyle w:val="30"/>
        <w:keepNext/>
        <w:keepLines/>
        <w:shd w:val="clear" w:color="auto" w:fill="auto"/>
      </w:pPr>
      <w:bookmarkStart w:id="29" w:name="bookmark28"/>
      <w:bookmarkStart w:id="30" w:name="bookmark29"/>
      <w:r>
        <w:rPr>
          <w:u w:val="single"/>
        </w:rPr>
        <w:t>Stage A</w:t>
      </w:r>
      <w:bookmarkEnd w:id="29"/>
      <w:bookmarkEnd w:id="30"/>
    </w:p>
    <w:p w:rsidR="00A4351D" w:rsidRDefault="00094E8C">
      <w:pPr>
        <w:pStyle w:val="1"/>
        <w:shd w:val="clear" w:color="auto" w:fill="auto"/>
        <w:spacing w:after="420"/>
      </w:pPr>
      <w:r>
        <w:t>The production of the injectable solution is done in a Grade C clean room.</w:t>
      </w:r>
    </w:p>
    <w:p w:rsidR="00A4351D" w:rsidRDefault="00094E8C">
      <w:pPr>
        <w:pStyle w:val="30"/>
        <w:keepNext/>
        <w:keepLines/>
        <w:shd w:val="clear" w:color="auto" w:fill="auto"/>
      </w:pPr>
      <w:bookmarkStart w:id="31" w:name="bookmark30"/>
      <w:bookmarkStart w:id="32" w:name="bookmark31"/>
      <w:r>
        <w:t>Stage A.1</w:t>
      </w:r>
      <w:bookmarkEnd w:id="31"/>
      <w:bookmarkEnd w:id="32"/>
    </w:p>
    <w:p w:rsidR="00A4351D" w:rsidRDefault="00094E8C">
      <w:pPr>
        <w:pStyle w:val="1"/>
        <w:shd w:val="clear" w:color="auto" w:fill="auto"/>
        <w:spacing w:after="420"/>
      </w:pPr>
      <w:r>
        <w:t>Glycerol Formal and Ethanol are inserted into the stainless-steel preparation tank, and they are stirred for approximately five (5) minutes until comp</w:t>
      </w:r>
      <w:r>
        <w:t>lete mixing.</w:t>
      </w:r>
    </w:p>
    <w:p w:rsidR="00A4351D" w:rsidRDefault="00094E8C">
      <w:pPr>
        <w:pStyle w:val="30"/>
        <w:keepNext/>
        <w:keepLines/>
        <w:shd w:val="clear" w:color="auto" w:fill="auto"/>
      </w:pPr>
      <w:bookmarkStart w:id="33" w:name="bookmark32"/>
      <w:bookmarkStart w:id="34" w:name="bookmark33"/>
      <w:r>
        <w:t>Stage A.2</w:t>
      </w:r>
      <w:bookmarkEnd w:id="33"/>
      <w:bookmarkEnd w:id="34"/>
    </w:p>
    <w:p w:rsidR="00A4351D" w:rsidRDefault="00094E8C">
      <w:pPr>
        <w:pStyle w:val="1"/>
        <w:shd w:val="clear" w:color="auto" w:fill="auto"/>
        <w:spacing w:after="420"/>
      </w:pPr>
      <w:r>
        <w:t>Each of the following ingredients, Sodium Metabisulfite, Disodium Edetate and Disodium Hydrogen Phosphate Dodecahydrate, is dissolved one by one separately by adding 5.0 l of WFI for each into a 10.0 l vessel, which is inside the com</w:t>
      </w:r>
      <w:r>
        <w:t>pounding room. The dissolution process is performed with the use of a magnetic stirrer. Subsequently, each solution is added to the main preparation stainless steel vessel and is stirred further for five (5) minutes.</w:t>
      </w:r>
    </w:p>
    <w:p w:rsidR="00A4351D" w:rsidRDefault="00094E8C">
      <w:pPr>
        <w:pStyle w:val="30"/>
        <w:keepNext/>
        <w:keepLines/>
        <w:shd w:val="clear" w:color="auto" w:fill="auto"/>
      </w:pPr>
      <w:bookmarkStart w:id="35" w:name="bookmark34"/>
      <w:bookmarkStart w:id="36" w:name="bookmark35"/>
      <w:r>
        <w:t>Stage A.3</w:t>
      </w:r>
      <w:bookmarkEnd w:id="35"/>
      <w:bookmarkEnd w:id="36"/>
    </w:p>
    <w:p w:rsidR="00A4351D" w:rsidRDefault="00094E8C">
      <w:pPr>
        <w:pStyle w:val="1"/>
        <w:shd w:val="clear" w:color="auto" w:fill="auto"/>
        <w:spacing w:after="420"/>
      </w:pPr>
      <w:r>
        <w:t>Paracetamol micronized inject</w:t>
      </w:r>
      <w:r>
        <w:t>able grade is inserted into the solution of the main preparation tank and is stirred further until complete dissolution, for approximately ninety (90) minutes.</w:t>
      </w:r>
    </w:p>
    <w:p w:rsidR="00A4351D" w:rsidRDefault="00094E8C">
      <w:pPr>
        <w:pStyle w:val="30"/>
        <w:keepNext/>
        <w:keepLines/>
        <w:shd w:val="clear" w:color="auto" w:fill="auto"/>
      </w:pPr>
      <w:bookmarkStart w:id="37" w:name="bookmark36"/>
      <w:bookmarkStart w:id="38" w:name="bookmark37"/>
      <w:r>
        <w:t>Stage A.4</w:t>
      </w:r>
      <w:bookmarkEnd w:id="37"/>
      <w:bookmarkEnd w:id="38"/>
    </w:p>
    <w:p w:rsidR="00A4351D" w:rsidRDefault="00094E8C">
      <w:pPr>
        <w:pStyle w:val="1"/>
        <w:shd w:val="clear" w:color="auto" w:fill="auto"/>
        <w:spacing w:after="420"/>
      </w:pPr>
      <w:r>
        <w:t xml:space="preserve">The pH value of the solution of stage A.3 is checked and it is adjusted using Disodium hydrogen phosphate dodecahydrate 1.0 M solution or Sodium dihydrogen phosphate dihydrate 1.0 M solution. The proper amount of Disodium hydrogen phosphate </w:t>
      </w:r>
      <w:r>
        <w:rPr>
          <w:lang w:val="fr-FR" w:eastAsia="fr-FR" w:bidi="fr-FR"/>
        </w:rPr>
        <w:t>dodecahydrate o</w:t>
      </w:r>
      <w:r>
        <w:rPr>
          <w:lang w:val="fr-FR" w:eastAsia="fr-FR" w:bidi="fr-FR"/>
        </w:rPr>
        <w:t xml:space="preserve">r Sodium dihydrogen phosphate dihydrate is dissolved in WFI in order to acquire the 1.0 M solution. The acceptable pH range of the solution is 5.0-6.5, however, the </w:t>
      </w:r>
      <w:r>
        <w:rPr>
          <w:lang w:val="fr-FR" w:eastAsia="fr-FR" w:bidi="fr-FR"/>
        </w:rPr>
        <w:lastRenderedPageBreak/>
        <w:t>pH adjustment target is 6.4-6.5.</w:t>
      </w:r>
    </w:p>
    <w:p w:rsidR="00A4351D" w:rsidRDefault="00094E8C">
      <w:pPr>
        <w:pStyle w:val="30"/>
        <w:keepNext/>
        <w:keepLines/>
        <w:shd w:val="clear" w:color="auto" w:fill="auto"/>
        <w:jc w:val="both"/>
      </w:pPr>
      <w:bookmarkStart w:id="39" w:name="bookmark38"/>
      <w:bookmarkStart w:id="40" w:name="bookmark39"/>
      <w:r>
        <w:t>Stage A.5</w:t>
      </w:r>
      <w:bookmarkEnd w:id="39"/>
      <w:bookmarkEnd w:id="40"/>
    </w:p>
    <w:p w:rsidR="00A4351D" w:rsidRDefault="00094E8C">
      <w:pPr>
        <w:pStyle w:val="1"/>
        <w:shd w:val="clear" w:color="auto" w:fill="auto"/>
        <w:spacing w:after="420"/>
        <w:jc w:val="both"/>
      </w:pPr>
      <w:r>
        <w:t xml:space="preserve">Water for injection is added into the solution </w:t>
      </w:r>
      <w:r>
        <w:t>of stage A.4 till the volume of the injectable solution is completed to 200.00 L and the final solution is stirred until complete mixing for approximately twenty (20) minutes.</w:t>
      </w:r>
    </w:p>
    <w:p w:rsidR="00A4351D" w:rsidRDefault="00094E8C">
      <w:pPr>
        <w:pStyle w:val="30"/>
        <w:keepNext/>
        <w:keepLines/>
        <w:shd w:val="clear" w:color="auto" w:fill="auto"/>
        <w:jc w:val="both"/>
      </w:pPr>
      <w:bookmarkStart w:id="41" w:name="bookmark40"/>
      <w:bookmarkStart w:id="42" w:name="bookmark41"/>
      <w:r>
        <w:rPr>
          <w:u w:val="single"/>
        </w:rPr>
        <w:t>Stage B</w:t>
      </w:r>
      <w:bookmarkEnd w:id="41"/>
      <w:bookmarkEnd w:id="42"/>
    </w:p>
    <w:p w:rsidR="00A4351D" w:rsidRDefault="00094E8C">
      <w:pPr>
        <w:pStyle w:val="1"/>
        <w:shd w:val="clear" w:color="auto" w:fill="auto"/>
        <w:jc w:val="both"/>
      </w:pPr>
      <w:r>
        <w:t>The final bulk solution is transferred to the sterile stainless steel st</w:t>
      </w:r>
      <w:r>
        <w:t>orage tank by passing through a filtration configuration equipped with two filters, a pre-filter, Sartorius</w:t>
      </w:r>
    </w:p>
    <w:p w:rsidR="00A4351D" w:rsidRDefault="00094E8C">
      <w:pPr>
        <w:pStyle w:val="1"/>
        <w:shd w:val="clear" w:color="auto" w:fill="auto"/>
        <w:spacing w:after="420"/>
        <w:jc w:val="both"/>
      </w:pPr>
      <w:r>
        <w:t>Sartopure GF2 with pore size of 1.2pm and a sterilizing filter, Sartorius Sartobran P with pore size 0.45+0.2pm. The sterilizing filter is subjected</w:t>
      </w:r>
      <w:r>
        <w:t xml:space="preserve"> to filter integrity test before and after the filtration.</w:t>
      </w:r>
    </w:p>
    <w:p w:rsidR="00A4351D" w:rsidRDefault="00094E8C">
      <w:pPr>
        <w:pStyle w:val="30"/>
        <w:keepNext/>
        <w:keepLines/>
        <w:shd w:val="clear" w:color="auto" w:fill="auto"/>
        <w:jc w:val="both"/>
      </w:pPr>
      <w:bookmarkStart w:id="43" w:name="bookmark42"/>
      <w:bookmarkStart w:id="44" w:name="bookmark43"/>
      <w:r>
        <w:rPr>
          <w:u w:val="single"/>
        </w:rPr>
        <w:t>Stage C</w:t>
      </w:r>
      <w:bookmarkEnd w:id="43"/>
      <w:bookmarkEnd w:id="44"/>
    </w:p>
    <w:p w:rsidR="00A4351D" w:rsidRDefault="00094E8C">
      <w:pPr>
        <w:pStyle w:val="1"/>
        <w:shd w:val="clear" w:color="auto" w:fill="auto"/>
        <w:spacing w:after="420"/>
        <w:jc w:val="both"/>
      </w:pPr>
      <w:r>
        <w:t>The empty ampoules are sterilized using the dry depyrogenation oven, at 180</w:t>
      </w:r>
      <w:r>
        <w:rPr>
          <w:vertAlign w:val="superscript"/>
        </w:rPr>
        <w:t>o</w:t>
      </w:r>
      <w:r>
        <w:t>C for 180 minutes. The sterility and depyrogenation of the empty ampoules have been validated. The aseptic fillin</w:t>
      </w:r>
      <w:r>
        <w:t>g of the ampoules is performed by an automated ampoules filling machine within a class A room under laminar air flow with a class B background. The volume of the content of the filled ampoules is checked periodically during the whole filling procedure. The</w:t>
      </w:r>
      <w:r>
        <w:t xml:space="preserve"> filling volume per container is 6.9 ml in order to have extractable volume NLT 6.7 ml. Prior to sealing the ampoule headspace is filled with nitrogen gas.</w:t>
      </w:r>
    </w:p>
    <w:p w:rsidR="00A4351D" w:rsidRDefault="00094E8C">
      <w:pPr>
        <w:pStyle w:val="30"/>
        <w:keepNext/>
        <w:keepLines/>
        <w:shd w:val="clear" w:color="auto" w:fill="auto"/>
      </w:pPr>
      <w:bookmarkStart w:id="45" w:name="bookmark44"/>
      <w:bookmarkStart w:id="46" w:name="bookmark45"/>
      <w:r>
        <w:rPr>
          <w:u w:val="single"/>
        </w:rPr>
        <w:t>Stage D</w:t>
      </w:r>
      <w:bookmarkEnd w:id="45"/>
      <w:bookmarkEnd w:id="46"/>
    </w:p>
    <w:p w:rsidR="00A4351D" w:rsidRDefault="00094E8C">
      <w:pPr>
        <w:pStyle w:val="1"/>
        <w:shd w:val="clear" w:color="auto" w:fill="auto"/>
        <w:spacing w:after="420"/>
        <w:jc w:val="both"/>
      </w:pPr>
      <w:r>
        <w:t>The filled ampoules are 100% optically inspected for particles larger than 20pm using an aut</w:t>
      </w:r>
      <w:r>
        <w:t>omatic machine, which also performs a check for the volume of the content of the filled ampoules and the integrity of the container.</w:t>
      </w:r>
    </w:p>
    <w:p w:rsidR="00A4351D" w:rsidRDefault="00094E8C">
      <w:pPr>
        <w:pStyle w:val="1"/>
        <w:shd w:val="clear" w:color="auto" w:fill="auto"/>
        <w:spacing w:after="420"/>
      </w:pPr>
      <w:r>
        <w:t>The reliability of the aseptic manufacturing process is checked twice a year by process simulating (media fill) test.</w:t>
      </w:r>
    </w:p>
    <w:p w:rsidR="00A4351D" w:rsidRDefault="00094E8C">
      <w:pPr>
        <w:pStyle w:val="30"/>
        <w:keepNext/>
        <w:keepLines/>
        <w:shd w:val="clear" w:color="auto" w:fill="auto"/>
      </w:pPr>
      <w:bookmarkStart w:id="47" w:name="bookmark46"/>
      <w:bookmarkStart w:id="48" w:name="bookmark47"/>
      <w:r>
        <w:rPr>
          <w:u w:val="single"/>
          <w:lang w:val="fr-FR" w:eastAsia="fr-FR" w:bidi="fr-FR"/>
        </w:rPr>
        <w:lastRenderedPageBreak/>
        <w:t>Stage</w:t>
      </w:r>
      <w:r>
        <w:rPr>
          <w:u w:val="single"/>
          <w:lang w:val="fr-FR" w:eastAsia="fr-FR" w:bidi="fr-FR"/>
        </w:rPr>
        <w:t xml:space="preserve"> E</w:t>
      </w:r>
      <w:bookmarkEnd w:id="47"/>
      <w:bookmarkEnd w:id="48"/>
    </w:p>
    <w:p w:rsidR="00A4351D" w:rsidRDefault="00094E8C">
      <w:pPr>
        <w:pStyle w:val="1"/>
        <w:shd w:val="clear" w:color="auto" w:fill="auto"/>
        <w:spacing w:after="220"/>
        <w:sectPr w:rsidR="00A4351D">
          <w:pgSz w:w="11900" w:h="16840"/>
          <w:pgMar w:top="1959" w:right="1468" w:bottom="1791" w:left="1567" w:header="0" w:footer="3" w:gutter="0"/>
          <w:cols w:space="720"/>
          <w:noEndnote/>
          <w:docGrid w:linePitch="360"/>
        </w:sectPr>
      </w:pPr>
      <w:r>
        <w:rPr>
          <w:lang w:val="fr-FR" w:eastAsia="fr-FR" w:bidi="fr-FR"/>
        </w:rPr>
        <w:t>The ampoules are then packed in PVC/Aluminium blisters, which are further packed along with a patient information leaflet in a cardboard box.</w:t>
      </w:r>
    </w:p>
    <w:p w:rsidR="00A4351D" w:rsidRDefault="00094E8C">
      <w:pPr>
        <w:pStyle w:val="1"/>
        <w:numPr>
          <w:ilvl w:val="0"/>
          <w:numId w:val="28"/>
        </w:numPr>
        <w:shd w:val="clear" w:color="auto" w:fill="auto"/>
        <w:spacing w:after="560" w:line="240" w:lineRule="auto"/>
        <w:ind w:firstLine="300"/>
        <w:rPr>
          <w:sz w:val="26"/>
          <w:szCs w:val="26"/>
        </w:rPr>
      </w:pPr>
      <w:r>
        <w:rPr>
          <w:b/>
          <w:bCs/>
          <w:i/>
          <w:iCs/>
          <w:sz w:val="26"/>
          <w:szCs w:val="26"/>
          <w:lang w:val="fr-FR" w:eastAsia="fr-FR" w:bidi="fr-FR"/>
        </w:rPr>
        <w:lastRenderedPageBreak/>
        <w:t>P.3.4 Process Validation and/or Evaluation</w:t>
      </w:r>
    </w:p>
    <w:p w:rsidR="00A4351D" w:rsidRDefault="00094E8C">
      <w:pPr>
        <w:pStyle w:val="30"/>
        <w:keepNext/>
        <w:keepLines/>
        <w:shd w:val="clear" w:color="auto" w:fill="auto"/>
        <w:spacing w:after="140" w:line="240" w:lineRule="auto"/>
        <w:jc w:val="center"/>
      </w:pPr>
      <w:bookmarkStart w:id="49" w:name="bookmark48"/>
      <w:bookmarkStart w:id="50" w:name="bookmark49"/>
      <w:r>
        <w:rPr>
          <w:u w:val="single"/>
          <w:lang w:val="fr-FR" w:eastAsia="fr-FR" w:bidi="fr-FR"/>
        </w:rPr>
        <w:t xml:space="preserve">Validation </w:t>
      </w:r>
      <w:r>
        <w:rPr>
          <w:u w:val="single"/>
        </w:rPr>
        <w:t>strategy</w:t>
      </w:r>
      <w:bookmarkEnd w:id="49"/>
      <w:bookmarkEnd w:id="50"/>
    </w:p>
    <w:p w:rsidR="00A4351D" w:rsidRDefault="00094E8C">
      <w:pPr>
        <w:pStyle w:val="1"/>
        <w:shd w:val="clear" w:color="auto" w:fill="auto"/>
        <w:spacing w:after="140" w:line="240" w:lineRule="auto"/>
        <w:ind w:firstLine="300"/>
      </w:pPr>
      <w:r>
        <w:t xml:space="preserve">For validation purposes </w:t>
      </w:r>
      <w:r>
        <w:t>twenty-one (21) commercial batches of the product</w:t>
      </w:r>
    </w:p>
    <w:p w:rsidR="00A4351D" w:rsidRDefault="00094E8C">
      <w:pPr>
        <w:pStyle w:val="1"/>
        <w:shd w:val="clear" w:color="auto" w:fill="auto"/>
        <w:spacing w:after="200" w:line="240" w:lineRule="auto"/>
        <w:ind w:firstLine="300"/>
      </w:pPr>
      <w:r>
        <w:rPr>
          <w:b/>
          <w:bCs/>
        </w:rPr>
        <w:t xml:space="preserve">Paracetamol </w:t>
      </w:r>
      <w:r>
        <w:rPr>
          <w:b/>
          <w:bCs/>
          <w:i/>
          <w:iCs/>
        </w:rPr>
        <w:t>Sol. iv. inf. 1g/6.7ml AMP.</w:t>
      </w:r>
      <w:r>
        <w:t xml:space="preserve"> are used, namely:</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0"/>
        <w:gridCol w:w="1123"/>
        <w:gridCol w:w="1440"/>
        <w:gridCol w:w="1022"/>
      </w:tblGrid>
      <w:tr w:rsidR="00A4351D">
        <w:tblPrEx>
          <w:tblCellMar>
            <w:top w:w="0" w:type="dxa"/>
            <w:bottom w:w="0" w:type="dxa"/>
          </w:tblCellMar>
        </w:tblPrEx>
        <w:trPr>
          <w:trHeight w:hRule="exact" w:val="322"/>
          <w:jc w:val="center"/>
        </w:trPr>
        <w:tc>
          <w:tcPr>
            <w:tcW w:w="250" w:type="dxa"/>
            <w:shd w:val="clear" w:color="auto" w:fill="FFFFFF"/>
          </w:tcPr>
          <w:p w:rsidR="00A4351D" w:rsidRDefault="00094E8C">
            <w:pPr>
              <w:pStyle w:val="a7"/>
              <w:shd w:val="clear" w:color="auto" w:fill="auto"/>
              <w:spacing w:line="240" w:lineRule="auto"/>
              <w:rPr>
                <w:sz w:val="26"/>
                <w:szCs w:val="26"/>
              </w:rPr>
            </w:pPr>
            <w:r>
              <w:rPr>
                <w:sz w:val="26"/>
                <w:szCs w:val="26"/>
                <w:lang w:val="fr-FR" w:eastAsia="fr-FR" w:bidi="fr-FR"/>
              </w:rPr>
              <w:t>•</w:t>
            </w:r>
          </w:p>
        </w:tc>
        <w:tc>
          <w:tcPr>
            <w:tcW w:w="1123" w:type="dxa"/>
            <w:shd w:val="clear" w:color="auto" w:fill="FFFFFF"/>
            <w:vAlign w:val="center"/>
          </w:tcPr>
          <w:p w:rsidR="00A4351D" w:rsidRDefault="00094E8C">
            <w:pPr>
              <w:pStyle w:val="a7"/>
              <w:shd w:val="clear" w:color="auto" w:fill="auto"/>
              <w:spacing w:line="240" w:lineRule="auto"/>
            </w:pPr>
            <w:r>
              <w:rPr>
                <w:b/>
                <w:bCs/>
                <w:lang w:val="fr-FR" w:eastAsia="fr-FR" w:bidi="fr-FR"/>
              </w:rPr>
              <w:t>09-01</w:t>
            </w:r>
          </w:p>
        </w:tc>
        <w:tc>
          <w:tcPr>
            <w:tcW w:w="1440" w:type="dxa"/>
            <w:shd w:val="clear" w:color="auto" w:fill="FFFFFF"/>
            <w:vAlign w:val="center"/>
          </w:tcPr>
          <w:p w:rsidR="00A4351D" w:rsidRDefault="00094E8C">
            <w:pPr>
              <w:pStyle w:val="a7"/>
              <w:shd w:val="clear" w:color="auto" w:fill="auto"/>
              <w:spacing w:line="240" w:lineRule="auto"/>
              <w:jc w:val="center"/>
            </w:pPr>
            <w:r>
              <w:rPr>
                <w:b/>
                <w:bCs/>
                <w:lang w:val="fr-FR" w:eastAsia="fr-FR" w:bidi="fr-FR"/>
              </w:rPr>
              <w:t>09-41</w:t>
            </w:r>
          </w:p>
        </w:tc>
        <w:tc>
          <w:tcPr>
            <w:tcW w:w="1022" w:type="dxa"/>
            <w:shd w:val="clear" w:color="auto" w:fill="FFFFFF"/>
            <w:vAlign w:val="center"/>
          </w:tcPr>
          <w:p w:rsidR="00A4351D" w:rsidRDefault="00094E8C">
            <w:pPr>
              <w:pStyle w:val="a7"/>
              <w:shd w:val="clear" w:color="auto" w:fill="auto"/>
              <w:spacing w:line="240" w:lineRule="auto"/>
              <w:ind w:firstLine="420"/>
            </w:pPr>
            <w:r>
              <w:rPr>
                <w:b/>
                <w:bCs/>
                <w:lang w:val="fr-FR" w:eastAsia="fr-FR" w:bidi="fr-FR"/>
              </w:rPr>
              <w:t>09-74</w:t>
            </w:r>
          </w:p>
        </w:tc>
      </w:tr>
      <w:tr w:rsidR="00A4351D">
        <w:tblPrEx>
          <w:tblCellMar>
            <w:top w:w="0" w:type="dxa"/>
            <w:bottom w:w="0" w:type="dxa"/>
          </w:tblCellMar>
        </w:tblPrEx>
        <w:trPr>
          <w:trHeight w:hRule="exact" w:val="437"/>
          <w:jc w:val="center"/>
        </w:trPr>
        <w:tc>
          <w:tcPr>
            <w:tcW w:w="250" w:type="dxa"/>
            <w:shd w:val="clear" w:color="auto" w:fill="FFFFFF"/>
            <w:vAlign w:val="center"/>
          </w:tcPr>
          <w:p w:rsidR="00A4351D" w:rsidRDefault="00094E8C">
            <w:pPr>
              <w:pStyle w:val="a7"/>
              <w:shd w:val="clear" w:color="auto" w:fill="auto"/>
              <w:spacing w:line="240" w:lineRule="auto"/>
              <w:rPr>
                <w:sz w:val="26"/>
                <w:szCs w:val="26"/>
              </w:rPr>
            </w:pPr>
            <w:r>
              <w:rPr>
                <w:sz w:val="26"/>
                <w:szCs w:val="26"/>
                <w:lang w:val="fr-FR" w:eastAsia="fr-FR" w:bidi="fr-FR"/>
              </w:rPr>
              <w:t>•</w:t>
            </w:r>
          </w:p>
        </w:tc>
        <w:tc>
          <w:tcPr>
            <w:tcW w:w="1123" w:type="dxa"/>
            <w:shd w:val="clear" w:color="auto" w:fill="FFFFFF"/>
            <w:vAlign w:val="bottom"/>
          </w:tcPr>
          <w:p w:rsidR="00A4351D" w:rsidRDefault="00094E8C">
            <w:pPr>
              <w:pStyle w:val="a7"/>
              <w:shd w:val="clear" w:color="auto" w:fill="auto"/>
              <w:spacing w:line="240" w:lineRule="auto"/>
            </w:pPr>
            <w:r>
              <w:rPr>
                <w:b/>
                <w:bCs/>
                <w:lang w:val="fr-FR" w:eastAsia="fr-FR" w:bidi="fr-FR"/>
              </w:rPr>
              <w:t>09-02</w:t>
            </w:r>
          </w:p>
        </w:tc>
        <w:tc>
          <w:tcPr>
            <w:tcW w:w="1440" w:type="dxa"/>
            <w:shd w:val="clear" w:color="auto" w:fill="FFFFFF"/>
            <w:vAlign w:val="bottom"/>
          </w:tcPr>
          <w:p w:rsidR="00A4351D" w:rsidRDefault="00094E8C">
            <w:pPr>
              <w:pStyle w:val="a7"/>
              <w:shd w:val="clear" w:color="auto" w:fill="auto"/>
              <w:spacing w:line="240" w:lineRule="auto"/>
              <w:jc w:val="center"/>
            </w:pPr>
            <w:r>
              <w:rPr>
                <w:b/>
                <w:bCs/>
                <w:lang w:val="fr-FR" w:eastAsia="fr-FR" w:bidi="fr-FR"/>
              </w:rPr>
              <w:t>09-42</w:t>
            </w:r>
          </w:p>
        </w:tc>
        <w:tc>
          <w:tcPr>
            <w:tcW w:w="1022" w:type="dxa"/>
            <w:shd w:val="clear" w:color="auto" w:fill="FFFFFF"/>
            <w:vAlign w:val="bottom"/>
          </w:tcPr>
          <w:p w:rsidR="00A4351D" w:rsidRDefault="00094E8C">
            <w:pPr>
              <w:pStyle w:val="a7"/>
              <w:shd w:val="clear" w:color="auto" w:fill="auto"/>
              <w:spacing w:line="240" w:lineRule="auto"/>
              <w:ind w:firstLine="420"/>
            </w:pPr>
            <w:r>
              <w:rPr>
                <w:b/>
                <w:bCs/>
                <w:lang w:val="fr-FR" w:eastAsia="fr-FR" w:bidi="fr-FR"/>
              </w:rPr>
              <w:t>09-75</w:t>
            </w:r>
          </w:p>
        </w:tc>
      </w:tr>
      <w:tr w:rsidR="00A4351D">
        <w:tblPrEx>
          <w:tblCellMar>
            <w:top w:w="0" w:type="dxa"/>
            <w:bottom w:w="0" w:type="dxa"/>
          </w:tblCellMar>
        </w:tblPrEx>
        <w:trPr>
          <w:trHeight w:hRule="exact" w:val="432"/>
          <w:jc w:val="center"/>
        </w:trPr>
        <w:tc>
          <w:tcPr>
            <w:tcW w:w="250" w:type="dxa"/>
            <w:shd w:val="clear" w:color="auto" w:fill="FFFFFF"/>
            <w:vAlign w:val="center"/>
          </w:tcPr>
          <w:p w:rsidR="00A4351D" w:rsidRDefault="00094E8C">
            <w:pPr>
              <w:pStyle w:val="a7"/>
              <w:shd w:val="clear" w:color="auto" w:fill="auto"/>
              <w:spacing w:line="240" w:lineRule="auto"/>
              <w:rPr>
                <w:sz w:val="26"/>
                <w:szCs w:val="26"/>
              </w:rPr>
            </w:pPr>
            <w:r>
              <w:rPr>
                <w:sz w:val="26"/>
                <w:szCs w:val="26"/>
                <w:lang w:val="fr-FR" w:eastAsia="fr-FR" w:bidi="fr-FR"/>
              </w:rPr>
              <w:t>•</w:t>
            </w:r>
          </w:p>
        </w:tc>
        <w:tc>
          <w:tcPr>
            <w:tcW w:w="1123" w:type="dxa"/>
            <w:shd w:val="clear" w:color="auto" w:fill="FFFFFF"/>
            <w:vAlign w:val="bottom"/>
          </w:tcPr>
          <w:p w:rsidR="00A4351D" w:rsidRDefault="00094E8C">
            <w:pPr>
              <w:pStyle w:val="a7"/>
              <w:shd w:val="clear" w:color="auto" w:fill="auto"/>
              <w:spacing w:line="240" w:lineRule="auto"/>
            </w:pPr>
            <w:r>
              <w:rPr>
                <w:b/>
                <w:bCs/>
                <w:lang w:val="fr-FR" w:eastAsia="fr-FR" w:bidi="fr-FR"/>
              </w:rPr>
              <w:t>09-03</w:t>
            </w:r>
          </w:p>
        </w:tc>
        <w:tc>
          <w:tcPr>
            <w:tcW w:w="1440" w:type="dxa"/>
            <w:shd w:val="clear" w:color="auto" w:fill="FFFFFF"/>
            <w:vAlign w:val="bottom"/>
          </w:tcPr>
          <w:p w:rsidR="00A4351D" w:rsidRDefault="00094E8C">
            <w:pPr>
              <w:pStyle w:val="a7"/>
              <w:shd w:val="clear" w:color="auto" w:fill="auto"/>
              <w:spacing w:line="240" w:lineRule="auto"/>
              <w:jc w:val="center"/>
            </w:pPr>
            <w:r>
              <w:rPr>
                <w:b/>
                <w:bCs/>
                <w:lang w:val="fr-FR" w:eastAsia="fr-FR" w:bidi="fr-FR"/>
              </w:rPr>
              <w:t>09-43</w:t>
            </w:r>
          </w:p>
        </w:tc>
        <w:tc>
          <w:tcPr>
            <w:tcW w:w="1022" w:type="dxa"/>
            <w:shd w:val="clear" w:color="auto" w:fill="FFFFFF"/>
            <w:vAlign w:val="bottom"/>
          </w:tcPr>
          <w:p w:rsidR="00A4351D" w:rsidRDefault="00094E8C">
            <w:pPr>
              <w:pStyle w:val="a7"/>
              <w:shd w:val="clear" w:color="auto" w:fill="auto"/>
              <w:spacing w:line="240" w:lineRule="auto"/>
              <w:ind w:firstLine="420"/>
            </w:pPr>
            <w:r>
              <w:rPr>
                <w:b/>
                <w:bCs/>
                <w:lang w:val="fr-FR" w:eastAsia="fr-FR" w:bidi="fr-FR"/>
              </w:rPr>
              <w:t>09-76</w:t>
            </w:r>
          </w:p>
        </w:tc>
      </w:tr>
      <w:tr w:rsidR="00A4351D">
        <w:tblPrEx>
          <w:tblCellMar>
            <w:top w:w="0" w:type="dxa"/>
            <w:bottom w:w="0" w:type="dxa"/>
          </w:tblCellMar>
        </w:tblPrEx>
        <w:trPr>
          <w:trHeight w:hRule="exact" w:val="437"/>
          <w:jc w:val="center"/>
        </w:trPr>
        <w:tc>
          <w:tcPr>
            <w:tcW w:w="250" w:type="dxa"/>
            <w:shd w:val="clear" w:color="auto" w:fill="FFFFFF"/>
            <w:vAlign w:val="center"/>
          </w:tcPr>
          <w:p w:rsidR="00A4351D" w:rsidRDefault="00094E8C">
            <w:pPr>
              <w:pStyle w:val="a7"/>
              <w:shd w:val="clear" w:color="auto" w:fill="auto"/>
              <w:spacing w:line="240" w:lineRule="auto"/>
              <w:rPr>
                <w:sz w:val="26"/>
                <w:szCs w:val="26"/>
              </w:rPr>
            </w:pPr>
            <w:r>
              <w:rPr>
                <w:sz w:val="26"/>
                <w:szCs w:val="26"/>
                <w:lang w:val="fr-FR" w:eastAsia="fr-FR" w:bidi="fr-FR"/>
              </w:rPr>
              <w:t>•</w:t>
            </w:r>
          </w:p>
        </w:tc>
        <w:tc>
          <w:tcPr>
            <w:tcW w:w="1123" w:type="dxa"/>
            <w:shd w:val="clear" w:color="auto" w:fill="FFFFFF"/>
            <w:vAlign w:val="bottom"/>
          </w:tcPr>
          <w:p w:rsidR="00A4351D" w:rsidRDefault="00094E8C">
            <w:pPr>
              <w:pStyle w:val="a7"/>
              <w:shd w:val="clear" w:color="auto" w:fill="auto"/>
              <w:spacing w:line="240" w:lineRule="auto"/>
            </w:pPr>
            <w:r>
              <w:rPr>
                <w:b/>
                <w:bCs/>
                <w:lang w:val="fr-FR" w:eastAsia="fr-FR" w:bidi="fr-FR"/>
              </w:rPr>
              <w:t>09-04</w:t>
            </w:r>
          </w:p>
        </w:tc>
        <w:tc>
          <w:tcPr>
            <w:tcW w:w="1440" w:type="dxa"/>
            <w:shd w:val="clear" w:color="auto" w:fill="FFFFFF"/>
            <w:vAlign w:val="bottom"/>
          </w:tcPr>
          <w:p w:rsidR="00A4351D" w:rsidRDefault="00094E8C">
            <w:pPr>
              <w:pStyle w:val="a7"/>
              <w:shd w:val="clear" w:color="auto" w:fill="auto"/>
              <w:spacing w:line="240" w:lineRule="auto"/>
              <w:jc w:val="center"/>
            </w:pPr>
            <w:r>
              <w:rPr>
                <w:b/>
                <w:bCs/>
                <w:lang w:val="fr-FR" w:eastAsia="fr-FR" w:bidi="fr-FR"/>
              </w:rPr>
              <w:t>09-44</w:t>
            </w:r>
          </w:p>
        </w:tc>
        <w:tc>
          <w:tcPr>
            <w:tcW w:w="1022" w:type="dxa"/>
            <w:shd w:val="clear" w:color="auto" w:fill="FFFFFF"/>
            <w:vAlign w:val="bottom"/>
          </w:tcPr>
          <w:p w:rsidR="00A4351D" w:rsidRDefault="00094E8C">
            <w:pPr>
              <w:pStyle w:val="a7"/>
              <w:shd w:val="clear" w:color="auto" w:fill="auto"/>
              <w:spacing w:line="240" w:lineRule="auto"/>
              <w:ind w:firstLine="420"/>
            </w:pPr>
            <w:r>
              <w:rPr>
                <w:b/>
                <w:bCs/>
                <w:lang w:val="fr-FR" w:eastAsia="fr-FR" w:bidi="fr-FR"/>
              </w:rPr>
              <w:t>09-77</w:t>
            </w:r>
          </w:p>
        </w:tc>
      </w:tr>
      <w:tr w:rsidR="00A4351D">
        <w:tblPrEx>
          <w:tblCellMar>
            <w:top w:w="0" w:type="dxa"/>
            <w:bottom w:w="0" w:type="dxa"/>
          </w:tblCellMar>
        </w:tblPrEx>
        <w:trPr>
          <w:trHeight w:hRule="exact" w:val="432"/>
          <w:jc w:val="center"/>
        </w:trPr>
        <w:tc>
          <w:tcPr>
            <w:tcW w:w="250" w:type="dxa"/>
            <w:shd w:val="clear" w:color="auto" w:fill="FFFFFF"/>
            <w:vAlign w:val="center"/>
          </w:tcPr>
          <w:p w:rsidR="00A4351D" w:rsidRDefault="00094E8C">
            <w:pPr>
              <w:pStyle w:val="a7"/>
              <w:shd w:val="clear" w:color="auto" w:fill="auto"/>
              <w:spacing w:line="240" w:lineRule="auto"/>
              <w:rPr>
                <w:sz w:val="26"/>
                <w:szCs w:val="26"/>
              </w:rPr>
            </w:pPr>
            <w:r>
              <w:rPr>
                <w:sz w:val="26"/>
                <w:szCs w:val="26"/>
                <w:lang w:val="fr-FR" w:eastAsia="fr-FR" w:bidi="fr-FR"/>
              </w:rPr>
              <w:t>•</w:t>
            </w:r>
          </w:p>
        </w:tc>
        <w:tc>
          <w:tcPr>
            <w:tcW w:w="1123" w:type="dxa"/>
            <w:shd w:val="clear" w:color="auto" w:fill="FFFFFF"/>
            <w:vAlign w:val="bottom"/>
          </w:tcPr>
          <w:p w:rsidR="00A4351D" w:rsidRDefault="00094E8C">
            <w:pPr>
              <w:pStyle w:val="a7"/>
              <w:shd w:val="clear" w:color="auto" w:fill="auto"/>
              <w:spacing w:line="240" w:lineRule="auto"/>
            </w:pPr>
            <w:r>
              <w:rPr>
                <w:b/>
                <w:bCs/>
                <w:lang w:val="fr-FR" w:eastAsia="fr-FR" w:bidi="fr-FR"/>
              </w:rPr>
              <w:t>09-05</w:t>
            </w:r>
          </w:p>
        </w:tc>
        <w:tc>
          <w:tcPr>
            <w:tcW w:w="1440" w:type="dxa"/>
            <w:shd w:val="clear" w:color="auto" w:fill="FFFFFF"/>
            <w:vAlign w:val="bottom"/>
          </w:tcPr>
          <w:p w:rsidR="00A4351D" w:rsidRDefault="00094E8C">
            <w:pPr>
              <w:pStyle w:val="a7"/>
              <w:shd w:val="clear" w:color="auto" w:fill="auto"/>
              <w:spacing w:line="240" w:lineRule="auto"/>
              <w:jc w:val="center"/>
            </w:pPr>
            <w:r>
              <w:rPr>
                <w:b/>
                <w:bCs/>
                <w:lang w:val="fr-FR" w:eastAsia="fr-FR" w:bidi="fr-FR"/>
              </w:rPr>
              <w:t>09-45</w:t>
            </w:r>
          </w:p>
        </w:tc>
        <w:tc>
          <w:tcPr>
            <w:tcW w:w="1022" w:type="dxa"/>
            <w:shd w:val="clear" w:color="auto" w:fill="FFFFFF"/>
            <w:vAlign w:val="bottom"/>
          </w:tcPr>
          <w:p w:rsidR="00A4351D" w:rsidRDefault="00094E8C">
            <w:pPr>
              <w:pStyle w:val="a7"/>
              <w:shd w:val="clear" w:color="auto" w:fill="auto"/>
              <w:spacing w:line="240" w:lineRule="auto"/>
              <w:ind w:firstLine="420"/>
            </w:pPr>
            <w:r>
              <w:rPr>
                <w:b/>
                <w:bCs/>
                <w:lang w:val="fr-FR" w:eastAsia="fr-FR" w:bidi="fr-FR"/>
              </w:rPr>
              <w:t>09-78</w:t>
            </w:r>
          </w:p>
        </w:tc>
      </w:tr>
      <w:tr w:rsidR="00A4351D">
        <w:tblPrEx>
          <w:tblCellMar>
            <w:top w:w="0" w:type="dxa"/>
            <w:bottom w:w="0" w:type="dxa"/>
          </w:tblCellMar>
        </w:tblPrEx>
        <w:trPr>
          <w:trHeight w:hRule="exact" w:val="437"/>
          <w:jc w:val="center"/>
        </w:trPr>
        <w:tc>
          <w:tcPr>
            <w:tcW w:w="250" w:type="dxa"/>
            <w:shd w:val="clear" w:color="auto" w:fill="FFFFFF"/>
            <w:vAlign w:val="center"/>
          </w:tcPr>
          <w:p w:rsidR="00A4351D" w:rsidRDefault="00094E8C">
            <w:pPr>
              <w:pStyle w:val="a7"/>
              <w:shd w:val="clear" w:color="auto" w:fill="auto"/>
              <w:spacing w:line="240" w:lineRule="auto"/>
              <w:rPr>
                <w:sz w:val="26"/>
                <w:szCs w:val="26"/>
              </w:rPr>
            </w:pPr>
            <w:r>
              <w:rPr>
                <w:sz w:val="26"/>
                <w:szCs w:val="26"/>
                <w:lang w:val="fr-FR" w:eastAsia="fr-FR" w:bidi="fr-FR"/>
              </w:rPr>
              <w:t>•</w:t>
            </w:r>
          </w:p>
        </w:tc>
        <w:tc>
          <w:tcPr>
            <w:tcW w:w="1123" w:type="dxa"/>
            <w:shd w:val="clear" w:color="auto" w:fill="FFFFFF"/>
            <w:vAlign w:val="bottom"/>
          </w:tcPr>
          <w:p w:rsidR="00A4351D" w:rsidRDefault="00094E8C">
            <w:pPr>
              <w:pStyle w:val="a7"/>
              <w:shd w:val="clear" w:color="auto" w:fill="auto"/>
              <w:spacing w:line="240" w:lineRule="auto"/>
            </w:pPr>
            <w:r>
              <w:rPr>
                <w:b/>
                <w:bCs/>
                <w:lang w:val="fr-FR" w:eastAsia="fr-FR" w:bidi="fr-FR"/>
              </w:rPr>
              <w:t>09-06</w:t>
            </w:r>
          </w:p>
        </w:tc>
        <w:tc>
          <w:tcPr>
            <w:tcW w:w="1440" w:type="dxa"/>
            <w:shd w:val="clear" w:color="auto" w:fill="FFFFFF"/>
            <w:vAlign w:val="bottom"/>
          </w:tcPr>
          <w:p w:rsidR="00A4351D" w:rsidRDefault="00094E8C">
            <w:pPr>
              <w:pStyle w:val="a7"/>
              <w:shd w:val="clear" w:color="auto" w:fill="auto"/>
              <w:spacing w:line="240" w:lineRule="auto"/>
              <w:jc w:val="center"/>
            </w:pPr>
            <w:r>
              <w:rPr>
                <w:b/>
                <w:bCs/>
                <w:lang w:val="fr-FR" w:eastAsia="fr-FR" w:bidi="fr-FR"/>
              </w:rPr>
              <w:t>09-46</w:t>
            </w:r>
          </w:p>
        </w:tc>
        <w:tc>
          <w:tcPr>
            <w:tcW w:w="1022" w:type="dxa"/>
            <w:shd w:val="clear" w:color="auto" w:fill="FFFFFF"/>
            <w:vAlign w:val="bottom"/>
          </w:tcPr>
          <w:p w:rsidR="00A4351D" w:rsidRDefault="00094E8C">
            <w:pPr>
              <w:pStyle w:val="a7"/>
              <w:shd w:val="clear" w:color="auto" w:fill="auto"/>
              <w:spacing w:line="240" w:lineRule="auto"/>
              <w:ind w:firstLine="420"/>
            </w:pPr>
            <w:r>
              <w:rPr>
                <w:b/>
                <w:bCs/>
                <w:lang w:val="fr-FR" w:eastAsia="fr-FR" w:bidi="fr-FR"/>
              </w:rPr>
              <w:t>09-79</w:t>
            </w:r>
          </w:p>
        </w:tc>
      </w:tr>
      <w:tr w:rsidR="00A4351D">
        <w:tblPrEx>
          <w:tblCellMar>
            <w:top w:w="0" w:type="dxa"/>
            <w:bottom w:w="0" w:type="dxa"/>
          </w:tblCellMar>
        </w:tblPrEx>
        <w:trPr>
          <w:trHeight w:hRule="exact" w:val="326"/>
          <w:jc w:val="center"/>
        </w:trPr>
        <w:tc>
          <w:tcPr>
            <w:tcW w:w="250" w:type="dxa"/>
            <w:shd w:val="clear" w:color="auto" w:fill="FFFFFF"/>
            <w:vAlign w:val="bottom"/>
          </w:tcPr>
          <w:p w:rsidR="00A4351D" w:rsidRDefault="00094E8C">
            <w:pPr>
              <w:pStyle w:val="a7"/>
              <w:shd w:val="clear" w:color="auto" w:fill="auto"/>
              <w:spacing w:line="240" w:lineRule="auto"/>
              <w:rPr>
                <w:sz w:val="26"/>
                <w:szCs w:val="26"/>
              </w:rPr>
            </w:pPr>
            <w:r>
              <w:rPr>
                <w:sz w:val="26"/>
                <w:szCs w:val="26"/>
                <w:lang w:val="fr-FR" w:eastAsia="fr-FR" w:bidi="fr-FR"/>
              </w:rPr>
              <w:t>•</w:t>
            </w:r>
          </w:p>
        </w:tc>
        <w:tc>
          <w:tcPr>
            <w:tcW w:w="1123" w:type="dxa"/>
            <w:shd w:val="clear" w:color="auto" w:fill="FFFFFF"/>
            <w:vAlign w:val="bottom"/>
          </w:tcPr>
          <w:p w:rsidR="00A4351D" w:rsidRDefault="00094E8C">
            <w:pPr>
              <w:pStyle w:val="a7"/>
              <w:shd w:val="clear" w:color="auto" w:fill="auto"/>
              <w:spacing w:line="240" w:lineRule="auto"/>
            </w:pPr>
            <w:r>
              <w:rPr>
                <w:b/>
                <w:bCs/>
                <w:lang w:val="fr-FR" w:eastAsia="fr-FR" w:bidi="fr-FR"/>
              </w:rPr>
              <w:t>09-07</w:t>
            </w:r>
          </w:p>
        </w:tc>
        <w:tc>
          <w:tcPr>
            <w:tcW w:w="1440" w:type="dxa"/>
            <w:shd w:val="clear" w:color="auto" w:fill="FFFFFF"/>
            <w:vAlign w:val="bottom"/>
          </w:tcPr>
          <w:p w:rsidR="00A4351D" w:rsidRDefault="00094E8C">
            <w:pPr>
              <w:pStyle w:val="a7"/>
              <w:shd w:val="clear" w:color="auto" w:fill="auto"/>
              <w:spacing w:line="240" w:lineRule="auto"/>
              <w:jc w:val="center"/>
            </w:pPr>
            <w:r>
              <w:rPr>
                <w:b/>
                <w:bCs/>
                <w:lang w:val="fr-FR" w:eastAsia="fr-FR" w:bidi="fr-FR"/>
              </w:rPr>
              <w:t>09-47</w:t>
            </w:r>
          </w:p>
        </w:tc>
        <w:tc>
          <w:tcPr>
            <w:tcW w:w="1022" w:type="dxa"/>
            <w:shd w:val="clear" w:color="auto" w:fill="FFFFFF"/>
            <w:vAlign w:val="bottom"/>
          </w:tcPr>
          <w:p w:rsidR="00A4351D" w:rsidRDefault="00094E8C">
            <w:pPr>
              <w:pStyle w:val="a7"/>
              <w:shd w:val="clear" w:color="auto" w:fill="auto"/>
              <w:spacing w:line="240" w:lineRule="auto"/>
              <w:ind w:firstLine="420"/>
            </w:pPr>
            <w:r>
              <w:rPr>
                <w:b/>
                <w:bCs/>
                <w:lang w:val="fr-FR" w:eastAsia="fr-FR" w:bidi="fr-FR"/>
              </w:rPr>
              <w:t>09-80</w:t>
            </w:r>
          </w:p>
        </w:tc>
      </w:tr>
    </w:tbl>
    <w:p w:rsidR="00A4351D" w:rsidRDefault="00A4351D">
      <w:pPr>
        <w:spacing w:after="559" w:line="1" w:lineRule="exact"/>
      </w:pPr>
    </w:p>
    <w:p w:rsidR="00A4351D" w:rsidRDefault="00094E8C">
      <w:pPr>
        <w:pStyle w:val="1"/>
        <w:shd w:val="clear" w:color="auto" w:fill="auto"/>
        <w:spacing w:after="560" w:line="240" w:lineRule="auto"/>
        <w:ind w:firstLine="300"/>
      </w:pPr>
      <w:r>
        <w:t>These batches were produced as follows:</w:t>
      </w:r>
    </w:p>
    <w:p w:rsidR="00A4351D" w:rsidRDefault="00094E8C">
      <w:pPr>
        <w:pStyle w:val="a5"/>
        <w:shd w:val="clear" w:color="auto" w:fill="auto"/>
        <w:ind w:left="2784"/>
        <w:rPr>
          <w:sz w:val="20"/>
          <w:szCs w:val="20"/>
        </w:rPr>
      </w:pPr>
      <w:r>
        <w:rPr>
          <w:b/>
          <w:bCs/>
          <w:sz w:val="20"/>
          <w:szCs w:val="20"/>
        </w:rPr>
        <w:t>Table 3.2.P.3.5.1.A: Batches identity</w:t>
      </w:r>
    </w:p>
    <w:tbl>
      <w:tblPr>
        <w:tblOverlap w:val="never"/>
        <w:tblW w:w="0" w:type="auto"/>
        <w:jc w:val="center"/>
        <w:tblLayout w:type="fixed"/>
        <w:tblCellMar>
          <w:left w:w="10" w:type="dxa"/>
          <w:right w:w="10" w:type="dxa"/>
        </w:tblCellMar>
        <w:tblLook w:val="0000" w:firstRow="0" w:lastRow="0" w:firstColumn="0" w:lastColumn="0" w:noHBand="0" w:noVBand="0"/>
      </w:tblPr>
      <w:tblGrid>
        <w:gridCol w:w="2760"/>
        <w:gridCol w:w="1853"/>
        <w:gridCol w:w="2405"/>
        <w:gridCol w:w="1718"/>
      </w:tblGrid>
      <w:tr w:rsidR="00A4351D">
        <w:tblPrEx>
          <w:tblCellMar>
            <w:top w:w="0" w:type="dxa"/>
            <w:bottom w:w="0" w:type="dxa"/>
          </w:tblCellMar>
        </w:tblPrEx>
        <w:trPr>
          <w:trHeight w:hRule="exact" w:val="442"/>
          <w:jc w:val="center"/>
        </w:trPr>
        <w:tc>
          <w:tcPr>
            <w:tcW w:w="2760" w:type="dxa"/>
            <w:tcBorders>
              <w:top w:val="single" w:sz="4" w:space="0" w:color="auto"/>
              <w:left w:val="single" w:sz="4" w:space="0" w:color="auto"/>
            </w:tcBorders>
            <w:shd w:val="clear" w:color="auto" w:fill="C8C8C8"/>
          </w:tcPr>
          <w:p w:rsidR="00A4351D" w:rsidRDefault="00094E8C">
            <w:pPr>
              <w:pStyle w:val="a7"/>
              <w:shd w:val="clear" w:color="auto" w:fill="auto"/>
              <w:spacing w:line="240" w:lineRule="auto"/>
              <w:jc w:val="center"/>
            </w:pPr>
            <w:r>
              <w:rPr>
                <w:b/>
                <w:bCs/>
                <w:lang w:val="fr-FR" w:eastAsia="fr-FR" w:bidi="fr-FR"/>
              </w:rPr>
              <w:t>Content</w:t>
            </w:r>
          </w:p>
        </w:tc>
        <w:tc>
          <w:tcPr>
            <w:tcW w:w="1853" w:type="dxa"/>
            <w:tcBorders>
              <w:top w:val="single" w:sz="4" w:space="0" w:color="auto"/>
              <w:left w:val="single" w:sz="4" w:space="0" w:color="auto"/>
            </w:tcBorders>
            <w:shd w:val="clear" w:color="auto" w:fill="C8C8C8"/>
          </w:tcPr>
          <w:p w:rsidR="00A4351D" w:rsidRDefault="00094E8C">
            <w:pPr>
              <w:pStyle w:val="a7"/>
              <w:shd w:val="clear" w:color="auto" w:fill="auto"/>
              <w:spacing w:line="240" w:lineRule="auto"/>
              <w:jc w:val="center"/>
            </w:pPr>
            <w:r>
              <w:rPr>
                <w:b/>
                <w:bCs/>
              </w:rPr>
              <w:t>Batch number</w:t>
            </w:r>
          </w:p>
        </w:tc>
        <w:tc>
          <w:tcPr>
            <w:tcW w:w="2405" w:type="dxa"/>
            <w:tcBorders>
              <w:top w:val="single" w:sz="4" w:space="0" w:color="auto"/>
              <w:left w:val="single" w:sz="4" w:space="0" w:color="auto"/>
            </w:tcBorders>
            <w:shd w:val="clear" w:color="auto" w:fill="C8C8C8"/>
          </w:tcPr>
          <w:p w:rsidR="00A4351D" w:rsidRDefault="00094E8C">
            <w:pPr>
              <w:pStyle w:val="a7"/>
              <w:shd w:val="clear" w:color="auto" w:fill="auto"/>
              <w:spacing w:line="240" w:lineRule="auto"/>
              <w:jc w:val="center"/>
            </w:pPr>
            <w:r>
              <w:rPr>
                <w:b/>
                <w:bCs/>
              </w:rPr>
              <w:t>Manufacturing date</w:t>
            </w:r>
          </w:p>
        </w:tc>
        <w:tc>
          <w:tcPr>
            <w:tcW w:w="1718" w:type="dxa"/>
            <w:tcBorders>
              <w:top w:val="single" w:sz="4" w:space="0" w:color="auto"/>
              <w:left w:val="single" w:sz="4" w:space="0" w:color="auto"/>
              <w:right w:val="single" w:sz="4" w:space="0" w:color="auto"/>
            </w:tcBorders>
            <w:shd w:val="clear" w:color="auto" w:fill="C8C8C8"/>
          </w:tcPr>
          <w:p w:rsidR="00A4351D" w:rsidRDefault="00094E8C">
            <w:pPr>
              <w:pStyle w:val="a7"/>
              <w:shd w:val="clear" w:color="auto" w:fill="auto"/>
              <w:spacing w:line="240" w:lineRule="auto"/>
              <w:jc w:val="center"/>
            </w:pPr>
            <w:r>
              <w:rPr>
                <w:b/>
                <w:bCs/>
              </w:rPr>
              <w:t>Batch size</w:t>
            </w:r>
          </w:p>
        </w:tc>
      </w:tr>
      <w:tr w:rsidR="00A4351D">
        <w:tblPrEx>
          <w:tblCellMar>
            <w:top w:w="0" w:type="dxa"/>
            <w:bottom w:w="0" w:type="dxa"/>
          </w:tblCellMar>
        </w:tblPrEx>
        <w:trPr>
          <w:trHeight w:hRule="exact" w:val="432"/>
          <w:jc w:val="center"/>
        </w:trPr>
        <w:tc>
          <w:tcPr>
            <w:tcW w:w="2760" w:type="dxa"/>
            <w:tcBorders>
              <w:top w:val="single" w:sz="4" w:space="0" w:color="auto"/>
              <w:left w:val="single" w:sz="4" w:space="0" w:color="auto"/>
            </w:tcBorders>
            <w:shd w:val="clear" w:color="auto" w:fill="FFFFFF"/>
          </w:tcPr>
          <w:p w:rsidR="00A4351D" w:rsidRDefault="00A4351D">
            <w:pPr>
              <w:rPr>
                <w:sz w:val="10"/>
                <w:szCs w:val="10"/>
              </w:rPr>
            </w:pPr>
          </w:p>
        </w:tc>
        <w:tc>
          <w:tcPr>
            <w:tcW w:w="1853" w:type="dxa"/>
            <w:tcBorders>
              <w:top w:val="single" w:sz="4" w:space="0" w:color="auto"/>
              <w:left w:val="single" w:sz="4" w:space="0" w:color="auto"/>
            </w:tcBorders>
            <w:shd w:val="clear" w:color="auto" w:fill="FFFFFF"/>
          </w:tcPr>
          <w:p w:rsidR="00A4351D" w:rsidRDefault="00094E8C">
            <w:pPr>
              <w:pStyle w:val="a7"/>
              <w:shd w:val="clear" w:color="auto" w:fill="auto"/>
              <w:spacing w:line="240" w:lineRule="auto"/>
              <w:jc w:val="center"/>
            </w:pPr>
            <w:r>
              <w:rPr>
                <w:lang w:val="fr-FR" w:eastAsia="fr-FR" w:bidi="fr-FR"/>
              </w:rPr>
              <w:t>09-01</w:t>
            </w:r>
          </w:p>
        </w:tc>
        <w:tc>
          <w:tcPr>
            <w:tcW w:w="2405" w:type="dxa"/>
            <w:tcBorders>
              <w:top w:val="single" w:sz="4" w:space="0" w:color="auto"/>
              <w:left w:val="single" w:sz="4" w:space="0" w:color="auto"/>
            </w:tcBorders>
            <w:shd w:val="clear" w:color="auto" w:fill="FFFFFF"/>
          </w:tcPr>
          <w:p w:rsidR="00A4351D" w:rsidRDefault="00094E8C">
            <w:pPr>
              <w:pStyle w:val="a7"/>
              <w:shd w:val="clear" w:color="auto" w:fill="auto"/>
              <w:spacing w:line="240" w:lineRule="auto"/>
              <w:jc w:val="center"/>
            </w:pPr>
            <w:r>
              <w:t>05-2009</w:t>
            </w:r>
          </w:p>
        </w:tc>
        <w:tc>
          <w:tcPr>
            <w:tcW w:w="1718"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jc w:val="center"/>
            </w:pPr>
            <w:r>
              <w:t>200.000 L</w:t>
            </w:r>
          </w:p>
        </w:tc>
      </w:tr>
      <w:tr w:rsidR="00A4351D">
        <w:tblPrEx>
          <w:tblCellMar>
            <w:top w:w="0" w:type="dxa"/>
            <w:bottom w:w="0" w:type="dxa"/>
          </w:tblCellMar>
        </w:tblPrEx>
        <w:trPr>
          <w:trHeight w:hRule="exact" w:val="437"/>
          <w:jc w:val="center"/>
        </w:trPr>
        <w:tc>
          <w:tcPr>
            <w:tcW w:w="2760" w:type="dxa"/>
            <w:tcBorders>
              <w:left w:val="single" w:sz="4" w:space="0" w:color="auto"/>
            </w:tcBorders>
            <w:shd w:val="clear" w:color="auto" w:fill="FFFFFF"/>
          </w:tcPr>
          <w:p w:rsidR="00A4351D" w:rsidRDefault="00094E8C">
            <w:pPr>
              <w:pStyle w:val="a7"/>
              <w:shd w:val="clear" w:color="auto" w:fill="auto"/>
              <w:spacing w:line="240" w:lineRule="auto"/>
              <w:jc w:val="center"/>
            </w:pPr>
            <w:r>
              <w:rPr>
                <w:lang w:val="fr-FR" w:eastAsia="fr-FR" w:bidi="fr-FR"/>
              </w:rPr>
              <w:t>150 mg/ml</w:t>
            </w:r>
          </w:p>
        </w:tc>
        <w:tc>
          <w:tcPr>
            <w:tcW w:w="1853" w:type="dxa"/>
            <w:tcBorders>
              <w:left w:val="single" w:sz="4" w:space="0" w:color="auto"/>
            </w:tcBorders>
            <w:shd w:val="clear" w:color="auto" w:fill="FFFFFF"/>
          </w:tcPr>
          <w:p w:rsidR="00A4351D" w:rsidRDefault="00094E8C">
            <w:pPr>
              <w:pStyle w:val="a7"/>
              <w:shd w:val="clear" w:color="auto" w:fill="auto"/>
              <w:spacing w:line="240" w:lineRule="auto"/>
              <w:jc w:val="center"/>
            </w:pPr>
            <w:r>
              <w:t>to</w:t>
            </w:r>
          </w:p>
        </w:tc>
        <w:tc>
          <w:tcPr>
            <w:tcW w:w="2405" w:type="dxa"/>
            <w:tcBorders>
              <w:left w:val="single" w:sz="4" w:space="0" w:color="auto"/>
            </w:tcBorders>
            <w:shd w:val="clear" w:color="auto" w:fill="FFFFFF"/>
          </w:tcPr>
          <w:p w:rsidR="00A4351D" w:rsidRDefault="00094E8C">
            <w:pPr>
              <w:pStyle w:val="a7"/>
              <w:shd w:val="clear" w:color="auto" w:fill="auto"/>
              <w:spacing w:line="240" w:lineRule="auto"/>
              <w:jc w:val="center"/>
            </w:pPr>
            <w:r>
              <w:t>to</w:t>
            </w:r>
          </w:p>
        </w:tc>
        <w:tc>
          <w:tcPr>
            <w:tcW w:w="1718"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jc w:val="center"/>
            </w:pPr>
            <w:r>
              <w:t>200.000 L</w:t>
            </w:r>
          </w:p>
        </w:tc>
      </w:tr>
      <w:tr w:rsidR="00A4351D">
        <w:tblPrEx>
          <w:tblCellMar>
            <w:top w:w="0" w:type="dxa"/>
            <w:bottom w:w="0" w:type="dxa"/>
          </w:tblCellMar>
        </w:tblPrEx>
        <w:trPr>
          <w:trHeight w:hRule="exact" w:val="442"/>
          <w:jc w:val="center"/>
        </w:trPr>
        <w:tc>
          <w:tcPr>
            <w:tcW w:w="2760" w:type="dxa"/>
            <w:tcBorders>
              <w:left w:val="single" w:sz="4" w:space="0" w:color="auto"/>
              <w:bottom w:val="single" w:sz="4" w:space="0" w:color="auto"/>
            </w:tcBorders>
            <w:shd w:val="clear" w:color="auto" w:fill="FFFFFF"/>
          </w:tcPr>
          <w:p w:rsidR="00A4351D" w:rsidRDefault="00A4351D">
            <w:pPr>
              <w:rPr>
                <w:sz w:val="10"/>
                <w:szCs w:val="10"/>
              </w:rPr>
            </w:pPr>
          </w:p>
        </w:tc>
        <w:tc>
          <w:tcPr>
            <w:tcW w:w="1853" w:type="dxa"/>
            <w:tcBorders>
              <w:left w:val="single" w:sz="4" w:space="0" w:color="auto"/>
              <w:bottom w:val="single" w:sz="4" w:space="0" w:color="auto"/>
            </w:tcBorders>
            <w:shd w:val="clear" w:color="auto" w:fill="FFFFFF"/>
          </w:tcPr>
          <w:p w:rsidR="00A4351D" w:rsidRDefault="00094E8C">
            <w:pPr>
              <w:pStyle w:val="a7"/>
              <w:shd w:val="clear" w:color="auto" w:fill="auto"/>
              <w:spacing w:line="240" w:lineRule="auto"/>
              <w:jc w:val="center"/>
            </w:pPr>
            <w:r>
              <w:rPr>
                <w:lang w:val="fr-FR" w:eastAsia="fr-FR" w:bidi="fr-FR"/>
              </w:rPr>
              <w:t>09-80</w:t>
            </w:r>
          </w:p>
        </w:tc>
        <w:tc>
          <w:tcPr>
            <w:tcW w:w="2405" w:type="dxa"/>
            <w:tcBorders>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jc w:val="center"/>
            </w:pPr>
            <w:r>
              <w:t>02-2010</w:t>
            </w:r>
          </w:p>
        </w:tc>
        <w:tc>
          <w:tcPr>
            <w:tcW w:w="1718" w:type="dxa"/>
            <w:tcBorders>
              <w:top w:val="single" w:sz="4" w:space="0" w:color="auto"/>
              <w:left w:val="single" w:sz="4" w:space="0" w:color="auto"/>
              <w:bottom w:val="single" w:sz="4" w:space="0" w:color="auto"/>
              <w:right w:val="single" w:sz="4" w:space="0" w:color="auto"/>
            </w:tcBorders>
            <w:shd w:val="clear" w:color="auto" w:fill="FFFFFF"/>
          </w:tcPr>
          <w:p w:rsidR="00A4351D" w:rsidRDefault="00094E8C">
            <w:pPr>
              <w:pStyle w:val="a7"/>
              <w:shd w:val="clear" w:color="auto" w:fill="auto"/>
              <w:spacing w:line="240" w:lineRule="auto"/>
              <w:jc w:val="center"/>
            </w:pPr>
            <w:r>
              <w:t>200.000 L</w:t>
            </w:r>
          </w:p>
        </w:tc>
      </w:tr>
    </w:tbl>
    <w:p w:rsidR="00A4351D" w:rsidRDefault="00A4351D">
      <w:pPr>
        <w:spacing w:after="419" w:line="1" w:lineRule="exact"/>
      </w:pPr>
    </w:p>
    <w:p w:rsidR="00A4351D" w:rsidRDefault="00094E8C">
      <w:pPr>
        <w:pStyle w:val="1"/>
        <w:shd w:val="clear" w:color="auto" w:fill="auto"/>
        <w:spacing w:after="560" w:line="240" w:lineRule="auto"/>
        <w:ind w:firstLine="300"/>
      </w:pPr>
      <w:r>
        <w:t xml:space="preserve">All batches were manufactured following the </w:t>
      </w:r>
      <w:r>
        <w:t>same manufacturing process.</w:t>
      </w:r>
    </w:p>
    <w:p w:rsidR="00A4351D" w:rsidRDefault="00094E8C">
      <w:pPr>
        <w:pStyle w:val="1"/>
        <w:shd w:val="clear" w:color="auto" w:fill="auto"/>
        <w:spacing w:after="500" w:line="240" w:lineRule="auto"/>
        <w:ind w:firstLine="300"/>
      </w:pPr>
      <w:r>
        <w:t>Please refer to Module 3 for the validation of manufacturing procedure.</w:t>
      </w:r>
      <w:r>
        <w:br w:type="page"/>
      </w:r>
    </w:p>
    <w:p w:rsidR="00A4351D" w:rsidRDefault="00094E8C">
      <w:pPr>
        <w:pStyle w:val="1"/>
        <w:numPr>
          <w:ilvl w:val="0"/>
          <w:numId w:val="29"/>
        </w:numPr>
        <w:shd w:val="clear" w:color="auto" w:fill="auto"/>
        <w:spacing w:line="338" w:lineRule="auto"/>
        <w:ind w:firstLine="300"/>
        <w:jc w:val="both"/>
        <w:rPr>
          <w:sz w:val="26"/>
          <w:szCs w:val="26"/>
        </w:rPr>
      </w:pPr>
      <w:r>
        <w:rPr>
          <w:b/>
          <w:bCs/>
          <w:i/>
          <w:iCs/>
          <w:sz w:val="26"/>
          <w:szCs w:val="26"/>
        </w:rPr>
        <w:lastRenderedPageBreak/>
        <w:t>P.4 CONTROL OF EXCIPIENTS</w:t>
      </w:r>
    </w:p>
    <w:p w:rsidR="00A4351D" w:rsidRDefault="00094E8C">
      <w:pPr>
        <w:pStyle w:val="1"/>
        <w:shd w:val="clear" w:color="auto" w:fill="auto"/>
        <w:spacing w:after="400"/>
        <w:ind w:left="300"/>
        <w:jc w:val="both"/>
      </w:pPr>
      <w:r>
        <w:t>All excipients contained in the Drug Product have a Pharmacopoeial status and specifications have been worked out in line with cu</w:t>
      </w:r>
      <w:r>
        <w:t>rrent Ph. Eur. Monographs.</w:t>
      </w:r>
    </w:p>
    <w:p w:rsidR="00A4351D" w:rsidRDefault="00094E8C">
      <w:pPr>
        <w:pStyle w:val="a5"/>
        <w:shd w:val="clear" w:color="auto" w:fill="auto"/>
        <w:ind w:left="1637"/>
      </w:pPr>
      <w:r>
        <w:rPr>
          <w:b/>
          <w:bCs/>
          <w:lang w:val="fr-FR" w:eastAsia="fr-FR" w:bidi="fr-FR"/>
        </w:rPr>
        <w:t>EXCIPIENTS DESCRIBED IN A PHARMACOPOEIA:</w:t>
      </w:r>
    </w:p>
    <w:tbl>
      <w:tblPr>
        <w:tblOverlap w:val="never"/>
        <w:tblW w:w="0" w:type="auto"/>
        <w:jc w:val="center"/>
        <w:tblLayout w:type="fixed"/>
        <w:tblCellMar>
          <w:left w:w="10" w:type="dxa"/>
          <w:right w:w="10" w:type="dxa"/>
        </w:tblCellMar>
        <w:tblLook w:val="0000" w:firstRow="0" w:lastRow="0" w:firstColumn="0" w:lastColumn="0" w:noHBand="0" w:noVBand="0"/>
      </w:tblPr>
      <w:tblGrid>
        <w:gridCol w:w="648"/>
        <w:gridCol w:w="3077"/>
        <w:gridCol w:w="5453"/>
      </w:tblGrid>
      <w:tr w:rsidR="00A4351D">
        <w:tblPrEx>
          <w:tblCellMar>
            <w:top w:w="0" w:type="dxa"/>
            <w:bottom w:w="0" w:type="dxa"/>
          </w:tblCellMar>
        </w:tblPrEx>
        <w:trPr>
          <w:trHeight w:hRule="exact" w:val="403"/>
          <w:jc w:val="center"/>
        </w:trPr>
        <w:tc>
          <w:tcPr>
            <w:tcW w:w="648"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ind w:firstLine="240"/>
              <w:rPr>
                <w:sz w:val="22"/>
                <w:szCs w:val="22"/>
              </w:rPr>
            </w:pPr>
            <w:r>
              <w:rPr>
                <w:b/>
                <w:bCs/>
                <w:sz w:val="22"/>
                <w:szCs w:val="22"/>
                <w:lang w:val="fr-FR" w:eastAsia="fr-FR" w:bidi="fr-FR"/>
              </w:rPr>
              <w:t>No</w:t>
            </w:r>
          </w:p>
        </w:tc>
        <w:tc>
          <w:tcPr>
            <w:tcW w:w="3077"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ind w:firstLine="560"/>
              <w:rPr>
                <w:sz w:val="22"/>
                <w:szCs w:val="22"/>
              </w:rPr>
            </w:pPr>
            <w:r>
              <w:rPr>
                <w:b/>
                <w:bCs/>
                <w:sz w:val="22"/>
                <w:szCs w:val="22"/>
              </w:rPr>
              <w:t>Name of ingredient</w:t>
            </w:r>
          </w:p>
        </w:tc>
        <w:tc>
          <w:tcPr>
            <w:tcW w:w="5453" w:type="dxa"/>
            <w:tcBorders>
              <w:top w:val="single" w:sz="4" w:space="0" w:color="auto"/>
              <w:left w:val="single" w:sz="4" w:space="0" w:color="auto"/>
              <w:right w:val="single" w:sz="4" w:space="0" w:color="auto"/>
            </w:tcBorders>
            <w:shd w:val="clear" w:color="auto" w:fill="DFDFDF"/>
          </w:tcPr>
          <w:p w:rsidR="00A4351D" w:rsidRDefault="00094E8C">
            <w:pPr>
              <w:pStyle w:val="a7"/>
              <w:shd w:val="clear" w:color="auto" w:fill="auto"/>
              <w:spacing w:line="240" w:lineRule="auto"/>
              <w:jc w:val="center"/>
              <w:rPr>
                <w:sz w:val="22"/>
                <w:szCs w:val="22"/>
              </w:rPr>
            </w:pPr>
            <w:r>
              <w:rPr>
                <w:b/>
                <w:bCs/>
                <w:sz w:val="22"/>
                <w:szCs w:val="22"/>
              </w:rPr>
              <w:t>Reference to standards</w:t>
            </w:r>
          </w:p>
        </w:tc>
      </w:tr>
      <w:tr w:rsidR="00A4351D">
        <w:tblPrEx>
          <w:tblCellMar>
            <w:top w:w="0" w:type="dxa"/>
            <w:bottom w:w="0" w:type="dxa"/>
          </w:tblCellMar>
        </w:tblPrEx>
        <w:trPr>
          <w:trHeight w:hRule="exact" w:val="398"/>
          <w:jc w:val="center"/>
        </w:trPr>
        <w:tc>
          <w:tcPr>
            <w:tcW w:w="6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300"/>
              <w:rPr>
                <w:sz w:val="22"/>
                <w:szCs w:val="22"/>
              </w:rPr>
            </w:pPr>
            <w:r>
              <w:rPr>
                <w:sz w:val="22"/>
                <w:szCs w:val="22"/>
                <w:lang w:val="fr-FR" w:eastAsia="fr-FR" w:bidi="fr-FR"/>
              </w:rPr>
              <w:t>1.</w:t>
            </w:r>
          </w:p>
        </w:tc>
        <w:tc>
          <w:tcPr>
            <w:tcW w:w="307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lang w:val="fr-FR" w:eastAsia="fr-FR" w:bidi="fr-FR"/>
              </w:rPr>
              <w:t>Ethanol 96.0%</w:t>
            </w:r>
          </w:p>
        </w:tc>
        <w:tc>
          <w:tcPr>
            <w:tcW w:w="545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Current Eur.Pharmacopoeia monograph 1317</w:t>
            </w:r>
          </w:p>
        </w:tc>
      </w:tr>
      <w:tr w:rsidR="00A4351D">
        <w:tblPrEx>
          <w:tblCellMar>
            <w:top w:w="0" w:type="dxa"/>
            <w:bottom w:w="0" w:type="dxa"/>
          </w:tblCellMar>
        </w:tblPrEx>
        <w:trPr>
          <w:trHeight w:hRule="exact" w:val="413"/>
          <w:jc w:val="center"/>
        </w:trPr>
        <w:tc>
          <w:tcPr>
            <w:tcW w:w="6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300"/>
              <w:jc w:val="both"/>
              <w:rPr>
                <w:sz w:val="22"/>
                <w:szCs w:val="22"/>
              </w:rPr>
            </w:pPr>
            <w:r>
              <w:rPr>
                <w:sz w:val="22"/>
                <w:szCs w:val="22"/>
                <w:lang w:val="fr-FR" w:eastAsia="fr-FR" w:bidi="fr-FR"/>
              </w:rPr>
              <w:t>2.</w:t>
            </w:r>
          </w:p>
        </w:tc>
        <w:tc>
          <w:tcPr>
            <w:tcW w:w="307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 xml:space="preserve">Disodium </w:t>
            </w:r>
            <w:r>
              <w:rPr>
                <w:sz w:val="22"/>
                <w:szCs w:val="22"/>
                <w:lang w:val="fr-FR" w:eastAsia="fr-FR" w:bidi="fr-FR"/>
              </w:rPr>
              <w:t>Edetate</w:t>
            </w:r>
          </w:p>
        </w:tc>
        <w:tc>
          <w:tcPr>
            <w:tcW w:w="545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Current Eur.Pharmacopoeia monograph 0232</w:t>
            </w:r>
          </w:p>
        </w:tc>
      </w:tr>
      <w:tr w:rsidR="00A4351D">
        <w:tblPrEx>
          <w:tblCellMar>
            <w:top w:w="0" w:type="dxa"/>
            <w:bottom w:w="0" w:type="dxa"/>
          </w:tblCellMar>
        </w:tblPrEx>
        <w:trPr>
          <w:trHeight w:hRule="exact" w:val="595"/>
          <w:jc w:val="center"/>
        </w:trPr>
        <w:tc>
          <w:tcPr>
            <w:tcW w:w="6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300"/>
              <w:jc w:val="both"/>
              <w:rPr>
                <w:sz w:val="22"/>
                <w:szCs w:val="22"/>
              </w:rPr>
            </w:pPr>
            <w:r>
              <w:rPr>
                <w:sz w:val="22"/>
                <w:szCs w:val="22"/>
                <w:lang w:val="fr-FR" w:eastAsia="fr-FR" w:bidi="fr-FR"/>
              </w:rPr>
              <w:t>3.</w:t>
            </w:r>
          </w:p>
        </w:tc>
        <w:tc>
          <w:tcPr>
            <w:tcW w:w="3077"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rPr>
                <w:sz w:val="22"/>
                <w:szCs w:val="22"/>
              </w:rPr>
            </w:pPr>
            <w:r>
              <w:rPr>
                <w:sz w:val="22"/>
                <w:szCs w:val="22"/>
                <w:lang w:val="fr-FR" w:eastAsia="fr-FR" w:bidi="fr-FR"/>
              </w:rPr>
              <w:t xml:space="preserve">Disodium Hydrogen </w:t>
            </w:r>
            <w:r>
              <w:rPr>
                <w:sz w:val="22"/>
                <w:szCs w:val="22"/>
                <w:lang w:val="fr-FR" w:eastAsia="fr-FR" w:bidi="fr-FR"/>
              </w:rPr>
              <w:t>Phosphate Dodecahydrate</w:t>
            </w:r>
          </w:p>
        </w:tc>
        <w:tc>
          <w:tcPr>
            <w:tcW w:w="545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Current Eur.Pharmacopoeia monograph 0118</w:t>
            </w:r>
          </w:p>
        </w:tc>
      </w:tr>
      <w:tr w:rsidR="00A4351D">
        <w:tblPrEx>
          <w:tblCellMar>
            <w:top w:w="0" w:type="dxa"/>
            <w:bottom w:w="0" w:type="dxa"/>
          </w:tblCellMar>
        </w:tblPrEx>
        <w:trPr>
          <w:trHeight w:hRule="exact" w:val="413"/>
          <w:jc w:val="center"/>
        </w:trPr>
        <w:tc>
          <w:tcPr>
            <w:tcW w:w="6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300"/>
              <w:jc w:val="both"/>
              <w:rPr>
                <w:sz w:val="22"/>
                <w:szCs w:val="22"/>
              </w:rPr>
            </w:pPr>
            <w:r>
              <w:rPr>
                <w:sz w:val="22"/>
                <w:szCs w:val="22"/>
                <w:lang w:val="fr-FR" w:eastAsia="fr-FR" w:bidi="fr-FR"/>
              </w:rPr>
              <w:t>4.</w:t>
            </w:r>
          </w:p>
        </w:tc>
        <w:tc>
          <w:tcPr>
            <w:tcW w:w="307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lang w:val="fr-FR" w:eastAsia="fr-FR" w:bidi="fr-FR"/>
              </w:rPr>
              <w:t xml:space="preserve">Sodium </w:t>
            </w:r>
            <w:r>
              <w:rPr>
                <w:sz w:val="22"/>
                <w:szCs w:val="22"/>
              </w:rPr>
              <w:t>Metabisulfite</w:t>
            </w:r>
          </w:p>
        </w:tc>
        <w:tc>
          <w:tcPr>
            <w:tcW w:w="545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Current Eur.Pharmacopoeia monograph 0849</w:t>
            </w:r>
          </w:p>
        </w:tc>
      </w:tr>
      <w:tr w:rsidR="00A4351D">
        <w:tblPrEx>
          <w:tblCellMar>
            <w:top w:w="0" w:type="dxa"/>
            <w:bottom w:w="0" w:type="dxa"/>
          </w:tblCellMar>
        </w:tblPrEx>
        <w:trPr>
          <w:trHeight w:hRule="exact" w:val="413"/>
          <w:jc w:val="center"/>
        </w:trPr>
        <w:tc>
          <w:tcPr>
            <w:tcW w:w="6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300"/>
              <w:jc w:val="both"/>
              <w:rPr>
                <w:sz w:val="22"/>
                <w:szCs w:val="22"/>
              </w:rPr>
            </w:pPr>
            <w:r>
              <w:rPr>
                <w:sz w:val="22"/>
                <w:szCs w:val="22"/>
                <w:lang w:val="fr-FR" w:eastAsia="fr-FR" w:bidi="fr-FR"/>
              </w:rPr>
              <w:t>5.</w:t>
            </w:r>
          </w:p>
        </w:tc>
        <w:tc>
          <w:tcPr>
            <w:tcW w:w="307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Glycerol Formal</w:t>
            </w:r>
          </w:p>
        </w:tc>
        <w:tc>
          <w:tcPr>
            <w:tcW w:w="545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Current Eur.Pharmacopoeia monograph 1671</w:t>
            </w:r>
          </w:p>
        </w:tc>
      </w:tr>
      <w:tr w:rsidR="00A4351D">
        <w:tblPrEx>
          <w:tblCellMar>
            <w:top w:w="0" w:type="dxa"/>
            <w:bottom w:w="0" w:type="dxa"/>
          </w:tblCellMar>
        </w:tblPrEx>
        <w:trPr>
          <w:trHeight w:hRule="exact" w:val="413"/>
          <w:jc w:val="center"/>
        </w:trPr>
        <w:tc>
          <w:tcPr>
            <w:tcW w:w="64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300"/>
              <w:jc w:val="both"/>
              <w:rPr>
                <w:sz w:val="22"/>
                <w:szCs w:val="22"/>
              </w:rPr>
            </w:pPr>
            <w:r>
              <w:rPr>
                <w:sz w:val="22"/>
                <w:szCs w:val="22"/>
                <w:lang w:val="fr-FR" w:eastAsia="fr-FR" w:bidi="fr-FR"/>
              </w:rPr>
              <w:t>6.</w:t>
            </w:r>
          </w:p>
        </w:tc>
        <w:tc>
          <w:tcPr>
            <w:tcW w:w="307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Water for injection</w:t>
            </w:r>
          </w:p>
        </w:tc>
        <w:tc>
          <w:tcPr>
            <w:tcW w:w="5453"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Current Eur.Pharmacopoeia monograph 0169</w:t>
            </w:r>
          </w:p>
        </w:tc>
      </w:tr>
      <w:tr w:rsidR="00A4351D">
        <w:tblPrEx>
          <w:tblCellMar>
            <w:top w:w="0" w:type="dxa"/>
            <w:bottom w:w="0" w:type="dxa"/>
          </w:tblCellMar>
        </w:tblPrEx>
        <w:trPr>
          <w:trHeight w:hRule="exact" w:val="701"/>
          <w:jc w:val="center"/>
        </w:trPr>
        <w:tc>
          <w:tcPr>
            <w:tcW w:w="648"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ind w:firstLine="300"/>
              <w:jc w:val="both"/>
              <w:rPr>
                <w:sz w:val="22"/>
                <w:szCs w:val="22"/>
              </w:rPr>
            </w:pPr>
            <w:r>
              <w:rPr>
                <w:sz w:val="22"/>
                <w:szCs w:val="22"/>
                <w:lang w:val="fr-FR" w:eastAsia="fr-FR" w:bidi="fr-FR"/>
              </w:rPr>
              <w:t>7.</w:t>
            </w:r>
          </w:p>
        </w:tc>
        <w:tc>
          <w:tcPr>
            <w:tcW w:w="3077" w:type="dxa"/>
            <w:tcBorders>
              <w:top w:val="single" w:sz="4" w:space="0" w:color="auto"/>
              <w:left w:val="single" w:sz="4" w:space="0" w:color="auto"/>
              <w:bottom w:val="single" w:sz="4" w:space="0" w:color="auto"/>
            </w:tcBorders>
            <w:shd w:val="clear" w:color="auto" w:fill="FFFFFF"/>
            <w:vAlign w:val="bottom"/>
          </w:tcPr>
          <w:p w:rsidR="00A4351D" w:rsidRDefault="00094E8C">
            <w:pPr>
              <w:pStyle w:val="a7"/>
              <w:shd w:val="clear" w:color="auto" w:fill="auto"/>
              <w:spacing w:line="240" w:lineRule="auto"/>
              <w:rPr>
                <w:sz w:val="22"/>
                <w:szCs w:val="22"/>
              </w:rPr>
            </w:pPr>
            <w:r>
              <w:rPr>
                <w:sz w:val="22"/>
                <w:szCs w:val="22"/>
              </w:rPr>
              <w:t>Disodium Hydrogen Phosphate Dodecahydrate 1.0 M solution</w:t>
            </w:r>
          </w:p>
        </w:tc>
        <w:tc>
          <w:tcPr>
            <w:tcW w:w="5453" w:type="dxa"/>
            <w:tcBorders>
              <w:top w:val="single" w:sz="4" w:space="0" w:color="auto"/>
              <w:left w:val="single" w:sz="4" w:space="0" w:color="auto"/>
              <w:bottom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rPr>
                <w:sz w:val="22"/>
                <w:szCs w:val="22"/>
              </w:rPr>
            </w:pPr>
            <w:r>
              <w:rPr>
                <w:sz w:val="22"/>
                <w:szCs w:val="22"/>
              </w:rPr>
              <w:t>Current Eur.Pharmacopoeia monograph 0118</w:t>
            </w:r>
          </w:p>
        </w:tc>
      </w:tr>
    </w:tbl>
    <w:p w:rsidR="00A4351D" w:rsidRDefault="00A4351D">
      <w:pPr>
        <w:spacing w:after="279" w:line="1" w:lineRule="exact"/>
      </w:pPr>
    </w:p>
    <w:p w:rsidR="00A4351D" w:rsidRDefault="00094E8C">
      <w:pPr>
        <w:pStyle w:val="1"/>
        <w:shd w:val="clear" w:color="auto" w:fill="auto"/>
        <w:ind w:left="300"/>
        <w:jc w:val="both"/>
      </w:pPr>
      <w:r>
        <w:t>All suppliers of the excipients are interchangeable as long as the excipients meet the finished product manufacturer's specifications. The Certificates</w:t>
      </w:r>
      <w:r>
        <w:t xml:space="preserve"> of Analysis of some indicative suppliers can be found in the following pages.</w:t>
      </w:r>
    </w:p>
    <w:p w:rsidR="00A4351D" w:rsidRDefault="00094E8C">
      <w:pPr>
        <w:pStyle w:val="1"/>
        <w:shd w:val="clear" w:color="auto" w:fill="auto"/>
        <w:spacing w:after="140"/>
        <w:ind w:firstLine="300"/>
      </w:pPr>
      <w:r>
        <w:t>All tests are routinely performed on receipt of excipient at the site of product manufacture.</w:t>
      </w:r>
      <w:r>
        <w:br w:type="page"/>
      </w:r>
    </w:p>
    <w:p w:rsidR="00A4351D" w:rsidRDefault="00094E8C">
      <w:pPr>
        <w:pStyle w:val="1"/>
        <w:numPr>
          <w:ilvl w:val="0"/>
          <w:numId w:val="30"/>
        </w:numPr>
        <w:shd w:val="clear" w:color="auto" w:fill="auto"/>
        <w:spacing w:after="140" w:line="240" w:lineRule="auto"/>
        <w:ind w:firstLine="180"/>
        <w:rPr>
          <w:sz w:val="26"/>
          <w:szCs w:val="26"/>
        </w:rPr>
      </w:pPr>
      <w:r>
        <w:rPr>
          <w:b/>
          <w:bCs/>
          <w:i/>
          <w:iCs/>
          <w:sz w:val="26"/>
          <w:szCs w:val="26"/>
          <w:lang w:val="de-DE" w:eastAsia="de-DE" w:bidi="de-DE"/>
        </w:rPr>
        <w:lastRenderedPageBreak/>
        <w:t>P.5 CONTROL OF DRUG PRODUCT</w:t>
      </w:r>
    </w:p>
    <w:p w:rsidR="00A4351D" w:rsidRDefault="00094E8C">
      <w:pPr>
        <w:pStyle w:val="1"/>
        <w:numPr>
          <w:ilvl w:val="0"/>
          <w:numId w:val="31"/>
        </w:numPr>
        <w:shd w:val="clear" w:color="auto" w:fill="auto"/>
        <w:spacing w:after="140" w:line="240" w:lineRule="auto"/>
        <w:ind w:firstLine="180"/>
        <w:rPr>
          <w:sz w:val="26"/>
          <w:szCs w:val="26"/>
        </w:rPr>
      </w:pPr>
      <w:r>
        <w:rPr>
          <w:b/>
          <w:bCs/>
          <w:i/>
          <w:iCs/>
          <w:sz w:val="26"/>
          <w:szCs w:val="26"/>
          <w:lang w:val="de-DE" w:eastAsia="de-DE" w:bidi="de-DE"/>
        </w:rPr>
        <w:t>P.5.1 Specification(s)</w:t>
      </w:r>
    </w:p>
    <w:tbl>
      <w:tblPr>
        <w:tblOverlap w:val="never"/>
        <w:tblW w:w="0" w:type="auto"/>
        <w:jc w:val="center"/>
        <w:tblLayout w:type="fixed"/>
        <w:tblCellMar>
          <w:left w:w="10" w:type="dxa"/>
          <w:right w:w="10" w:type="dxa"/>
        </w:tblCellMar>
        <w:tblLook w:val="0000" w:firstRow="0" w:lastRow="0" w:firstColumn="0" w:lastColumn="0" w:noHBand="0" w:noVBand="0"/>
      </w:tblPr>
      <w:tblGrid>
        <w:gridCol w:w="3773"/>
        <w:gridCol w:w="5165"/>
      </w:tblGrid>
      <w:tr w:rsidR="00A4351D">
        <w:tblPrEx>
          <w:tblCellMar>
            <w:top w:w="0" w:type="dxa"/>
            <w:bottom w:w="0" w:type="dxa"/>
          </w:tblCellMar>
        </w:tblPrEx>
        <w:trPr>
          <w:trHeight w:hRule="exact" w:val="432"/>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jc w:val="center"/>
            </w:pPr>
            <w:r>
              <w:rPr>
                <w:b/>
                <w:bCs/>
                <w:i/>
                <w:iCs/>
                <w:lang w:val="de-DE" w:eastAsia="de-DE" w:bidi="de-DE"/>
              </w:rPr>
              <w:t>Tests</w:t>
            </w:r>
          </w:p>
        </w:tc>
        <w:tc>
          <w:tcPr>
            <w:tcW w:w="5165" w:type="dxa"/>
            <w:tcBorders>
              <w:top w:val="single" w:sz="4" w:space="0" w:color="auto"/>
              <w:left w:val="single" w:sz="4" w:space="0" w:color="auto"/>
              <w:right w:val="single" w:sz="4" w:space="0" w:color="auto"/>
            </w:tcBorders>
            <w:shd w:val="clear" w:color="auto" w:fill="DFDFDF"/>
          </w:tcPr>
          <w:p w:rsidR="00A4351D" w:rsidRDefault="00094E8C">
            <w:pPr>
              <w:pStyle w:val="a7"/>
              <w:shd w:val="clear" w:color="auto" w:fill="auto"/>
              <w:spacing w:line="240" w:lineRule="auto"/>
              <w:jc w:val="center"/>
            </w:pPr>
            <w:r>
              <w:rPr>
                <w:b/>
                <w:bCs/>
                <w:i/>
                <w:iCs/>
              </w:rPr>
              <w:t>Specifications</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rPr>
              <w:t>Appearance</w:t>
            </w:r>
          </w:p>
        </w:tc>
        <w:tc>
          <w:tcPr>
            <w:tcW w:w="5165"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372" w:lineRule="auto"/>
            </w:pPr>
            <w:r>
              <w:t>Clear, colorless to slightly yellow, odorless solution free of visible particles</w:t>
            </w:r>
          </w:p>
        </w:tc>
      </w:tr>
      <w:tr w:rsidR="00A4351D">
        <w:tblPrEx>
          <w:tblCellMar>
            <w:top w:w="0" w:type="dxa"/>
            <w:bottom w:w="0" w:type="dxa"/>
          </w:tblCellMar>
        </w:tblPrEx>
        <w:trPr>
          <w:trHeight w:hRule="exact" w:val="3408"/>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lang w:val="de-DE" w:eastAsia="de-DE" w:bidi="de-DE"/>
              </w:rPr>
              <w:t xml:space="preserve">Identification </w:t>
            </w:r>
            <w:r>
              <w:rPr>
                <w:b/>
                <w:bCs/>
                <w:i/>
                <w:iCs/>
              </w:rPr>
              <w:t xml:space="preserve">of </w:t>
            </w:r>
            <w:r>
              <w:rPr>
                <w:b/>
                <w:bCs/>
                <w:i/>
                <w:iCs/>
                <w:lang w:val="de-DE" w:eastAsia="de-DE" w:bidi="de-DE"/>
              </w:rPr>
              <w:t>Paracetamol</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numPr>
                <w:ilvl w:val="0"/>
                <w:numId w:val="32"/>
              </w:numPr>
              <w:shd w:val="clear" w:color="auto" w:fill="auto"/>
              <w:tabs>
                <w:tab w:val="left" w:pos="245"/>
              </w:tabs>
              <w:spacing w:line="372" w:lineRule="auto"/>
            </w:pPr>
            <w:r>
              <w:t xml:space="preserve">HPLC - Retention time: The retention time of the major peak in the chromatogram of the Assay preparation corresponds to that in the </w:t>
            </w:r>
            <w:r>
              <w:t>chromatogram of the Standard preparation.</w:t>
            </w:r>
          </w:p>
          <w:p w:rsidR="00A4351D" w:rsidRDefault="00094E8C">
            <w:pPr>
              <w:pStyle w:val="a7"/>
              <w:numPr>
                <w:ilvl w:val="0"/>
                <w:numId w:val="32"/>
              </w:numPr>
              <w:shd w:val="clear" w:color="auto" w:fill="auto"/>
              <w:tabs>
                <w:tab w:val="left" w:pos="259"/>
              </w:tabs>
              <w:spacing w:line="372" w:lineRule="auto"/>
            </w:pPr>
            <w:r>
              <w:t>HPLC - Diode array: The spectra of the peak of the drug substance in the sample solution are identical to the spectra of the peak of the drug substance in the standard preparation.</w:t>
            </w:r>
          </w:p>
        </w:tc>
      </w:tr>
      <w:tr w:rsidR="00A4351D">
        <w:tblPrEx>
          <w:tblCellMar>
            <w:top w:w="0" w:type="dxa"/>
            <w:bottom w:w="0" w:type="dxa"/>
          </w:tblCellMar>
        </w:tblPrEx>
        <w:trPr>
          <w:trHeight w:hRule="exact" w:val="845"/>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after="120" w:line="240" w:lineRule="auto"/>
            </w:pPr>
            <w:r>
              <w:rPr>
                <w:b/>
                <w:bCs/>
                <w:i/>
                <w:iCs/>
                <w:lang w:val="de-DE" w:eastAsia="de-DE" w:bidi="de-DE"/>
              </w:rPr>
              <w:t xml:space="preserve">Identification </w:t>
            </w:r>
            <w:r>
              <w:rPr>
                <w:b/>
                <w:bCs/>
                <w:i/>
                <w:iCs/>
              </w:rPr>
              <w:t>of Sodium</w:t>
            </w:r>
          </w:p>
          <w:p w:rsidR="00A4351D" w:rsidRDefault="00094E8C">
            <w:pPr>
              <w:pStyle w:val="a7"/>
              <w:shd w:val="clear" w:color="auto" w:fill="auto"/>
              <w:spacing w:line="240" w:lineRule="auto"/>
            </w:pPr>
            <w:r>
              <w:rPr>
                <w:b/>
                <w:bCs/>
                <w:i/>
                <w:iCs/>
              </w:rPr>
              <w:t>Metabisulfite</w:t>
            </w:r>
          </w:p>
        </w:tc>
        <w:tc>
          <w:tcPr>
            <w:tcW w:w="5165"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t>Iodometric method</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rPr>
              <w:t>Assay of Paracetamol</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377" w:lineRule="auto"/>
            </w:pPr>
            <w:r>
              <w:t>95.0%-105.0% at the time of batch release and during shelf-life of the product.</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rPr>
              <w:t>Assay of Sodium Metabisulfite</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after="140" w:line="240" w:lineRule="auto"/>
            </w:pPr>
            <w:r>
              <w:t>80.0%-110.0% at the time of batch release</w:t>
            </w:r>
          </w:p>
          <w:p w:rsidR="00A4351D" w:rsidRDefault="00094E8C">
            <w:pPr>
              <w:pStyle w:val="a7"/>
              <w:shd w:val="clear" w:color="auto" w:fill="auto"/>
              <w:spacing w:line="240" w:lineRule="auto"/>
            </w:pPr>
            <w:r>
              <w:t>10.0%-110.0% during shelf-life of the product</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pPr>
            <w:r>
              <w:rPr>
                <w:b/>
                <w:bCs/>
                <w:i/>
                <w:iCs/>
              </w:rPr>
              <w:t>Related Substances (HPLC method)</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377" w:lineRule="auto"/>
            </w:pPr>
            <w:r>
              <w:t>p-Aminophenol : NMT 0.50 % of paracetamol content</w:t>
            </w:r>
          </w:p>
        </w:tc>
      </w:tr>
      <w:tr w:rsidR="00A4351D">
        <w:tblPrEx>
          <w:tblCellMar>
            <w:top w:w="0" w:type="dxa"/>
            <w:bottom w:w="0" w:type="dxa"/>
          </w:tblCellMar>
        </w:tblPrEx>
        <w:trPr>
          <w:trHeight w:hRule="exact" w:val="859"/>
          <w:jc w:val="center"/>
        </w:trPr>
        <w:tc>
          <w:tcPr>
            <w:tcW w:w="3773"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i/>
                <w:iCs/>
              </w:rPr>
              <w:t>pH value</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after="140" w:line="240" w:lineRule="auto"/>
            </w:pPr>
            <w:r>
              <w:t>5.0-6.5 at the time of the batch release</w:t>
            </w:r>
          </w:p>
          <w:p w:rsidR="00A4351D" w:rsidRDefault="00094E8C">
            <w:pPr>
              <w:pStyle w:val="a7"/>
              <w:shd w:val="clear" w:color="auto" w:fill="auto"/>
              <w:spacing w:line="240" w:lineRule="auto"/>
            </w:pPr>
            <w:r>
              <w:t>3.8-6.5 during the shelf-life of the product</w:t>
            </w:r>
          </w:p>
        </w:tc>
      </w:tr>
      <w:tr w:rsidR="00A4351D">
        <w:tblPrEx>
          <w:tblCellMar>
            <w:top w:w="0" w:type="dxa"/>
            <w:bottom w:w="0" w:type="dxa"/>
          </w:tblCellMar>
        </w:tblPrEx>
        <w:trPr>
          <w:trHeight w:hRule="exact" w:val="432"/>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Extractable volume</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t>Any individual container NLT 6.7 ml</w:t>
            </w:r>
          </w:p>
        </w:tc>
      </w:tr>
      <w:tr w:rsidR="00A4351D">
        <w:tblPrEx>
          <w:tblCellMar>
            <w:top w:w="0" w:type="dxa"/>
            <w:bottom w:w="0" w:type="dxa"/>
          </w:tblCellMar>
        </w:tblPrEx>
        <w:trPr>
          <w:trHeight w:hRule="exact" w:val="437"/>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 xml:space="preserve">Particulate </w:t>
            </w:r>
            <w:r>
              <w:rPr>
                <w:b/>
                <w:bCs/>
                <w:i/>
                <w:iCs/>
              </w:rPr>
              <w:t>Contamination</w:t>
            </w:r>
          </w:p>
        </w:tc>
        <w:tc>
          <w:tcPr>
            <w:tcW w:w="5165" w:type="dxa"/>
            <w:tcBorders>
              <w:top w:val="single" w:sz="4" w:space="0" w:color="auto"/>
              <w:left w:val="single" w:sz="4" w:space="0" w:color="auto"/>
              <w:right w:val="single" w:sz="4" w:space="0" w:color="auto"/>
            </w:tcBorders>
            <w:shd w:val="clear" w:color="auto" w:fill="FFFFFF"/>
          </w:tcPr>
          <w:p w:rsidR="00A4351D" w:rsidRDefault="00A4351D">
            <w:pPr>
              <w:rPr>
                <w:sz w:val="10"/>
                <w:szCs w:val="10"/>
              </w:rPr>
            </w:pPr>
          </w:p>
        </w:tc>
      </w:tr>
      <w:tr w:rsidR="00A4351D">
        <w:tblPrEx>
          <w:tblCellMar>
            <w:top w:w="0" w:type="dxa"/>
            <w:bottom w:w="0" w:type="dxa"/>
          </w:tblCellMar>
        </w:tblPrEx>
        <w:trPr>
          <w:trHeight w:hRule="exact" w:val="432"/>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-Visible particles</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t>Current Eur. Pharm. § 2.9.20.</w:t>
            </w:r>
          </w:p>
        </w:tc>
      </w:tr>
      <w:tr w:rsidR="00A4351D">
        <w:tblPrEx>
          <w:tblCellMar>
            <w:top w:w="0" w:type="dxa"/>
            <w:bottom w:w="0" w:type="dxa"/>
          </w:tblCellMar>
        </w:tblPrEx>
        <w:trPr>
          <w:trHeight w:hRule="exact" w:val="437"/>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-Sub-Visible particles</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t>Current Eur. Pharm. § 2.9.19 Method 1 Test 1B.</w:t>
            </w:r>
          </w:p>
        </w:tc>
      </w:tr>
      <w:tr w:rsidR="00A4351D">
        <w:tblPrEx>
          <w:tblCellMar>
            <w:top w:w="0" w:type="dxa"/>
            <w:bottom w:w="0" w:type="dxa"/>
          </w:tblCellMar>
        </w:tblPrEx>
        <w:trPr>
          <w:trHeight w:hRule="exact" w:val="437"/>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Relative Density</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t>1.145 ± 5% at the time of batch release</w:t>
            </w:r>
          </w:p>
        </w:tc>
      </w:tr>
      <w:tr w:rsidR="00A4351D">
        <w:tblPrEx>
          <w:tblCellMar>
            <w:top w:w="0" w:type="dxa"/>
            <w:bottom w:w="0" w:type="dxa"/>
          </w:tblCellMar>
        </w:tblPrEx>
        <w:trPr>
          <w:trHeight w:hRule="exact" w:val="432"/>
          <w:jc w:val="center"/>
        </w:trPr>
        <w:tc>
          <w:tcPr>
            <w:tcW w:w="3773" w:type="dxa"/>
            <w:tcBorders>
              <w:top w:val="single" w:sz="4" w:space="0" w:color="auto"/>
              <w:left w:val="single" w:sz="4" w:space="0" w:color="auto"/>
            </w:tcBorders>
            <w:shd w:val="clear" w:color="auto" w:fill="DFDFDF"/>
          </w:tcPr>
          <w:p w:rsidR="00A4351D" w:rsidRDefault="00094E8C">
            <w:pPr>
              <w:pStyle w:val="a7"/>
              <w:shd w:val="clear" w:color="auto" w:fill="auto"/>
              <w:spacing w:line="240" w:lineRule="auto"/>
            </w:pPr>
            <w:r>
              <w:rPr>
                <w:b/>
                <w:bCs/>
                <w:i/>
                <w:iCs/>
              </w:rPr>
              <w:t>Sterility</w:t>
            </w:r>
          </w:p>
        </w:tc>
        <w:tc>
          <w:tcPr>
            <w:tcW w:w="5165"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t>Sterile according to Current Eur.Pharm.</w:t>
            </w:r>
          </w:p>
        </w:tc>
      </w:tr>
      <w:tr w:rsidR="00A4351D">
        <w:tblPrEx>
          <w:tblCellMar>
            <w:top w:w="0" w:type="dxa"/>
            <w:bottom w:w="0" w:type="dxa"/>
          </w:tblCellMar>
        </w:tblPrEx>
        <w:trPr>
          <w:trHeight w:hRule="exact" w:val="461"/>
          <w:jc w:val="center"/>
        </w:trPr>
        <w:tc>
          <w:tcPr>
            <w:tcW w:w="3773" w:type="dxa"/>
            <w:tcBorders>
              <w:top w:val="single" w:sz="4" w:space="0" w:color="auto"/>
              <w:left w:val="single" w:sz="4" w:space="0" w:color="auto"/>
              <w:bottom w:val="single" w:sz="4" w:space="0" w:color="auto"/>
            </w:tcBorders>
            <w:shd w:val="clear" w:color="auto" w:fill="DFDFDF"/>
          </w:tcPr>
          <w:p w:rsidR="00A4351D" w:rsidRDefault="00094E8C">
            <w:pPr>
              <w:pStyle w:val="a7"/>
              <w:shd w:val="clear" w:color="auto" w:fill="auto"/>
              <w:spacing w:line="240" w:lineRule="auto"/>
            </w:pPr>
            <w:r>
              <w:rPr>
                <w:b/>
                <w:bCs/>
                <w:i/>
                <w:iCs/>
              </w:rPr>
              <w:t xml:space="preserve">Bacterial </w:t>
            </w:r>
            <w:r>
              <w:rPr>
                <w:b/>
                <w:bCs/>
                <w:i/>
                <w:iCs/>
              </w:rPr>
              <w:t>Endotoxins</w:t>
            </w:r>
          </w:p>
        </w:tc>
        <w:tc>
          <w:tcPr>
            <w:tcW w:w="5165" w:type="dxa"/>
            <w:tcBorders>
              <w:top w:val="single" w:sz="4" w:space="0" w:color="auto"/>
              <w:left w:val="single" w:sz="4" w:space="0" w:color="auto"/>
              <w:bottom w:val="single" w:sz="4" w:space="0" w:color="auto"/>
              <w:right w:val="single" w:sz="4" w:space="0" w:color="auto"/>
            </w:tcBorders>
            <w:shd w:val="clear" w:color="auto" w:fill="FFFFFF"/>
          </w:tcPr>
          <w:p w:rsidR="00A4351D" w:rsidRDefault="00094E8C">
            <w:pPr>
              <w:pStyle w:val="a7"/>
              <w:shd w:val="clear" w:color="auto" w:fill="auto"/>
              <w:spacing w:line="240" w:lineRule="auto"/>
            </w:pPr>
            <w:r>
              <w:rPr>
                <w:sz w:val="26"/>
                <w:szCs w:val="26"/>
              </w:rPr>
              <w:t xml:space="preserve">&lt; </w:t>
            </w:r>
            <w:r>
              <w:t>13.1 IU/ml</w:t>
            </w:r>
          </w:p>
        </w:tc>
      </w:tr>
    </w:tbl>
    <w:p w:rsidR="00A4351D" w:rsidRDefault="00094E8C">
      <w:pPr>
        <w:pStyle w:val="a5"/>
        <w:shd w:val="clear" w:color="auto" w:fill="auto"/>
        <w:ind w:left="182"/>
        <w:rPr>
          <w:sz w:val="22"/>
          <w:szCs w:val="22"/>
        </w:rPr>
      </w:pPr>
      <w:r>
        <w:rPr>
          <w:sz w:val="22"/>
          <w:szCs w:val="22"/>
          <w:lang w:val="de-DE" w:eastAsia="de-DE" w:bidi="de-DE"/>
        </w:rPr>
        <w:t>NLT: Not Less Than</w:t>
      </w:r>
    </w:p>
    <w:p w:rsidR="00A4351D" w:rsidRDefault="00094E8C">
      <w:pPr>
        <w:pStyle w:val="1"/>
        <w:shd w:val="clear" w:color="auto" w:fill="auto"/>
        <w:spacing w:after="520" w:line="240" w:lineRule="auto"/>
        <w:ind w:firstLine="180"/>
        <w:rPr>
          <w:sz w:val="22"/>
          <w:szCs w:val="22"/>
        </w:rPr>
      </w:pPr>
      <w:r>
        <w:rPr>
          <w:sz w:val="22"/>
          <w:szCs w:val="22"/>
          <w:lang w:val="de-DE" w:eastAsia="de-DE" w:bidi="de-DE"/>
        </w:rPr>
        <w:lastRenderedPageBreak/>
        <w:t>NMT: Not More Than</w:t>
      </w:r>
    </w:p>
    <w:p w:rsidR="00A4351D" w:rsidRDefault="00094E8C">
      <w:pPr>
        <w:pStyle w:val="1"/>
        <w:shd w:val="clear" w:color="auto" w:fill="auto"/>
        <w:spacing w:after="120" w:line="240" w:lineRule="auto"/>
        <w:ind w:firstLine="180"/>
      </w:pPr>
      <w:r>
        <w:rPr>
          <w:b/>
          <w:bCs/>
          <w:i/>
          <w:iCs/>
          <w:u w:val="single"/>
        </w:rPr>
        <w:t>Proposed shelf-life</w:t>
      </w:r>
    </w:p>
    <w:p w:rsidR="00A4351D" w:rsidRDefault="00094E8C">
      <w:pPr>
        <w:pStyle w:val="1"/>
        <w:shd w:val="clear" w:color="auto" w:fill="auto"/>
        <w:spacing w:after="120" w:line="240" w:lineRule="auto"/>
        <w:ind w:firstLine="180"/>
      </w:pPr>
      <w:r>
        <w:t>36 months at 25</w:t>
      </w:r>
      <w:r>
        <w:rPr>
          <w:sz w:val="26"/>
          <w:szCs w:val="26"/>
          <w:vertAlign w:val="superscript"/>
        </w:rPr>
        <w:t>O</w:t>
      </w:r>
      <w:r>
        <w:t>C</w:t>
      </w:r>
      <w:r>
        <w:rPr>
          <w:sz w:val="26"/>
          <w:szCs w:val="26"/>
        </w:rPr>
        <w:t xml:space="preserve">± </w:t>
      </w:r>
      <w:r>
        <w:t>2</w:t>
      </w:r>
      <w:r>
        <w:rPr>
          <w:sz w:val="26"/>
          <w:szCs w:val="26"/>
          <w:vertAlign w:val="superscript"/>
        </w:rPr>
        <w:t>O</w:t>
      </w:r>
      <w:r>
        <w:t xml:space="preserve">C/ 60% RH </w:t>
      </w:r>
      <w:r>
        <w:rPr>
          <w:sz w:val="26"/>
          <w:szCs w:val="26"/>
        </w:rPr>
        <w:t xml:space="preserve">± </w:t>
      </w:r>
      <w:r>
        <w:t>5%</w:t>
      </w:r>
    </w:p>
    <w:p w:rsidR="00A4351D" w:rsidRDefault="00094E8C">
      <w:pPr>
        <w:pStyle w:val="1"/>
        <w:shd w:val="clear" w:color="auto" w:fill="auto"/>
        <w:spacing w:after="320" w:line="240" w:lineRule="auto"/>
        <w:ind w:firstLine="180"/>
      </w:pPr>
      <w:r>
        <w:t>36 months at 30</w:t>
      </w:r>
      <w:r>
        <w:rPr>
          <w:sz w:val="26"/>
          <w:szCs w:val="26"/>
        </w:rPr>
        <w:t>O</w:t>
      </w:r>
      <w:r>
        <w:t>C</w:t>
      </w:r>
      <w:r>
        <w:rPr>
          <w:sz w:val="26"/>
          <w:szCs w:val="26"/>
        </w:rPr>
        <w:t xml:space="preserve">± </w:t>
      </w:r>
      <w:r>
        <w:t>2</w:t>
      </w:r>
      <w:r>
        <w:rPr>
          <w:sz w:val="26"/>
          <w:szCs w:val="26"/>
        </w:rPr>
        <w:t>O</w:t>
      </w:r>
      <w:r>
        <w:t xml:space="preserve">C/ 65% RH </w:t>
      </w:r>
      <w:r>
        <w:rPr>
          <w:sz w:val="26"/>
          <w:szCs w:val="26"/>
        </w:rPr>
        <w:t xml:space="preserve">± </w:t>
      </w:r>
      <w:r>
        <w:t>5%</w:t>
      </w:r>
      <w:r>
        <w:br w:type="page"/>
      </w:r>
    </w:p>
    <w:p w:rsidR="00A4351D" w:rsidRDefault="00094E8C">
      <w:pPr>
        <w:pStyle w:val="1"/>
        <w:numPr>
          <w:ilvl w:val="0"/>
          <w:numId w:val="33"/>
        </w:numPr>
        <w:shd w:val="clear" w:color="auto" w:fill="auto"/>
        <w:spacing w:after="720" w:line="240" w:lineRule="auto"/>
        <w:ind w:firstLine="320"/>
        <w:rPr>
          <w:sz w:val="26"/>
          <w:szCs w:val="26"/>
        </w:rPr>
      </w:pPr>
      <w:r>
        <w:rPr>
          <w:b/>
          <w:bCs/>
          <w:i/>
          <w:iCs/>
          <w:sz w:val="26"/>
          <w:szCs w:val="26"/>
          <w:lang w:val="fr-FR" w:eastAsia="fr-FR" w:bidi="fr-FR"/>
        </w:rPr>
        <w:lastRenderedPageBreak/>
        <w:t>P.5.2 Batch analyses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526"/>
        <w:gridCol w:w="1728"/>
        <w:gridCol w:w="2390"/>
        <w:gridCol w:w="1891"/>
        <w:gridCol w:w="1656"/>
      </w:tblGrid>
      <w:tr w:rsidR="00A4351D">
        <w:tblPrEx>
          <w:tblCellMar>
            <w:top w:w="0" w:type="dxa"/>
            <w:bottom w:w="0" w:type="dxa"/>
          </w:tblCellMar>
        </w:tblPrEx>
        <w:trPr>
          <w:trHeight w:hRule="exact" w:val="528"/>
          <w:jc w:val="center"/>
        </w:trPr>
        <w:tc>
          <w:tcPr>
            <w:tcW w:w="1526" w:type="dxa"/>
            <w:tcBorders>
              <w:top w:val="single" w:sz="4" w:space="0" w:color="auto"/>
              <w:left w:val="single" w:sz="4" w:space="0" w:color="auto"/>
            </w:tcBorders>
            <w:shd w:val="clear" w:color="auto" w:fill="B2B2B2"/>
            <w:vAlign w:val="center"/>
          </w:tcPr>
          <w:p w:rsidR="00A4351D" w:rsidRDefault="00094E8C">
            <w:pPr>
              <w:pStyle w:val="a7"/>
              <w:shd w:val="clear" w:color="auto" w:fill="auto"/>
              <w:spacing w:line="240" w:lineRule="auto"/>
              <w:ind w:firstLine="220"/>
              <w:rPr>
                <w:sz w:val="22"/>
                <w:szCs w:val="22"/>
              </w:rPr>
            </w:pPr>
            <w:r>
              <w:rPr>
                <w:b/>
                <w:bCs/>
                <w:i/>
                <w:iCs/>
                <w:sz w:val="22"/>
                <w:szCs w:val="22"/>
              </w:rPr>
              <w:t>BATCH</w:t>
            </w:r>
          </w:p>
        </w:tc>
        <w:tc>
          <w:tcPr>
            <w:tcW w:w="1728" w:type="dxa"/>
            <w:tcBorders>
              <w:top w:val="single" w:sz="4" w:space="0" w:color="auto"/>
              <w:left w:val="single" w:sz="4" w:space="0" w:color="auto"/>
            </w:tcBorders>
            <w:shd w:val="clear" w:color="auto" w:fill="B2B2B2"/>
            <w:vAlign w:val="bottom"/>
          </w:tcPr>
          <w:p w:rsidR="00A4351D" w:rsidRDefault="00094E8C">
            <w:pPr>
              <w:pStyle w:val="a7"/>
              <w:shd w:val="clear" w:color="auto" w:fill="auto"/>
              <w:spacing w:line="240" w:lineRule="auto"/>
              <w:ind w:firstLine="220"/>
              <w:rPr>
                <w:sz w:val="22"/>
                <w:szCs w:val="22"/>
              </w:rPr>
            </w:pPr>
            <w:r>
              <w:rPr>
                <w:b/>
                <w:bCs/>
                <w:i/>
                <w:iCs/>
                <w:sz w:val="22"/>
                <w:szCs w:val="22"/>
              </w:rPr>
              <w:t>Manufacturing</w:t>
            </w:r>
          </w:p>
          <w:p w:rsidR="00A4351D" w:rsidRDefault="00094E8C">
            <w:pPr>
              <w:pStyle w:val="a7"/>
              <w:shd w:val="clear" w:color="auto" w:fill="auto"/>
              <w:spacing w:line="240" w:lineRule="auto"/>
              <w:ind w:firstLine="220"/>
              <w:rPr>
                <w:sz w:val="22"/>
                <w:szCs w:val="22"/>
              </w:rPr>
            </w:pPr>
            <w:r>
              <w:rPr>
                <w:b/>
                <w:bCs/>
                <w:i/>
                <w:iCs/>
                <w:sz w:val="22"/>
                <w:szCs w:val="22"/>
                <w:lang w:val="fr-FR" w:eastAsia="fr-FR" w:bidi="fr-FR"/>
              </w:rPr>
              <w:t>Date</w:t>
            </w:r>
          </w:p>
        </w:tc>
        <w:tc>
          <w:tcPr>
            <w:tcW w:w="2390" w:type="dxa"/>
            <w:tcBorders>
              <w:top w:val="single" w:sz="4" w:space="0" w:color="auto"/>
              <w:left w:val="single" w:sz="4" w:space="0" w:color="auto"/>
            </w:tcBorders>
            <w:shd w:val="clear" w:color="auto" w:fill="B2B2B2"/>
            <w:vAlign w:val="bottom"/>
          </w:tcPr>
          <w:p w:rsidR="00A4351D" w:rsidRDefault="00094E8C">
            <w:pPr>
              <w:pStyle w:val="a7"/>
              <w:shd w:val="clear" w:color="auto" w:fill="auto"/>
              <w:spacing w:line="240" w:lineRule="auto"/>
              <w:rPr>
                <w:sz w:val="22"/>
                <w:szCs w:val="22"/>
              </w:rPr>
            </w:pPr>
            <w:r>
              <w:rPr>
                <w:b/>
                <w:bCs/>
                <w:i/>
                <w:iCs/>
                <w:sz w:val="22"/>
                <w:szCs w:val="22"/>
              </w:rPr>
              <w:t>Manufacturing</w:t>
            </w:r>
          </w:p>
          <w:p w:rsidR="00A4351D" w:rsidRDefault="00094E8C">
            <w:pPr>
              <w:pStyle w:val="a7"/>
              <w:shd w:val="clear" w:color="auto" w:fill="auto"/>
              <w:spacing w:line="240" w:lineRule="auto"/>
              <w:rPr>
                <w:sz w:val="22"/>
                <w:szCs w:val="22"/>
              </w:rPr>
            </w:pPr>
            <w:r>
              <w:rPr>
                <w:b/>
                <w:bCs/>
                <w:i/>
                <w:iCs/>
                <w:sz w:val="22"/>
                <w:szCs w:val="22"/>
                <w:lang w:val="fr-FR" w:eastAsia="fr-FR" w:bidi="fr-FR"/>
              </w:rPr>
              <w:t>Plant</w:t>
            </w:r>
          </w:p>
        </w:tc>
        <w:tc>
          <w:tcPr>
            <w:tcW w:w="1891" w:type="dxa"/>
            <w:tcBorders>
              <w:top w:val="single" w:sz="4" w:space="0" w:color="auto"/>
              <w:left w:val="single" w:sz="4" w:space="0" w:color="auto"/>
            </w:tcBorders>
            <w:shd w:val="clear" w:color="auto" w:fill="B2B2B2"/>
            <w:vAlign w:val="bottom"/>
          </w:tcPr>
          <w:p w:rsidR="00A4351D" w:rsidRDefault="00094E8C">
            <w:pPr>
              <w:pStyle w:val="a7"/>
              <w:shd w:val="clear" w:color="auto" w:fill="auto"/>
              <w:spacing w:line="252" w:lineRule="auto"/>
              <w:ind w:left="260"/>
              <w:rPr>
                <w:sz w:val="22"/>
                <w:szCs w:val="22"/>
              </w:rPr>
            </w:pPr>
            <w:r>
              <w:rPr>
                <w:b/>
                <w:bCs/>
                <w:i/>
                <w:iCs/>
                <w:sz w:val="22"/>
                <w:szCs w:val="22"/>
              </w:rPr>
              <w:t>Batch Size</w:t>
            </w:r>
          </w:p>
        </w:tc>
        <w:tc>
          <w:tcPr>
            <w:tcW w:w="1656" w:type="dxa"/>
            <w:tcBorders>
              <w:top w:val="single" w:sz="4" w:space="0" w:color="auto"/>
              <w:left w:val="single" w:sz="4" w:space="0" w:color="auto"/>
              <w:right w:val="single" w:sz="4" w:space="0" w:color="auto"/>
            </w:tcBorders>
            <w:shd w:val="clear" w:color="auto" w:fill="B2B2B2"/>
            <w:vAlign w:val="bottom"/>
          </w:tcPr>
          <w:p w:rsidR="00A4351D" w:rsidRDefault="00094E8C">
            <w:pPr>
              <w:pStyle w:val="a7"/>
              <w:shd w:val="clear" w:color="auto" w:fill="auto"/>
              <w:spacing w:line="240" w:lineRule="auto"/>
              <w:jc w:val="center"/>
              <w:rPr>
                <w:sz w:val="22"/>
                <w:szCs w:val="22"/>
              </w:rPr>
            </w:pPr>
            <w:r>
              <w:rPr>
                <w:b/>
                <w:bCs/>
                <w:i/>
                <w:iCs/>
                <w:sz w:val="22"/>
                <w:szCs w:val="22"/>
              </w:rPr>
              <w:t>Purpose of Production</w:t>
            </w:r>
          </w:p>
        </w:tc>
      </w:tr>
      <w:tr w:rsidR="00A4351D">
        <w:tblPrEx>
          <w:tblCellMar>
            <w:top w:w="0" w:type="dxa"/>
            <w:bottom w:w="0" w:type="dxa"/>
          </w:tblCellMar>
        </w:tblPrEx>
        <w:trPr>
          <w:trHeight w:hRule="exact" w:val="1402"/>
          <w:jc w:val="center"/>
        </w:trPr>
        <w:tc>
          <w:tcPr>
            <w:tcW w:w="152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420"/>
            </w:pPr>
            <w:r>
              <w:rPr>
                <w:b/>
                <w:bCs/>
              </w:rPr>
              <w:t>05-01 D</w:t>
            </w:r>
          </w:p>
        </w:tc>
        <w:tc>
          <w:tcPr>
            <w:tcW w:w="172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440"/>
            </w:pPr>
            <w:r>
              <w:rPr>
                <w:lang w:val="fr-FR" w:eastAsia="fr-FR" w:bidi="fr-FR"/>
              </w:rPr>
              <w:t>12/2005</w:t>
            </w:r>
          </w:p>
        </w:tc>
        <w:tc>
          <w:tcPr>
            <w:tcW w:w="2390" w:type="dxa"/>
            <w:tcBorders>
              <w:top w:val="single" w:sz="4" w:space="0" w:color="auto"/>
              <w:left w:val="single" w:sz="4" w:space="0" w:color="auto"/>
            </w:tcBorders>
            <w:shd w:val="clear" w:color="auto" w:fill="DFDFDF"/>
          </w:tcPr>
          <w:p w:rsidR="00A4351D" w:rsidRDefault="00A4351D">
            <w:pPr>
              <w:rPr>
                <w:sz w:val="10"/>
                <w:szCs w:val="10"/>
              </w:rPr>
            </w:pPr>
          </w:p>
        </w:tc>
        <w:tc>
          <w:tcPr>
            <w:tcW w:w="1891"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rPr>
                <w:lang w:val="fr-FR" w:eastAsia="fr-FR" w:bidi="fr-FR"/>
              </w:rPr>
              <w:t xml:space="preserve">1,000 </w:t>
            </w:r>
            <w:r>
              <w:t>amp</w:t>
            </w:r>
          </w:p>
        </w:tc>
        <w:tc>
          <w:tcPr>
            <w:tcW w:w="1656" w:type="dxa"/>
            <w:tcBorders>
              <w:top w:val="single" w:sz="4" w:space="0" w:color="auto"/>
              <w:left w:val="single" w:sz="4" w:space="0" w:color="auto"/>
              <w:right w:val="single" w:sz="4" w:space="0" w:color="auto"/>
            </w:tcBorders>
            <w:shd w:val="clear" w:color="auto" w:fill="DFDFDF"/>
          </w:tcPr>
          <w:p w:rsidR="00A4351D" w:rsidRDefault="00A4351D">
            <w:pPr>
              <w:rPr>
                <w:sz w:val="10"/>
                <w:szCs w:val="10"/>
              </w:rPr>
            </w:pPr>
          </w:p>
        </w:tc>
      </w:tr>
      <w:tr w:rsidR="00A4351D">
        <w:tblPrEx>
          <w:tblCellMar>
            <w:top w:w="0" w:type="dxa"/>
            <w:bottom w:w="0" w:type="dxa"/>
          </w:tblCellMar>
        </w:tblPrEx>
        <w:trPr>
          <w:trHeight w:hRule="exact" w:val="1402"/>
          <w:jc w:val="center"/>
        </w:trPr>
        <w:tc>
          <w:tcPr>
            <w:tcW w:w="152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420"/>
            </w:pPr>
            <w:r>
              <w:rPr>
                <w:b/>
                <w:bCs/>
              </w:rPr>
              <w:t>06-01 D</w:t>
            </w:r>
          </w:p>
        </w:tc>
        <w:tc>
          <w:tcPr>
            <w:tcW w:w="172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440"/>
            </w:pPr>
            <w:r>
              <w:rPr>
                <w:lang w:val="fr-FR" w:eastAsia="fr-FR" w:bidi="fr-FR"/>
              </w:rPr>
              <w:t>10/2006</w:t>
            </w:r>
          </w:p>
        </w:tc>
        <w:tc>
          <w:tcPr>
            <w:tcW w:w="2390" w:type="dxa"/>
            <w:tcBorders>
              <w:left w:val="single" w:sz="4" w:space="0" w:color="auto"/>
            </w:tcBorders>
            <w:shd w:val="clear" w:color="auto" w:fill="DFDFDF"/>
          </w:tcPr>
          <w:p w:rsidR="00A4351D" w:rsidRDefault="00A4351D">
            <w:pPr>
              <w:rPr>
                <w:sz w:val="10"/>
                <w:szCs w:val="10"/>
              </w:rPr>
            </w:pPr>
          </w:p>
        </w:tc>
        <w:tc>
          <w:tcPr>
            <w:tcW w:w="1891"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ind w:firstLine="440"/>
            </w:pPr>
            <w:r>
              <w:rPr>
                <w:lang w:val="fr-FR" w:eastAsia="fr-FR" w:bidi="fr-FR"/>
              </w:rPr>
              <w:t xml:space="preserve">1,000 </w:t>
            </w:r>
            <w:r>
              <w:t>amp</w:t>
            </w:r>
          </w:p>
        </w:tc>
        <w:tc>
          <w:tcPr>
            <w:tcW w:w="1656" w:type="dxa"/>
            <w:tcBorders>
              <w:left w:val="single" w:sz="4" w:space="0" w:color="auto"/>
              <w:right w:val="single" w:sz="4" w:space="0" w:color="auto"/>
            </w:tcBorders>
            <w:shd w:val="clear" w:color="auto" w:fill="DFDFDF"/>
          </w:tcPr>
          <w:p w:rsidR="00A4351D" w:rsidRDefault="00A4351D">
            <w:pPr>
              <w:rPr>
                <w:sz w:val="10"/>
                <w:szCs w:val="10"/>
              </w:rPr>
            </w:pPr>
          </w:p>
        </w:tc>
      </w:tr>
      <w:tr w:rsidR="00A4351D">
        <w:tblPrEx>
          <w:tblCellMar>
            <w:top w:w="0" w:type="dxa"/>
            <w:bottom w:w="0" w:type="dxa"/>
          </w:tblCellMar>
        </w:tblPrEx>
        <w:trPr>
          <w:trHeight w:hRule="exact" w:val="1402"/>
          <w:jc w:val="center"/>
        </w:trPr>
        <w:tc>
          <w:tcPr>
            <w:tcW w:w="152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420"/>
            </w:pPr>
            <w:r>
              <w:rPr>
                <w:b/>
                <w:bCs/>
              </w:rPr>
              <w:t>06-02 D</w:t>
            </w:r>
          </w:p>
        </w:tc>
        <w:tc>
          <w:tcPr>
            <w:tcW w:w="172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440"/>
            </w:pPr>
            <w:r>
              <w:rPr>
                <w:lang w:val="fr-FR" w:eastAsia="fr-FR" w:bidi="fr-FR"/>
              </w:rPr>
              <w:t>10/2006</w:t>
            </w:r>
          </w:p>
        </w:tc>
        <w:tc>
          <w:tcPr>
            <w:tcW w:w="2390" w:type="dxa"/>
            <w:tcBorders>
              <w:left w:val="single" w:sz="4" w:space="0" w:color="auto"/>
            </w:tcBorders>
            <w:shd w:val="clear" w:color="auto" w:fill="DFDFDF"/>
            <w:vAlign w:val="bottom"/>
          </w:tcPr>
          <w:p w:rsidR="00A4351D" w:rsidRDefault="00094E8C">
            <w:pPr>
              <w:pStyle w:val="a7"/>
              <w:shd w:val="clear" w:color="auto" w:fill="auto"/>
              <w:spacing w:line="252" w:lineRule="auto"/>
              <w:jc w:val="center"/>
              <w:rPr>
                <w:sz w:val="22"/>
                <w:szCs w:val="22"/>
              </w:rPr>
            </w:pPr>
            <w:r>
              <w:rPr>
                <w:sz w:val="22"/>
                <w:szCs w:val="22"/>
                <w:lang w:val="fr-FR" w:eastAsia="fr-FR" w:bidi="fr-FR"/>
              </w:rPr>
              <w:t>UNI-PHARMA KLEON TSETIS</w:t>
            </w:r>
          </w:p>
        </w:tc>
        <w:tc>
          <w:tcPr>
            <w:tcW w:w="1891"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ind w:firstLine="440"/>
            </w:pPr>
            <w:r>
              <w:t>1,000 amp</w:t>
            </w:r>
          </w:p>
        </w:tc>
        <w:tc>
          <w:tcPr>
            <w:tcW w:w="1656" w:type="dxa"/>
            <w:vMerge w:val="restart"/>
            <w:tcBorders>
              <w:left w:val="single" w:sz="4" w:space="0" w:color="auto"/>
              <w:right w:val="single" w:sz="4" w:space="0" w:color="auto"/>
            </w:tcBorders>
            <w:shd w:val="clear" w:color="auto" w:fill="DFDFDF"/>
            <w:vAlign w:val="center"/>
          </w:tcPr>
          <w:p w:rsidR="00A4351D" w:rsidRDefault="00094E8C">
            <w:pPr>
              <w:pStyle w:val="a7"/>
              <w:shd w:val="clear" w:color="auto" w:fill="auto"/>
              <w:spacing w:line="240" w:lineRule="auto"/>
              <w:jc w:val="center"/>
            </w:pPr>
            <w:r>
              <w:t>Stability studies and validation of manufacturing procedure</w:t>
            </w:r>
          </w:p>
        </w:tc>
      </w:tr>
      <w:tr w:rsidR="00A4351D">
        <w:tblPrEx>
          <w:tblCellMar>
            <w:top w:w="0" w:type="dxa"/>
            <w:bottom w:w="0" w:type="dxa"/>
          </w:tblCellMar>
        </w:tblPrEx>
        <w:trPr>
          <w:trHeight w:hRule="exact" w:val="1402"/>
          <w:jc w:val="center"/>
        </w:trPr>
        <w:tc>
          <w:tcPr>
            <w:tcW w:w="152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540"/>
            </w:pPr>
            <w:r>
              <w:rPr>
                <w:b/>
                <w:bCs/>
              </w:rPr>
              <w:t>08-01</w:t>
            </w:r>
          </w:p>
        </w:tc>
        <w:tc>
          <w:tcPr>
            <w:tcW w:w="172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440"/>
            </w:pPr>
            <w:r>
              <w:rPr>
                <w:lang w:val="fr-FR" w:eastAsia="fr-FR" w:bidi="fr-FR"/>
              </w:rPr>
              <w:t>02/2008</w:t>
            </w:r>
          </w:p>
        </w:tc>
        <w:tc>
          <w:tcPr>
            <w:tcW w:w="2390" w:type="dxa"/>
            <w:tcBorders>
              <w:left w:val="single" w:sz="4" w:space="0" w:color="auto"/>
            </w:tcBorders>
            <w:shd w:val="clear" w:color="auto" w:fill="DFDFDF"/>
          </w:tcPr>
          <w:p w:rsidR="00A4351D" w:rsidRDefault="00094E8C">
            <w:pPr>
              <w:pStyle w:val="a7"/>
              <w:shd w:val="clear" w:color="auto" w:fill="auto"/>
              <w:spacing w:line="240" w:lineRule="auto"/>
              <w:rPr>
                <w:sz w:val="22"/>
                <w:szCs w:val="22"/>
              </w:rPr>
            </w:pPr>
            <w:r>
              <w:rPr>
                <w:sz w:val="22"/>
                <w:szCs w:val="22"/>
              </w:rPr>
              <w:t>PHARMACEUTICAL</w:t>
            </w:r>
          </w:p>
          <w:p w:rsidR="00A4351D" w:rsidRDefault="00094E8C">
            <w:pPr>
              <w:pStyle w:val="a7"/>
              <w:shd w:val="clear" w:color="auto" w:fill="auto"/>
              <w:spacing w:line="240" w:lineRule="auto"/>
              <w:jc w:val="center"/>
              <w:rPr>
                <w:sz w:val="22"/>
                <w:szCs w:val="22"/>
              </w:rPr>
            </w:pPr>
            <w:r>
              <w:rPr>
                <w:sz w:val="22"/>
                <w:szCs w:val="22"/>
                <w:lang w:val="fr-FR" w:eastAsia="fr-FR" w:bidi="fr-FR"/>
              </w:rPr>
              <w:t>LABORATORIES S.A.</w:t>
            </w:r>
          </w:p>
        </w:tc>
        <w:tc>
          <w:tcPr>
            <w:tcW w:w="1891"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t>28,900 amp</w:t>
            </w:r>
          </w:p>
        </w:tc>
        <w:tc>
          <w:tcPr>
            <w:tcW w:w="1656" w:type="dxa"/>
            <w:vMerge/>
            <w:tcBorders>
              <w:left w:val="single" w:sz="4" w:space="0" w:color="auto"/>
              <w:right w:val="single" w:sz="4" w:space="0" w:color="auto"/>
            </w:tcBorders>
            <w:shd w:val="clear" w:color="auto" w:fill="DFDFDF"/>
            <w:vAlign w:val="center"/>
          </w:tcPr>
          <w:p w:rsidR="00A4351D" w:rsidRDefault="00A4351D"/>
        </w:tc>
      </w:tr>
      <w:tr w:rsidR="00A4351D">
        <w:tblPrEx>
          <w:tblCellMar>
            <w:top w:w="0" w:type="dxa"/>
            <w:bottom w:w="0" w:type="dxa"/>
          </w:tblCellMar>
        </w:tblPrEx>
        <w:trPr>
          <w:trHeight w:hRule="exact" w:val="1402"/>
          <w:jc w:val="center"/>
        </w:trPr>
        <w:tc>
          <w:tcPr>
            <w:tcW w:w="1526"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540"/>
            </w:pPr>
            <w:r>
              <w:rPr>
                <w:b/>
                <w:bCs/>
              </w:rPr>
              <w:t>09-01</w:t>
            </w:r>
          </w:p>
        </w:tc>
        <w:tc>
          <w:tcPr>
            <w:tcW w:w="172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ind w:firstLine="440"/>
            </w:pPr>
            <w:r>
              <w:rPr>
                <w:lang w:val="fr-FR" w:eastAsia="fr-FR" w:bidi="fr-FR"/>
              </w:rPr>
              <w:t>05/2009</w:t>
            </w:r>
          </w:p>
        </w:tc>
        <w:tc>
          <w:tcPr>
            <w:tcW w:w="2390" w:type="dxa"/>
            <w:tcBorders>
              <w:left w:val="single" w:sz="4" w:space="0" w:color="auto"/>
            </w:tcBorders>
            <w:shd w:val="clear" w:color="auto" w:fill="DFDFDF"/>
          </w:tcPr>
          <w:p w:rsidR="00A4351D" w:rsidRDefault="00A4351D">
            <w:pPr>
              <w:rPr>
                <w:sz w:val="10"/>
                <w:szCs w:val="10"/>
              </w:rPr>
            </w:pPr>
          </w:p>
        </w:tc>
        <w:tc>
          <w:tcPr>
            <w:tcW w:w="1891"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t>28,900 amp</w:t>
            </w:r>
          </w:p>
        </w:tc>
        <w:tc>
          <w:tcPr>
            <w:tcW w:w="1656" w:type="dxa"/>
            <w:tcBorders>
              <w:left w:val="single" w:sz="4" w:space="0" w:color="auto"/>
              <w:right w:val="single" w:sz="4" w:space="0" w:color="auto"/>
            </w:tcBorders>
            <w:shd w:val="clear" w:color="auto" w:fill="DFDFDF"/>
          </w:tcPr>
          <w:p w:rsidR="00A4351D" w:rsidRDefault="00A4351D">
            <w:pPr>
              <w:rPr>
                <w:sz w:val="10"/>
                <w:szCs w:val="10"/>
              </w:rPr>
            </w:pPr>
          </w:p>
        </w:tc>
      </w:tr>
      <w:tr w:rsidR="00A4351D">
        <w:tblPrEx>
          <w:tblCellMar>
            <w:top w:w="0" w:type="dxa"/>
            <w:bottom w:w="0" w:type="dxa"/>
          </w:tblCellMar>
        </w:tblPrEx>
        <w:trPr>
          <w:trHeight w:hRule="exact" w:val="1411"/>
          <w:jc w:val="center"/>
        </w:trPr>
        <w:tc>
          <w:tcPr>
            <w:tcW w:w="1526"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ind w:firstLine="540"/>
            </w:pPr>
            <w:r>
              <w:rPr>
                <w:b/>
                <w:bCs/>
              </w:rPr>
              <w:t>10-01</w:t>
            </w:r>
          </w:p>
        </w:tc>
        <w:tc>
          <w:tcPr>
            <w:tcW w:w="1728"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ind w:firstLine="440"/>
            </w:pPr>
            <w:r>
              <w:rPr>
                <w:lang w:val="fr-FR" w:eastAsia="fr-FR" w:bidi="fr-FR"/>
              </w:rPr>
              <w:t>02/2010</w:t>
            </w:r>
          </w:p>
        </w:tc>
        <w:tc>
          <w:tcPr>
            <w:tcW w:w="2390" w:type="dxa"/>
            <w:tcBorders>
              <w:left w:val="single" w:sz="4" w:space="0" w:color="auto"/>
              <w:bottom w:val="single" w:sz="4" w:space="0" w:color="auto"/>
            </w:tcBorders>
            <w:shd w:val="clear" w:color="auto" w:fill="DFDFDF"/>
          </w:tcPr>
          <w:p w:rsidR="00A4351D" w:rsidRDefault="00A4351D">
            <w:pPr>
              <w:rPr>
                <w:sz w:val="10"/>
                <w:szCs w:val="10"/>
              </w:rPr>
            </w:pPr>
          </w:p>
        </w:tc>
        <w:tc>
          <w:tcPr>
            <w:tcW w:w="1891" w:type="dxa"/>
            <w:tcBorders>
              <w:top w:val="single" w:sz="4" w:space="0" w:color="auto"/>
              <w:left w:val="single" w:sz="4" w:space="0" w:color="auto"/>
              <w:bottom w:val="single" w:sz="4" w:space="0" w:color="auto"/>
            </w:tcBorders>
            <w:shd w:val="clear" w:color="auto" w:fill="DFDFDF"/>
            <w:vAlign w:val="center"/>
          </w:tcPr>
          <w:p w:rsidR="00A4351D" w:rsidRDefault="00094E8C">
            <w:pPr>
              <w:pStyle w:val="a7"/>
              <w:shd w:val="clear" w:color="auto" w:fill="auto"/>
              <w:spacing w:line="240" w:lineRule="auto"/>
              <w:jc w:val="center"/>
            </w:pPr>
            <w:r>
              <w:t>28,900 amp</w:t>
            </w:r>
          </w:p>
        </w:tc>
        <w:tc>
          <w:tcPr>
            <w:tcW w:w="1656" w:type="dxa"/>
            <w:tcBorders>
              <w:left w:val="single" w:sz="4" w:space="0" w:color="auto"/>
              <w:bottom w:val="single" w:sz="4" w:space="0" w:color="auto"/>
              <w:right w:val="single" w:sz="4" w:space="0" w:color="auto"/>
            </w:tcBorders>
            <w:shd w:val="clear" w:color="auto" w:fill="DFDFDF"/>
          </w:tcPr>
          <w:p w:rsidR="00A4351D" w:rsidRDefault="00A4351D">
            <w:pPr>
              <w:rPr>
                <w:sz w:val="10"/>
                <w:szCs w:val="10"/>
              </w:rPr>
            </w:pPr>
          </w:p>
        </w:tc>
      </w:tr>
    </w:tbl>
    <w:p w:rsidR="00A4351D" w:rsidRDefault="00A4351D">
      <w:pPr>
        <w:sectPr w:rsidR="00A4351D">
          <w:pgSz w:w="11900" w:h="16840"/>
          <w:pgMar w:top="1954" w:right="1352" w:bottom="1484" w:left="1356" w:header="0" w:footer="3" w:gutter="0"/>
          <w:cols w:space="720"/>
          <w:noEndnote/>
          <w:docGrid w:linePitch="360"/>
        </w:sectPr>
      </w:pPr>
    </w:p>
    <w:p w:rsidR="00A4351D" w:rsidRDefault="00094E8C">
      <w:pPr>
        <w:pStyle w:val="1"/>
        <w:numPr>
          <w:ilvl w:val="0"/>
          <w:numId w:val="34"/>
        </w:numPr>
        <w:shd w:val="clear" w:color="auto" w:fill="auto"/>
        <w:spacing w:line="341" w:lineRule="auto"/>
        <w:ind w:firstLine="320"/>
        <w:rPr>
          <w:sz w:val="26"/>
          <w:szCs w:val="26"/>
        </w:rPr>
      </w:pPr>
      <w:r>
        <w:rPr>
          <w:b/>
          <w:bCs/>
          <w:i/>
          <w:iCs/>
          <w:sz w:val="26"/>
          <w:szCs w:val="26"/>
          <w:lang w:val="fr-FR" w:eastAsia="fr-FR" w:bidi="fr-FR"/>
        </w:rPr>
        <w:lastRenderedPageBreak/>
        <w:t>P.6 REFERENCE STANDARDS OR MATERIALS</w:t>
      </w:r>
    </w:p>
    <w:p w:rsidR="00A4351D" w:rsidRDefault="00094E8C">
      <w:pPr>
        <w:pStyle w:val="1"/>
        <w:shd w:val="clear" w:color="auto" w:fill="auto"/>
        <w:ind w:left="320" w:firstLine="20"/>
      </w:pPr>
      <w:r>
        <w:rPr>
          <w:lang w:val="fr-FR" w:eastAsia="fr-FR" w:bidi="fr-FR"/>
        </w:rPr>
        <w:t xml:space="preserve">Since Paracetamol is a Pharmacopoeia product, the reference standard is available and </w:t>
      </w:r>
      <w:r>
        <w:t>supplied by the European Pharmacopoeia - EDQM (related substances method).</w:t>
      </w:r>
    </w:p>
    <w:p w:rsidR="00A4351D" w:rsidRDefault="00094E8C">
      <w:pPr>
        <w:pStyle w:val="1"/>
        <w:shd w:val="clear" w:color="auto" w:fill="auto"/>
        <w:spacing w:after="420"/>
        <w:ind w:left="320" w:firstLine="20"/>
      </w:pPr>
      <w:r>
        <w:t xml:space="preserve">A BP </w:t>
      </w:r>
      <w:r>
        <w:t>reference standard of paracetamol was also used (assay of paracetamol method). 4-Aminophenol was purchased from Sigma-Aldrich.</w:t>
      </w:r>
    </w:p>
    <w:tbl>
      <w:tblPr>
        <w:tblOverlap w:val="never"/>
        <w:tblW w:w="0" w:type="auto"/>
        <w:jc w:val="center"/>
        <w:tblLayout w:type="fixed"/>
        <w:tblCellMar>
          <w:left w:w="10" w:type="dxa"/>
          <w:right w:w="10" w:type="dxa"/>
        </w:tblCellMar>
        <w:tblLook w:val="0000" w:firstRow="0" w:lastRow="0" w:firstColumn="0" w:lastColumn="0" w:noHBand="0" w:noVBand="0"/>
      </w:tblPr>
      <w:tblGrid>
        <w:gridCol w:w="5189"/>
        <w:gridCol w:w="1872"/>
        <w:gridCol w:w="2150"/>
      </w:tblGrid>
      <w:tr w:rsidR="00A4351D">
        <w:tblPrEx>
          <w:tblCellMar>
            <w:top w:w="0" w:type="dxa"/>
            <w:bottom w:w="0" w:type="dxa"/>
          </w:tblCellMar>
        </w:tblPrEx>
        <w:trPr>
          <w:trHeight w:hRule="exact" w:val="446"/>
          <w:jc w:val="center"/>
        </w:trPr>
        <w:tc>
          <w:tcPr>
            <w:tcW w:w="9211" w:type="dxa"/>
            <w:gridSpan w:val="3"/>
            <w:tcBorders>
              <w:top w:val="single" w:sz="4" w:space="0" w:color="auto"/>
              <w:left w:val="single" w:sz="4" w:space="0" w:color="auto"/>
              <w:right w:val="single" w:sz="4" w:space="0" w:color="auto"/>
            </w:tcBorders>
            <w:shd w:val="clear" w:color="auto" w:fill="C8C8C8"/>
          </w:tcPr>
          <w:p w:rsidR="00A4351D" w:rsidRDefault="00094E8C">
            <w:pPr>
              <w:pStyle w:val="a7"/>
              <w:shd w:val="clear" w:color="auto" w:fill="auto"/>
              <w:spacing w:line="240" w:lineRule="auto"/>
            </w:pPr>
            <w:r>
              <w:rPr>
                <w:b/>
                <w:bCs/>
              </w:rPr>
              <w:t>Reference And Working Standards Table</w:t>
            </w:r>
          </w:p>
        </w:tc>
      </w:tr>
      <w:tr w:rsidR="00A4351D">
        <w:tblPrEx>
          <w:tblCellMar>
            <w:top w:w="0" w:type="dxa"/>
            <w:bottom w:w="0" w:type="dxa"/>
          </w:tblCellMar>
        </w:tblPrEx>
        <w:trPr>
          <w:trHeight w:hRule="exact" w:val="557"/>
          <w:jc w:val="center"/>
        </w:trPr>
        <w:tc>
          <w:tcPr>
            <w:tcW w:w="5189"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rPr>
              <w:t>Name</w:t>
            </w:r>
          </w:p>
        </w:tc>
        <w:tc>
          <w:tcPr>
            <w:tcW w:w="1872"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pPr>
            <w:r>
              <w:rPr>
                <w:b/>
                <w:bCs/>
              </w:rPr>
              <w:t>Lot Number</w:t>
            </w:r>
          </w:p>
        </w:tc>
        <w:tc>
          <w:tcPr>
            <w:tcW w:w="2150" w:type="dxa"/>
            <w:tcBorders>
              <w:top w:val="single" w:sz="4" w:space="0" w:color="auto"/>
              <w:left w:val="single" w:sz="4" w:space="0" w:color="auto"/>
              <w:right w:val="single" w:sz="4" w:space="0" w:color="auto"/>
            </w:tcBorders>
            <w:shd w:val="clear" w:color="auto" w:fill="DFDFDF"/>
            <w:vAlign w:val="center"/>
          </w:tcPr>
          <w:p w:rsidR="00A4351D" w:rsidRDefault="00094E8C">
            <w:pPr>
              <w:pStyle w:val="a7"/>
              <w:shd w:val="clear" w:color="auto" w:fill="auto"/>
              <w:spacing w:line="240" w:lineRule="auto"/>
            </w:pPr>
            <w:r>
              <w:rPr>
                <w:b/>
                <w:bCs/>
              </w:rPr>
              <w:t>Potency (%)</w:t>
            </w:r>
          </w:p>
        </w:tc>
      </w:tr>
      <w:tr w:rsidR="00A4351D">
        <w:tblPrEx>
          <w:tblCellMar>
            <w:top w:w="0" w:type="dxa"/>
            <w:bottom w:w="0" w:type="dxa"/>
          </w:tblCellMar>
        </w:tblPrEx>
        <w:trPr>
          <w:trHeight w:hRule="exact" w:val="754"/>
          <w:jc w:val="center"/>
        </w:trPr>
        <w:tc>
          <w:tcPr>
            <w:tcW w:w="5189"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Paracetamol (obtained from EDQM)</w:t>
            </w:r>
          </w:p>
        </w:tc>
        <w:tc>
          <w:tcPr>
            <w:tcW w:w="187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t>3</w:t>
            </w:r>
          </w:p>
        </w:tc>
        <w:tc>
          <w:tcPr>
            <w:tcW w:w="2150"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t>100.0%</w:t>
            </w:r>
          </w:p>
        </w:tc>
      </w:tr>
      <w:tr w:rsidR="00A4351D">
        <w:tblPrEx>
          <w:tblCellMar>
            <w:top w:w="0" w:type="dxa"/>
            <w:bottom w:w="0" w:type="dxa"/>
          </w:tblCellMar>
        </w:tblPrEx>
        <w:trPr>
          <w:trHeight w:hRule="exact" w:val="437"/>
          <w:jc w:val="center"/>
        </w:trPr>
        <w:tc>
          <w:tcPr>
            <w:tcW w:w="5189" w:type="dxa"/>
            <w:tcBorders>
              <w:top w:val="single" w:sz="4" w:space="0" w:color="auto"/>
              <w:left w:val="single" w:sz="4" w:space="0" w:color="auto"/>
            </w:tcBorders>
            <w:shd w:val="clear" w:color="auto" w:fill="FFFFFF"/>
          </w:tcPr>
          <w:p w:rsidR="00A4351D" w:rsidRDefault="00094E8C">
            <w:pPr>
              <w:pStyle w:val="a7"/>
              <w:shd w:val="clear" w:color="auto" w:fill="auto"/>
              <w:spacing w:line="240" w:lineRule="auto"/>
            </w:pPr>
            <w:r>
              <w:t xml:space="preserve">Paracetamol BPCRS </w:t>
            </w:r>
            <w:r>
              <w:t>(obtained from BP)</w:t>
            </w:r>
          </w:p>
        </w:tc>
        <w:tc>
          <w:tcPr>
            <w:tcW w:w="1872" w:type="dxa"/>
            <w:tcBorders>
              <w:top w:val="single" w:sz="4" w:space="0" w:color="auto"/>
              <w:left w:val="single" w:sz="4" w:space="0" w:color="auto"/>
            </w:tcBorders>
            <w:shd w:val="clear" w:color="auto" w:fill="FFFFFF"/>
          </w:tcPr>
          <w:p w:rsidR="00A4351D" w:rsidRDefault="00094E8C">
            <w:pPr>
              <w:pStyle w:val="a7"/>
              <w:shd w:val="clear" w:color="auto" w:fill="auto"/>
              <w:spacing w:line="240" w:lineRule="auto"/>
            </w:pPr>
            <w:r>
              <w:t>3516</w:t>
            </w:r>
          </w:p>
        </w:tc>
        <w:tc>
          <w:tcPr>
            <w:tcW w:w="2150" w:type="dxa"/>
            <w:tcBorders>
              <w:top w:val="single" w:sz="4" w:space="0" w:color="auto"/>
              <w:left w:val="single" w:sz="4" w:space="0" w:color="auto"/>
              <w:right w:val="single" w:sz="4" w:space="0" w:color="auto"/>
            </w:tcBorders>
            <w:shd w:val="clear" w:color="auto" w:fill="FFFFFF"/>
          </w:tcPr>
          <w:p w:rsidR="00A4351D" w:rsidRDefault="00094E8C">
            <w:pPr>
              <w:pStyle w:val="a7"/>
              <w:shd w:val="clear" w:color="auto" w:fill="auto"/>
              <w:spacing w:line="240" w:lineRule="auto"/>
            </w:pPr>
            <w:r>
              <w:t>99.9%</w:t>
            </w:r>
          </w:p>
        </w:tc>
      </w:tr>
      <w:tr w:rsidR="00A4351D">
        <w:tblPrEx>
          <w:tblCellMar>
            <w:top w:w="0" w:type="dxa"/>
            <w:bottom w:w="0" w:type="dxa"/>
          </w:tblCellMar>
        </w:tblPrEx>
        <w:trPr>
          <w:trHeight w:hRule="exact" w:val="442"/>
          <w:jc w:val="center"/>
        </w:trPr>
        <w:tc>
          <w:tcPr>
            <w:tcW w:w="5189" w:type="dxa"/>
            <w:tcBorders>
              <w:top w:val="single" w:sz="4" w:space="0" w:color="auto"/>
              <w:left w:val="single" w:sz="4" w:space="0" w:color="auto"/>
              <w:bottom w:val="single" w:sz="4" w:space="0" w:color="auto"/>
            </w:tcBorders>
            <w:shd w:val="clear" w:color="auto" w:fill="FFFFFF"/>
          </w:tcPr>
          <w:p w:rsidR="00A4351D" w:rsidRDefault="00094E8C">
            <w:pPr>
              <w:pStyle w:val="a7"/>
              <w:shd w:val="clear" w:color="auto" w:fill="auto"/>
              <w:spacing w:line="240" w:lineRule="auto"/>
            </w:pPr>
            <w:r>
              <w:t>4-Aminophenol (R) (obtained from Sigma-Aldrich)</w:t>
            </w:r>
          </w:p>
        </w:tc>
        <w:tc>
          <w:tcPr>
            <w:tcW w:w="1872" w:type="dxa"/>
            <w:tcBorders>
              <w:top w:val="single" w:sz="4" w:space="0" w:color="auto"/>
              <w:left w:val="single" w:sz="4" w:space="0" w:color="auto"/>
              <w:bottom w:val="single" w:sz="4" w:space="0" w:color="auto"/>
            </w:tcBorders>
            <w:shd w:val="clear" w:color="auto" w:fill="FFFFFF"/>
          </w:tcPr>
          <w:p w:rsidR="00A4351D" w:rsidRDefault="00094E8C">
            <w:pPr>
              <w:pStyle w:val="a7"/>
              <w:shd w:val="clear" w:color="auto" w:fill="auto"/>
              <w:spacing w:line="240" w:lineRule="auto"/>
            </w:pPr>
            <w:r>
              <w:t>SZBD1060V</w:t>
            </w:r>
          </w:p>
        </w:tc>
        <w:tc>
          <w:tcPr>
            <w:tcW w:w="2150" w:type="dxa"/>
            <w:tcBorders>
              <w:top w:val="single" w:sz="4" w:space="0" w:color="auto"/>
              <w:left w:val="single" w:sz="4" w:space="0" w:color="auto"/>
              <w:bottom w:val="single" w:sz="4" w:space="0" w:color="auto"/>
              <w:right w:val="single" w:sz="4" w:space="0" w:color="auto"/>
            </w:tcBorders>
            <w:shd w:val="clear" w:color="auto" w:fill="FFFFFF"/>
          </w:tcPr>
          <w:p w:rsidR="00A4351D" w:rsidRDefault="00094E8C">
            <w:pPr>
              <w:pStyle w:val="a7"/>
              <w:shd w:val="clear" w:color="auto" w:fill="auto"/>
              <w:spacing w:line="240" w:lineRule="auto"/>
            </w:pPr>
            <w:r>
              <w:t>99.0%</w:t>
            </w:r>
          </w:p>
        </w:tc>
      </w:tr>
    </w:tbl>
    <w:p w:rsidR="00A4351D" w:rsidRDefault="00A4351D">
      <w:pPr>
        <w:spacing w:after="419" w:line="1" w:lineRule="exact"/>
      </w:pPr>
    </w:p>
    <w:p w:rsidR="00A4351D" w:rsidRDefault="00094E8C">
      <w:pPr>
        <w:pStyle w:val="1"/>
        <w:shd w:val="clear" w:color="auto" w:fill="auto"/>
        <w:spacing w:after="220" w:line="240" w:lineRule="auto"/>
        <w:ind w:firstLine="320"/>
        <w:jc w:val="both"/>
        <w:sectPr w:rsidR="00A4351D">
          <w:pgSz w:w="11900" w:h="16840"/>
          <w:pgMar w:top="2094" w:right="1181" w:bottom="2094" w:left="1344" w:header="0" w:footer="3" w:gutter="0"/>
          <w:cols w:space="720"/>
          <w:noEndnote/>
          <w:docGrid w:linePitch="360"/>
        </w:sectPr>
      </w:pPr>
      <w:r>
        <w:t>The respective CoAs are attached in Module 3.</w:t>
      </w:r>
    </w:p>
    <w:p w:rsidR="00A4351D" w:rsidRDefault="00094E8C">
      <w:pPr>
        <w:pStyle w:val="1"/>
        <w:numPr>
          <w:ilvl w:val="0"/>
          <w:numId w:val="35"/>
        </w:numPr>
        <w:shd w:val="clear" w:color="auto" w:fill="auto"/>
        <w:spacing w:after="560" w:line="240" w:lineRule="auto"/>
        <w:jc w:val="both"/>
        <w:rPr>
          <w:sz w:val="26"/>
          <w:szCs w:val="26"/>
        </w:rPr>
      </w:pPr>
      <w:r>
        <w:rPr>
          <w:b/>
          <w:bCs/>
          <w:i/>
          <w:iCs/>
          <w:sz w:val="26"/>
          <w:szCs w:val="26"/>
          <w:lang w:val="fr-FR" w:eastAsia="fr-FR" w:bidi="fr-FR"/>
        </w:rPr>
        <w:lastRenderedPageBreak/>
        <w:t>P.7 CONTAINER CLOSURE</w:t>
      </w:r>
    </w:p>
    <w:p w:rsidR="00A4351D" w:rsidRDefault="00094E8C">
      <w:pPr>
        <w:pStyle w:val="1"/>
        <w:numPr>
          <w:ilvl w:val="0"/>
          <w:numId w:val="36"/>
        </w:numPr>
        <w:shd w:val="clear" w:color="auto" w:fill="auto"/>
        <w:spacing w:line="341" w:lineRule="auto"/>
        <w:jc w:val="both"/>
        <w:rPr>
          <w:sz w:val="26"/>
          <w:szCs w:val="26"/>
        </w:rPr>
      </w:pPr>
      <w:r>
        <w:rPr>
          <w:b/>
          <w:bCs/>
          <w:i/>
          <w:iCs/>
          <w:sz w:val="26"/>
          <w:szCs w:val="26"/>
          <w:lang w:val="fr-FR" w:eastAsia="fr-FR" w:bidi="fr-FR"/>
        </w:rPr>
        <w:t>P.7.1. Container (brief description)</w:t>
      </w:r>
    </w:p>
    <w:p w:rsidR="00A4351D" w:rsidRDefault="00094E8C">
      <w:pPr>
        <w:pStyle w:val="1"/>
        <w:shd w:val="clear" w:color="auto" w:fill="auto"/>
        <w:jc w:val="both"/>
      </w:pPr>
      <w:r>
        <w:rPr>
          <w:lang w:val="fr-FR" w:eastAsia="fr-FR" w:bidi="fr-FR"/>
        </w:rPr>
        <w:t xml:space="preserve">The primary container close </w:t>
      </w:r>
      <w:r>
        <w:rPr>
          <w:lang w:val="fr-FR" w:eastAsia="fr-FR" w:bidi="fr-FR"/>
        </w:rPr>
        <w:t>system is ampoules of amber coloured glass with 6.7 ml nominal content. The ampoules are placed in a blister inner package which consists of a thermoformed PVC/aluminium. Each cardboard folding box contains 3 ampoules and the patient information leaflet.</w:t>
      </w:r>
    </w:p>
    <w:p w:rsidR="00A4351D" w:rsidRDefault="00094E8C">
      <w:pPr>
        <w:pStyle w:val="1"/>
        <w:shd w:val="clear" w:color="auto" w:fill="auto"/>
        <w:jc w:val="both"/>
      </w:pPr>
      <w:r>
        <w:rPr>
          <w:lang w:val="fr-FR" w:eastAsia="fr-FR" w:bidi="fr-FR"/>
        </w:rPr>
        <w:t>T</w:t>
      </w:r>
      <w:r>
        <w:rPr>
          <w:lang w:val="fr-FR" w:eastAsia="fr-FR" w:bidi="fr-FR"/>
        </w:rPr>
        <w:t>he ampoules are manufactured of borosilicate glass tubing of 1st hydrolytic class, which corresponds to the requirements of both the current Eur. Pharm. and current USP for type I pharmaceutical glass.</w:t>
      </w:r>
    </w:p>
    <w:p w:rsidR="00A4351D" w:rsidRDefault="00094E8C">
      <w:pPr>
        <w:pStyle w:val="1"/>
        <w:shd w:val="clear" w:color="auto" w:fill="auto"/>
        <w:spacing w:after="560"/>
        <w:jc w:val="both"/>
      </w:pPr>
      <w:r>
        <w:rPr>
          <w:lang w:val="fr-FR" w:eastAsia="fr-FR" w:bidi="fr-FR"/>
        </w:rPr>
        <w:t xml:space="preserve">Regarding all suitability justification please refer </w:t>
      </w:r>
      <w:r>
        <w:rPr>
          <w:lang w:val="fr-FR" w:eastAsia="fr-FR" w:bidi="fr-FR"/>
        </w:rPr>
        <w:t>to 3.2.P.2</w:t>
      </w:r>
    </w:p>
    <w:p w:rsidR="00A4351D" w:rsidRDefault="00094E8C">
      <w:pPr>
        <w:pStyle w:val="1"/>
        <w:numPr>
          <w:ilvl w:val="0"/>
          <w:numId w:val="37"/>
        </w:numPr>
        <w:shd w:val="clear" w:color="auto" w:fill="auto"/>
        <w:spacing w:after="140" w:line="240" w:lineRule="auto"/>
        <w:jc w:val="both"/>
        <w:rPr>
          <w:sz w:val="26"/>
          <w:szCs w:val="26"/>
        </w:rPr>
      </w:pPr>
      <w:r>
        <w:rPr>
          <w:b/>
          <w:bCs/>
          <w:i/>
          <w:iCs/>
          <w:sz w:val="26"/>
          <w:szCs w:val="26"/>
          <w:lang w:val="fr-FR" w:eastAsia="fr-FR" w:bidi="fr-FR"/>
        </w:rPr>
        <w:t>P.7.2. Type of packaging material</w:t>
      </w:r>
    </w:p>
    <w:p w:rsidR="00A4351D" w:rsidRDefault="00094E8C">
      <w:pPr>
        <w:pStyle w:val="1"/>
        <w:shd w:val="clear" w:color="auto" w:fill="auto"/>
        <w:spacing w:after="700" w:line="240" w:lineRule="auto"/>
        <w:jc w:val="both"/>
      </w:pPr>
      <w:r>
        <w:rPr>
          <w:lang w:val="fr-FR" w:eastAsia="fr-FR" w:bidi="fr-FR"/>
        </w:rPr>
        <w:t>Cardboard folding box containing the blister and the patient information leaflet.</w:t>
      </w:r>
    </w:p>
    <w:p w:rsidR="00A4351D" w:rsidRDefault="00094E8C">
      <w:pPr>
        <w:pStyle w:val="1"/>
        <w:numPr>
          <w:ilvl w:val="0"/>
          <w:numId w:val="38"/>
        </w:numPr>
        <w:shd w:val="clear" w:color="auto" w:fill="auto"/>
        <w:spacing w:line="338" w:lineRule="auto"/>
        <w:jc w:val="both"/>
        <w:rPr>
          <w:sz w:val="26"/>
          <w:szCs w:val="26"/>
        </w:rPr>
      </w:pPr>
      <w:r>
        <w:rPr>
          <w:b/>
          <w:bCs/>
          <w:i/>
          <w:iCs/>
          <w:sz w:val="26"/>
          <w:szCs w:val="26"/>
        </w:rPr>
        <w:t>P.7.3. Quality specifications (routine tests)</w:t>
      </w:r>
    </w:p>
    <w:p w:rsidR="00A4351D" w:rsidRDefault="00094E8C">
      <w:pPr>
        <w:pStyle w:val="1"/>
        <w:shd w:val="clear" w:color="auto" w:fill="auto"/>
        <w:jc w:val="both"/>
      </w:pPr>
      <w:r>
        <w:t xml:space="preserve">The ampoules are checked on a regular basis for the following qualities: - test of </w:t>
      </w:r>
      <w:r>
        <w:t>physical dimensions</w:t>
      </w:r>
    </w:p>
    <w:p w:rsidR="00A4351D" w:rsidRDefault="00094E8C">
      <w:pPr>
        <w:pStyle w:val="1"/>
        <w:shd w:val="clear" w:color="auto" w:fill="auto"/>
        <w:spacing w:after="560"/>
        <w:jc w:val="both"/>
      </w:pPr>
      <w:r>
        <w:t>- integrity of material</w:t>
      </w:r>
    </w:p>
    <w:p w:rsidR="00A4351D" w:rsidRDefault="00094E8C">
      <w:pPr>
        <w:pStyle w:val="1"/>
        <w:numPr>
          <w:ilvl w:val="0"/>
          <w:numId w:val="39"/>
        </w:numPr>
        <w:shd w:val="clear" w:color="auto" w:fill="auto"/>
        <w:spacing w:line="341" w:lineRule="auto"/>
        <w:jc w:val="both"/>
        <w:rPr>
          <w:sz w:val="26"/>
          <w:szCs w:val="26"/>
        </w:rPr>
      </w:pPr>
      <w:r>
        <w:rPr>
          <w:b/>
          <w:bCs/>
          <w:i/>
          <w:iCs/>
          <w:sz w:val="26"/>
          <w:szCs w:val="26"/>
          <w:lang w:val="fr-FR" w:eastAsia="fr-FR" w:bidi="fr-FR"/>
        </w:rPr>
        <w:t>P.7.4. Development/validation studies</w:t>
      </w:r>
    </w:p>
    <w:p w:rsidR="00A4351D" w:rsidRDefault="00094E8C">
      <w:pPr>
        <w:pStyle w:val="1"/>
        <w:shd w:val="clear" w:color="auto" w:fill="auto"/>
        <w:jc w:val="both"/>
      </w:pPr>
      <w:r>
        <w:rPr>
          <w:lang w:val="fr-FR" w:eastAsia="fr-FR" w:bidi="fr-FR"/>
        </w:rPr>
        <w:t>The choice of materials has been quite straightforward:</w:t>
      </w:r>
    </w:p>
    <w:p w:rsidR="00A4351D" w:rsidRDefault="00094E8C">
      <w:pPr>
        <w:pStyle w:val="1"/>
        <w:shd w:val="clear" w:color="auto" w:fill="auto"/>
        <w:jc w:val="both"/>
      </w:pPr>
      <w:r>
        <w:rPr>
          <w:lang w:val="fr-FR" w:eastAsia="fr-FR" w:bidi="fr-FR"/>
        </w:rPr>
        <w:t>The material of the container should not interfere with its contents, which makes glass the material ideally suited.</w:t>
      </w:r>
    </w:p>
    <w:p w:rsidR="00A4351D" w:rsidRDefault="00094E8C">
      <w:pPr>
        <w:pStyle w:val="1"/>
        <w:shd w:val="clear" w:color="auto" w:fill="auto"/>
        <w:jc w:val="both"/>
      </w:pPr>
      <w:r>
        <w:rPr>
          <w:lang w:val="fr-FR" w:eastAsia="fr-FR" w:bidi="fr-FR"/>
        </w:rPr>
        <w:t>T</w:t>
      </w:r>
      <w:r>
        <w:rPr>
          <w:lang w:val="fr-FR" w:eastAsia="fr-FR" w:bidi="fr-FR"/>
        </w:rPr>
        <w:t>he quality used is neutral glass of the first hydrolytic class which demonstrates highest hydrolytic resistance (glass type I / current USP, current Eur. Pharm.). The glass is amber and completely transparent, allowing thus, checking for turbidity or sedim</w:t>
      </w:r>
      <w:r>
        <w:rPr>
          <w:lang w:val="fr-FR" w:eastAsia="fr-FR" w:bidi="fr-FR"/>
        </w:rPr>
        <w:t>ents as final precaution before administration. The ampoules are sealed by fusion and automatically controlled for pinholes to exclude any leaks or secondary contamination.</w:t>
      </w:r>
    </w:p>
    <w:p w:rsidR="00A4351D" w:rsidRDefault="00094E8C">
      <w:pPr>
        <w:pStyle w:val="1"/>
        <w:shd w:val="clear" w:color="auto" w:fill="auto"/>
        <w:spacing w:line="377" w:lineRule="auto"/>
        <w:jc w:val="center"/>
      </w:pPr>
      <w:r>
        <w:rPr>
          <w:i/>
          <w:iCs/>
          <w:lang w:val="fr-FR" w:eastAsia="fr-FR" w:bidi="fr-FR"/>
        </w:rPr>
        <w:t>A copy of the container closure system specifications is included in Module 3.</w:t>
      </w:r>
    </w:p>
    <w:p w:rsidR="00A4351D" w:rsidRDefault="00094E8C">
      <w:pPr>
        <w:pStyle w:val="1"/>
        <w:numPr>
          <w:ilvl w:val="0"/>
          <w:numId w:val="40"/>
        </w:numPr>
        <w:shd w:val="clear" w:color="auto" w:fill="auto"/>
        <w:spacing w:line="348" w:lineRule="auto"/>
        <w:rPr>
          <w:sz w:val="26"/>
          <w:szCs w:val="26"/>
        </w:rPr>
      </w:pPr>
      <w:r>
        <w:rPr>
          <w:b/>
          <w:bCs/>
          <w:i/>
          <w:iCs/>
          <w:sz w:val="26"/>
          <w:szCs w:val="26"/>
          <w:lang w:val="fr-FR" w:eastAsia="fr-FR" w:bidi="fr-FR"/>
        </w:rPr>
        <w:lastRenderedPageBreak/>
        <w:t xml:space="preserve">P.8 </w:t>
      </w:r>
      <w:r>
        <w:rPr>
          <w:b/>
          <w:bCs/>
          <w:i/>
          <w:iCs/>
          <w:sz w:val="26"/>
          <w:szCs w:val="26"/>
          <w:lang w:val="fr-FR" w:eastAsia="fr-FR" w:bidi="fr-FR"/>
        </w:rPr>
        <w:t>STABILITY</w:t>
      </w:r>
    </w:p>
    <w:p w:rsidR="00A4351D" w:rsidRDefault="00094E8C">
      <w:pPr>
        <w:pStyle w:val="1"/>
        <w:numPr>
          <w:ilvl w:val="0"/>
          <w:numId w:val="41"/>
        </w:numPr>
        <w:shd w:val="clear" w:color="auto" w:fill="auto"/>
        <w:spacing w:line="348" w:lineRule="auto"/>
        <w:rPr>
          <w:sz w:val="26"/>
          <w:szCs w:val="26"/>
        </w:rPr>
      </w:pPr>
      <w:r>
        <w:rPr>
          <w:b/>
          <w:bCs/>
          <w:i/>
          <w:iCs/>
          <w:sz w:val="26"/>
          <w:szCs w:val="26"/>
          <w:lang w:val="fr-FR" w:eastAsia="fr-FR" w:bidi="fr-FR"/>
        </w:rPr>
        <w:t>P.8.1 Stability Summary and Conclusion</w:t>
      </w:r>
    </w:p>
    <w:p w:rsidR="00A4351D" w:rsidRDefault="00094E8C">
      <w:pPr>
        <w:pStyle w:val="1"/>
        <w:shd w:val="clear" w:color="auto" w:fill="auto"/>
        <w:spacing w:after="340" w:line="377" w:lineRule="auto"/>
      </w:pPr>
      <w:r>
        <w:rPr>
          <w:lang w:val="fr-FR" w:eastAsia="fr-FR" w:bidi="fr-FR"/>
        </w:rPr>
        <w:t xml:space="preserve">The regular stability program of </w:t>
      </w:r>
      <w:r>
        <w:rPr>
          <w:b/>
          <w:bCs/>
          <w:lang w:val="fr-FR" w:eastAsia="fr-FR" w:bidi="fr-FR"/>
        </w:rPr>
        <w:t xml:space="preserve">Paracetamol/Uni-Pharma </w:t>
      </w:r>
      <w:r>
        <w:rPr>
          <w:b/>
          <w:bCs/>
          <w:i/>
          <w:iCs/>
          <w:lang w:val="fr-FR" w:eastAsia="fr-FR" w:bidi="fr-FR"/>
        </w:rPr>
        <w:t xml:space="preserve">Sol. iv. inf. 1g/6.7 ml Amp. </w:t>
      </w:r>
      <w:r>
        <w:rPr>
          <w:lang w:val="fr-FR" w:eastAsia="fr-FR" w:bidi="fr-FR"/>
        </w:rPr>
        <w:t>started in December 2005.</w:t>
      </w:r>
    </w:p>
    <w:p w:rsidR="00A4351D" w:rsidRDefault="00094E8C">
      <w:pPr>
        <w:pStyle w:val="1"/>
        <w:shd w:val="clear" w:color="auto" w:fill="auto"/>
        <w:spacing w:after="140" w:line="240" w:lineRule="auto"/>
        <w:rPr>
          <w:sz w:val="26"/>
          <w:szCs w:val="26"/>
        </w:rPr>
      </w:pPr>
      <w:r>
        <w:rPr>
          <w:b/>
          <w:bCs/>
          <w:i/>
          <w:iCs/>
          <w:sz w:val="26"/>
          <w:szCs w:val="26"/>
          <w:lang w:val="fr-FR" w:eastAsia="fr-FR" w:bidi="fr-FR"/>
        </w:rPr>
        <w:t>Methodology:</w:t>
      </w:r>
    </w:p>
    <w:p w:rsidR="00A4351D" w:rsidRDefault="00094E8C">
      <w:pPr>
        <w:pStyle w:val="30"/>
        <w:keepNext/>
        <w:keepLines/>
        <w:shd w:val="clear" w:color="auto" w:fill="auto"/>
        <w:spacing w:after="140" w:line="240" w:lineRule="auto"/>
      </w:pPr>
      <w:bookmarkStart w:id="51" w:name="bookmark50"/>
      <w:bookmarkStart w:id="52" w:name="bookmark51"/>
      <w:r>
        <w:t>Real-time studies (physical stability) / long term stability studies</w:t>
      </w:r>
      <w:bookmarkEnd w:id="51"/>
      <w:bookmarkEnd w:id="52"/>
    </w:p>
    <w:p w:rsidR="00A4351D" w:rsidRDefault="00094E8C">
      <w:pPr>
        <w:pStyle w:val="1"/>
        <w:shd w:val="clear" w:color="auto" w:fill="auto"/>
        <w:spacing w:after="140" w:line="240" w:lineRule="auto"/>
        <w:jc w:val="center"/>
      </w:pPr>
      <w:r>
        <w:rPr>
          <w:i/>
          <w:iCs/>
        </w:rPr>
        <w:t xml:space="preserve">Table </w:t>
      </w:r>
      <w:r>
        <w:rPr>
          <w:i/>
          <w:iCs/>
        </w:rPr>
        <w:t>2.3.P.8.1: Stability batches- long term stability studies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34"/>
        <w:gridCol w:w="2760"/>
        <w:gridCol w:w="3106"/>
      </w:tblGrid>
      <w:tr w:rsidR="00A4351D">
        <w:tblPrEx>
          <w:tblCellMar>
            <w:top w:w="0" w:type="dxa"/>
            <w:bottom w:w="0" w:type="dxa"/>
          </w:tblCellMar>
        </w:tblPrEx>
        <w:trPr>
          <w:trHeight w:hRule="exact" w:val="802"/>
          <w:jc w:val="center"/>
        </w:trPr>
        <w:tc>
          <w:tcPr>
            <w:tcW w:w="1234"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rPr>
                <w:b/>
                <w:bCs/>
              </w:rPr>
              <w:t>Batch number</w:t>
            </w:r>
          </w:p>
        </w:tc>
        <w:tc>
          <w:tcPr>
            <w:tcW w:w="2760"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rPr>
                <w:b/>
                <w:bCs/>
              </w:rPr>
              <w:t>Manufacturing Date</w:t>
            </w:r>
          </w:p>
        </w:tc>
        <w:tc>
          <w:tcPr>
            <w:tcW w:w="3106" w:type="dxa"/>
            <w:tcBorders>
              <w:top w:val="single" w:sz="4" w:space="0" w:color="auto"/>
              <w:left w:val="single" w:sz="4" w:space="0" w:color="auto"/>
              <w:right w:val="single" w:sz="4" w:space="0" w:color="auto"/>
            </w:tcBorders>
            <w:shd w:val="clear" w:color="auto" w:fill="DFDFDF"/>
            <w:vAlign w:val="center"/>
          </w:tcPr>
          <w:p w:rsidR="00A4351D" w:rsidRDefault="00094E8C">
            <w:pPr>
              <w:pStyle w:val="a7"/>
              <w:shd w:val="clear" w:color="auto" w:fill="auto"/>
              <w:spacing w:line="240" w:lineRule="auto"/>
              <w:ind w:left="1040"/>
            </w:pPr>
            <w:r>
              <w:rPr>
                <w:b/>
                <w:bCs/>
              </w:rPr>
              <w:t>Batch size</w:t>
            </w:r>
          </w:p>
        </w:tc>
      </w:tr>
      <w:tr w:rsidR="00A4351D">
        <w:tblPrEx>
          <w:tblCellMar>
            <w:top w:w="0" w:type="dxa"/>
            <w:bottom w:w="0" w:type="dxa"/>
          </w:tblCellMar>
        </w:tblPrEx>
        <w:trPr>
          <w:trHeight w:hRule="exact" w:val="346"/>
          <w:jc w:val="center"/>
        </w:trPr>
        <w:tc>
          <w:tcPr>
            <w:tcW w:w="1234" w:type="dxa"/>
            <w:tcBorders>
              <w:top w:val="single" w:sz="4" w:space="0" w:color="auto"/>
              <w:left w:val="single" w:sz="4" w:space="0" w:color="auto"/>
            </w:tcBorders>
            <w:shd w:val="clear" w:color="auto" w:fill="DFDFDF"/>
            <w:vAlign w:val="bottom"/>
          </w:tcPr>
          <w:p w:rsidR="00A4351D" w:rsidRDefault="00094E8C">
            <w:pPr>
              <w:pStyle w:val="a7"/>
              <w:shd w:val="clear" w:color="auto" w:fill="auto"/>
              <w:spacing w:line="240" w:lineRule="auto"/>
              <w:jc w:val="center"/>
            </w:pPr>
            <w:r>
              <w:t>05-01D</w:t>
            </w:r>
          </w:p>
        </w:tc>
        <w:tc>
          <w:tcPr>
            <w:tcW w:w="2760"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12/2005</w:t>
            </w:r>
          </w:p>
        </w:tc>
        <w:tc>
          <w:tcPr>
            <w:tcW w:w="3106" w:type="dxa"/>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t>1,000 amp</w:t>
            </w:r>
          </w:p>
        </w:tc>
      </w:tr>
      <w:tr w:rsidR="00A4351D">
        <w:tblPrEx>
          <w:tblCellMar>
            <w:top w:w="0" w:type="dxa"/>
            <w:bottom w:w="0" w:type="dxa"/>
          </w:tblCellMar>
        </w:tblPrEx>
        <w:trPr>
          <w:trHeight w:hRule="exact" w:val="365"/>
          <w:jc w:val="center"/>
        </w:trPr>
        <w:tc>
          <w:tcPr>
            <w:tcW w:w="1234"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t>06-01 D</w:t>
            </w:r>
          </w:p>
        </w:tc>
        <w:tc>
          <w:tcPr>
            <w:tcW w:w="276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10/2006</w:t>
            </w:r>
          </w:p>
        </w:tc>
        <w:tc>
          <w:tcPr>
            <w:tcW w:w="3106"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1,000 amp</w:t>
            </w:r>
          </w:p>
        </w:tc>
      </w:tr>
      <w:tr w:rsidR="00A4351D">
        <w:tblPrEx>
          <w:tblCellMar>
            <w:top w:w="0" w:type="dxa"/>
            <w:bottom w:w="0" w:type="dxa"/>
          </w:tblCellMar>
        </w:tblPrEx>
        <w:trPr>
          <w:trHeight w:hRule="exact" w:val="341"/>
          <w:jc w:val="center"/>
        </w:trPr>
        <w:tc>
          <w:tcPr>
            <w:tcW w:w="1234" w:type="dxa"/>
            <w:tcBorders>
              <w:top w:val="single" w:sz="4" w:space="0" w:color="auto"/>
              <w:left w:val="single" w:sz="4" w:space="0" w:color="auto"/>
            </w:tcBorders>
            <w:shd w:val="clear" w:color="auto" w:fill="DFDFDF"/>
            <w:vAlign w:val="bottom"/>
          </w:tcPr>
          <w:p w:rsidR="00A4351D" w:rsidRDefault="00094E8C">
            <w:pPr>
              <w:pStyle w:val="a7"/>
              <w:shd w:val="clear" w:color="auto" w:fill="auto"/>
              <w:spacing w:line="240" w:lineRule="auto"/>
              <w:jc w:val="center"/>
            </w:pPr>
            <w:r>
              <w:t>06-02 D</w:t>
            </w:r>
          </w:p>
        </w:tc>
        <w:tc>
          <w:tcPr>
            <w:tcW w:w="2760"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10/2006</w:t>
            </w:r>
          </w:p>
        </w:tc>
        <w:tc>
          <w:tcPr>
            <w:tcW w:w="3106" w:type="dxa"/>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t>1,000 amp</w:t>
            </w:r>
          </w:p>
        </w:tc>
      </w:tr>
      <w:tr w:rsidR="00A4351D">
        <w:tblPrEx>
          <w:tblCellMar>
            <w:top w:w="0" w:type="dxa"/>
            <w:bottom w:w="0" w:type="dxa"/>
          </w:tblCellMar>
        </w:tblPrEx>
        <w:trPr>
          <w:trHeight w:hRule="exact" w:val="346"/>
          <w:jc w:val="center"/>
        </w:trPr>
        <w:tc>
          <w:tcPr>
            <w:tcW w:w="1234"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t>08-01</w:t>
            </w:r>
          </w:p>
        </w:tc>
        <w:tc>
          <w:tcPr>
            <w:tcW w:w="276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02/2008</w:t>
            </w:r>
          </w:p>
        </w:tc>
        <w:tc>
          <w:tcPr>
            <w:tcW w:w="3106" w:type="dxa"/>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t>28,900 amp</w:t>
            </w:r>
          </w:p>
        </w:tc>
      </w:tr>
      <w:tr w:rsidR="00A4351D">
        <w:tblPrEx>
          <w:tblCellMar>
            <w:top w:w="0" w:type="dxa"/>
            <w:bottom w:w="0" w:type="dxa"/>
          </w:tblCellMar>
        </w:tblPrEx>
        <w:trPr>
          <w:trHeight w:hRule="exact" w:val="341"/>
          <w:jc w:val="center"/>
        </w:trPr>
        <w:tc>
          <w:tcPr>
            <w:tcW w:w="1234" w:type="dxa"/>
            <w:tcBorders>
              <w:top w:val="single" w:sz="4" w:space="0" w:color="auto"/>
              <w:left w:val="single" w:sz="4" w:space="0" w:color="auto"/>
            </w:tcBorders>
            <w:shd w:val="clear" w:color="auto" w:fill="DFDFDF"/>
            <w:vAlign w:val="bottom"/>
          </w:tcPr>
          <w:p w:rsidR="00A4351D" w:rsidRDefault="00094E8C">
            <w:pPr>
              <w:pStyle w:val="a7"/>
              <w:shd w:val="clear" w:color="auto" w:fill="auto"/>
              <w:spacing w:line="240" w:lineRule="auto"/>
              <w:jc w:val="center"/>
            </w:pPr>
            <w:r>
              <w:t>09-01</w:t>
            </w:r>
          </w:p>
        </w:tc>
        <w:tc>
          <w:tcPr>
            <w:tcW w:w="2760"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05/2009</w:t>
            </w:r>
          </w:p>
        </w:tc>
        <w:tc>
          <w:tcPr>
            <w:tcW w:w="3106" w:type="dxa"/>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t>28,900 amp</w:t>
            </w:r>
          </w:p>
        </w:tc>
      </w:tr>
      <w:tr w:rsidR="00A4351D">
        <w:tblPrEx>
          <w:tblCellMar>
            <w:top w:w="0" w:type="dxa"/>
            <w:bottom w:w="0" w:type="dxa"/>
          </w:tblCellMar>
        </w:tblPrEx>
        <w:trPr>
          <w:trHeight w:hRule="exact" w:val="355"/>
          <w:jc w:val="center"/>
        </w:trPr>
        <w:tc>
          <w:tcPr>
            <w:tcW w:w="1234" w:type="dxa"/>
            <w:tcBorders>
              <w:top w:val="single" w:sz="4" w:space="0" w:color="auto"/>
              <w:left w:val="single" w:sz="4" w:space="0" w:color="auto"/>
              <w:bottom w:val="single" w:sz="4" w:space="0" w:color="auto"/>
            </w:tcBorders>
            <w:shd w:val="clear" w:color="auto" w:fill="DFDFDF"/>
            <w:vAlign w:val="center"/>
          </w:tcPr>
          <w:p w:rsidR="00A4351D" w:rsidRDefault="00094E8C">
            <w:pPr>
              <w:pStyle w:val="a7"/>
              <w:shd w:val="clear" w:color="auto" w:fill="auto"/>
              <w:spacing w:line="240" w:lineRule="auto"/>
              <w:ind w:firstLine="320"/>
            </w:pPr>
            <w:r>
              <w:t>10-01</w:t>
            </w:r>
          </w:p>
        </w:tc>
        <w:tc>
          <w:tcPr>
            <w:tcW w:w="2760"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jc w:val="center"/>
            </w:pPr>
            <w:r>
              <w:t>02/2010</w:t>
            </w:r>
          </w:p>
        </w:tc>
        <w:tc>
          <w:tcPr>
            <w:tcW w:w="3106" w:type="dxa"/>
            <w:tcBorders>
              <w:top w:val="single" w:sz="4" w:space="0" w:color="auto"/>
              <w:left w:val="single" w:sz="4" w:space="0" w:color="auto"/>
              <w:bottom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 xml:space="preserve">28,900 </w:t>
            </w:r>
            <w:r>
              <w:t>amp</w:t>
            </w:r>
          </w:p>
        </w:tc>
      </w:tr>
    </w:tbl>
    <w:p w:rsidR="00A4351D" w:rsidRDefault="00A4351D">
      <w:pPr>
        <w:spacing w:after="339" w:line="1" w:lineRule="exact"/>
      </w:pPr>
    </w:p>
    <w:p w:rsidR="00A4351D" w:rsidRDefault="00094E8C">
      <w:pPr>
        <w:pStyle w:val="30"/>
        <w:keepNext/>
        <w:keepLines/>
        <w:shd w:val="clear" w:color="auto" w:fill="auto"/>
        <w:spacing w:after="140" w:line="240" w:lineRule="auto"/>
      </w:pPr>
      <w:bookmarkStart w:id="53" w:name="bookmark52"/>
      <w:bookmarkStart w:id="54" w:name="bookmark53"/>
      <w:r>
        <w:rPr>
          <w:lang w:val="fr-FR" w:eastAsia="fr-FR" w:bidi="fr-FR"/>
        </w:rPr>
        <w:t>Storage conditions:</w:t>
      </w:r>
      <w:bookmarkEnd w:id="53"/>
      <w:bookmarkEnd w:id="54"/>
    </w:p>
    <w:p w:rsidR="00A4351D" w:rsidRDefault="00094E8C">
      <w:pPr>
        <w:pStyle w:val="1"/>
        <w:shd w:val="clear" w:color="auto" w:fill="auto"/>
        <w:spacing w:after="500" w:line="240" w:lineRule="auto"/>
      </w:pPr>
      <w:r>
        <w:t>Controlled room temperature and humidity (25</w:t>
      </w:r>
      <w:r>
        <w:rPr>
          <w:sz w:val="26"/>
          <w:szCs w:val="26"/>
        </w:rPr>
        <w:t>°</w:t>
      </w:r>
      <w:r>
        <w:t>C</w:t>
      </w:r>
      <w:r>
        <w:rPr>
          <w:sz w:val="26"/>
          <w:szCs w:val="26"/>
        </w:rPr>
        <w:t xml:space="preserve">± </w:t>
      </w:r>
      <w:r>
        <w:t>2</w:t>
      </w:r>
      <w:r>
        <w:rPr>
          <w:sz w:val="26"/>
          <w:szCs w:val="26"/>
        </w:rPr>
        <w:t>°</w:t>
      </w:r>
      <w:r>
        <w:t xml:space="preserve">C/ 60% RH </w:t>
      </w:r>
      <w:r>
        <w:rPr>
          <w:sz w:val="26"/>
          <w:szCs w:val="26"/>
        </w:rPr>
        <w:t xml:space="preserve">± </w:t>
      </w:r>
      <w:r>
        <w:t>5%).</w:t>
      </w:r>
    </w:p>
    <w:p w:rsidR="00A4351D" w:rsidRDefault="00094E8C">
      <w:pPr>
        <w:pStyle w:val="30"/>
        <w:keepNext/>
        <w:keepLines/>
        <w:shd w:val="clear" w:color="auto" w:fill="auto"/>
      </w:pPr>
      <w:bookmarkStart w:id="55" w:name="bookmark54"/>
      <w:bookmarkStart w:id="56" w:name="bookmark55"/>
      <w:r>
        <w:t>Container Closure System:</w:t>
      </w:r>
      <w:bookmarkEnd w:id="55"/>
      <w:bookmarkEnd w:id="56"/>
    </w:p>
    <w:p w:rsidR="00A4351D" w:rsidRDefault="00094E8C">
      <w:pPr>
        <w:pStyle w:val="1"/>
        <w:shd w:val="clear" w:color="auto" w:fill="auto"/>
        <w:spacing w:after="140"/>
        <w:sectPr w:rsidR="00A4351D">
          <w:pgSz w:w="11900" w:h="16840"/>
          <w:pgMar w:top="1954" w:right="1227" w:bottom="1959" w:left="1610" w:header="0" w:footer="3" w:gutter="0"/>
          <w:cols w:space="720"/>
          <w:noEndnote/>
          <w:docGrid w:linePitch="360"/>
        </w:sectPr>
      </w:pPr>
      <w:r>
        <w:t>The primary container close system is ampoules of amber coloured glass with 6.7 ml nominal content. The ampoules are</w:t>
      </w:r>
      <w:r>
        <w:t xml:space="preserve"> placed in a blister inner package which consists of a thermoformed PVC/aluminium. Each cardboard folding box contains 3 ampoules and the patient information leaflet.</w:t>
      </w:r>
    </w:p>
    <w:p w:rsidR="00A4351D" w:rsidRDefault="00094E8C">
      <w:pPr>
        <w:pStyle w:val="30"/>
        <w:keepNext/>
        <w:keepLines/>
        <w:shd w:val="clear" w:color="auto" w:fill="auto"/>
        <w:spacing w:after="120" w:line="240" w:lineRule="auto"/>
      </w:pPr>
      <w:bookmarkStart w:id="57" w:name="bookmark56"/>
      <w:bookmarkStart w:id="58" w:name="bookmark57"/>
      <w:r>
        <w:lastRenderedPageBreak/>
        <w:t>Intermediate stability studies</w:t>
      </w:r>
      <w:bookmarkEnd w:id="57"/>
      <w:bookmarkEnd w:id="58"/>
    </w:p>
    <w:p w:rsidR="00A4351D" w:rsidRDefault="00094E8C">
      <w:pPr>
        <w:pStyle w:val="1"/>
        <w:shd w:val="clear" w:color="auto" w:fill="auto"/>
        <w:spacing w:after="120" w:line="240" w:lineRule="auto"/>
        <w:jc w:val="center"/>
      </w:pPr>
      <w:r>
        <w:rPr>
          <w:i/>
          <w:iCs/>
        </w:rPr>
        <w:t xml:space="preserve">Table 2.3.P.8.1: Stability batches- long term stability </w:t>
      </w:r>
      <w:r>
        <w:rPr>
          <w:i/>
          <w:iCs/>
        </w:rPr>
        <w:t>studies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34"/>
        <w:gridCol w:w="2760"/>
        <w:gridCol w:w="3106"/>
      </w:tblGrid>
      <w:tr w:rsidR="00A4351D">
        <w:tblPrEx>
          <w:tblCellMar>
            <w:top w:w="0" w:type="dxa"/>
            <w:bottom w:w="0" w:type="dxa"/>
          </w:tblCellMar>
        </w:tblPrEx>
        <w:trPr>
          <w:trHeight w:hRule="exact" w:val="802"/>
          <w:jc w:val="center"/>
        </w:trPr>
        <w:tc>
          <w:tcPr>
            <w:tcW w:w="1234"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rPr>
                <w:b/>
                <w:bCs/>
              </w:rPr>
              <w:t>Batch number</w:t>
            </w:r>
          </w:p>
        </w:tc>
        <w:tc>
          <w:tcPr>
            <w:tcW w:w="2760"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ind w:firstLine="380"/>
            </w:pPr>
            <w:r>
              <w:rPr>
                <w:b/>
                <w:bCs/>
              </w:rPr>
              <w:t>Manufacturing Date</w:t>
            </w:r>
          </w:p>
        </w:tc>
        <w:tc>
          <w:tcPr>
            <w:tcW w:w="3106" w:type="dxa"/>
            <w:tcBorders>
              <w:top w:val="single" w:sz="4" w:space="0" w:color="auto"/>
              <w:left w:val="single" w:sz="4" w:space="0" w:color="auto"/>
              <w:right w:val="single" w:sz="4" w:space="0" w:color="auto"/>
            </w:tcBorders>
            <w:shd w:val="clear" w:color="auto" w:fill="DFDFDF"/>
            <w:vAlign w:val="center"/>
          </w:tcPr>
          <w:p w:rsidR="00A4351D" w:rsidRDefault="00094E8C">
            <w:pPr>
              <w:pStyle w:val="a7"/>
              <w:shd w:val="clear" w:color="auto" w:fill="auto"/>
              <w:spacing w:line="240" w:lineRule="auto"/>
              <w:ind w:left="1040"/>
              <w:jc w:val="both"/>
            </w:pPr>
            <w:r>
              <w:rPr>
                <w:b/>
                <w:bCs/>
              </w:rPr>
              <w:t>Batch size</w:t>
            </w:r>
          </w:p>
        </w:tc>
      </w:tr>
      <w:tr w:rsidR="00A4351D">
        <w:tblPrEx>
          <w:tblCellMar>
            <w:top w:w="0" w:type="dxa"/>
            <w:bottom w:w="0" w:type="dxa"/>
          </w:tblCellMar>
        </w:tblPrEx>
        <w:trPr>
          <w:trHeight w:hRule="exact" w:val="346"/>
          <w:jc w:val="center"/>
        </w:trPr>
        <w:tc>
          <w:tcPr>
            <w:tcW w:w="1234"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ind w:firstLine="320"/>
              <w:jc w:val="both"/>
            </w:pPr>
            <w:r>
              <w:t>08-01</w:t>
            </w:r>
          </w:p>
        </w:tc>
        <w:tc>
          <w:tcPr>
            <w:tcW w:w="276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02/2008</w:t>
            </w:r>
          </w:p>
        </w:tc>
        <w:tc>
          <w:tcPr>
            <w:tcW w:w="3106" w:type="dxa"/>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t>28,900 amp</w:t>
            </w:r>
          </w:p>
        </w:tc>
      </w:tr>
      <w:tr w:rsidR="00A4351D">
        <w:tblPrEx>
          <w:tblCellMar>
            <w:top w:w="0" w:type="dxa"/>
            <w:bottom w:w="0" w:type="dxa"/>
          </w:tblCellMar>
        </w:tblPrEx>
        <w:trPr>
          <w:trHeight w:hRule="exact" w:val="341"/>
          <w:jc w:val="center"/>
        </w:trPr>
        <w:tc>
          <w:tcPr>
            <w:tcW w:w="1234" w:type="dxa"/>
            <w:tcBorders>
              <w:top w:val="single" w:sz="4" w:space="0" w:color="auto"/>
              <w:left w:val="single" w:sz="4" w:space="0" w:color="auto"/>
            </w:tcBorders>
            <w:shd w:val="clear" w:color="auto" w:fill="DFDFDF"/>
            <w:vAlign w:val="bottom"/>
          </w:tcPr>
          <w:p w:rsidR="00A4351D" w:rsidRDefault="00094E8C">
            <w:pPr>
              <w:pStyle w:val="a7"/>
              <w:shd w:val="clear" w:color="auto" w:fill="auto"/>
              <w:spacing w:line="240" w:lineRule="auto"/>
              <w:ind w:firstLine="320"/>
              <w:jc w:val="both"/>
            </w:pPr>
            <w:r>
              <w:t>09-01</w:t>
            </w:r>
          </w:p>
        </w:tc>
        <w:tc>
          <w:tcPr>
            <w:tcW w:w="2760"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05/2009</w:t>
            </w:r>
          </w:p>
        </w:tc>
        <w:tc>
          <w:tcPr>
            <w:tcW w:w="3106" w:type="dxa"/>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t>28,900 amp</w:t>
            </w:r>
          </w:p>
        </w:tc>
      </w:tr>
      <w:tr w:rsidR="00A4351D">
        <w:tblPrEx>
          <w:tblCellMar>
            <w:top w:w="0" w:type="dxa"/>
            <w:bottom w:w="0" w:type="dxa"/>
          </w:tblCellMar>
        </w:tblPrEx>
        <w:trPr>
          <w:trHeight w:hRule="exact" w:val="355"/>
          <w:jc w:val="center"/>
        </w:trPr>
        <w:tc>
          <w:tcPr>
            <w:tcW w:w="1234" w:type="dxa"/>
            <w:tcBorders>
              <w:top w:val="single" w:sz="4" w:space="0" w:color="auto"/>
              <w:left w:val="single" w:sz="4" w:space="0" w:color="auto"/>
              <w:bottom w:val="single" w:sz="4" w:space="0" w:color="auto"/>
            </w:tcBorders>
            <w:shd w:val="clear" w:color="auto" w:fill="DFDFDF"/>
            <w:vAlign w:val="center"/>
          </w:tcPr>
          <w:p w:rsidR="00A4351D" w:rsidRDefault="00094E8C">
            <w:pPr>
              <w:pStyle w:val="a7"/>
              <w:shd w:val="clear" w:color="auto" w:fill="auto"/>
              <w:spacing w:line="240" w:lineRule="auto"/>
              <w:ind w:firstLine="320"/>
              <w:jc w:val="both"/>
            </w:pPr>
            <w:r>
              <w:t>10-01</w:t>
            </w:r>
          </w:p>
        </w:tc>
        <w:tc>
          <w:tcPr>
            <w:tcW w:w="2760"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jc w:val="center"/>
            </w:pPr>
            <w:r>
              <w:t>02/2010</w:t>
            </w:r>
          </w:p>
        </w:tc>
        <w:tc>
          <w:tcPr>
            <w:tcW w:w="3106" w:type="dxa"/>
            <w:tcBorders>
              <w:top w:val="single" w:sz="4" w:space="0" w:color="auto"/>
              <w:left w:val="single" w:sz="4" w:space="0" w:color="auto"/>
              <w:bottom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28,900 amp</w:t>
            </w:r>
          </w:p>
        </w:tc>
      </w:tr>
    </w:tbl>
    <w:p w:rsidR="00A4351D" w:rsidRDefault="00A4351D">
      <w:pPr>
        <w:spacing w:after="359" w:line="1" w:lineRule="exact"/>
      </w:pPr>
    </w:p>
    <w:p w:rsidR="00A4351D" w:rsidRDefault="00094E8C">
      <w:pPr>
        <w:pStyle w:val="30"/>
        <w:keepNext/>
        <w:keepLines/>
        <w:shd w:val="clear" w:color="auto" w:fill="auto"/>
        <w:spacing w:after="120" w:line="240" w:lineRule="auto"/>
      </w:pPr>
      <w:bookmarkStart w:id="59" w:name="bookmark58"/>
      <w:bookmarkStart w:id="60" w:name="bookmark59"/>
      <w:r>
        <w:rPr>
          <w:lang w:val="fr-FR" w:eastAsia="fr-FR" w:bidi="fr-FR"/>
        </w:rPr>
        <w:t>Storage conditions:</w:t>
      </w:r>
      <w:bookmarkEnd w:id="59"/>
      <w:bookmarkEnd w:id="60"/>
    </w:p>
    <w:p w:rsidR="00A4351D" w:rsidRDefault="00094E8C">
      <w:pPr>
        <w:pStyle w:val="1"/>
        <w:shd w:val="clear" w:color="auto" w:fill="auto"/>
        <w:spacing w:after="500" w:line="240" w:lineRule="auto"/>
      </w:pPr>
      <w:r>
        <w:t xml:space="preserve">Controlled room temperature and humidity (30 </w:t>
      </w:r>
      <w:r>
        <w:rPr>
          <w:sz w:val="26"/>
          <w:szCs w:val="26"/>
        </w:rPr>
        <w:t>°</w:t>
      </w:r>
      <w:r>
        <w:t xml:space="preserve">C </w:t>
      </w:r>
      <w:r>
        <w:rPr>
          <w:sz w:val="26"/>
          <w:szCs w:val="26"/>
        </w:rPr>
        <w:t xml:space="preserve">± </w:t>
      </w:r>
      <w:r>
        <w:t xml:space="preserve">2 </w:t>
      </w:r>
      <w:r>
        <w:rPr>
          <w:sz w:val="26"/>
          <w:szCs w:val="26"/>
        </w:rPr>
        <w:t>°</w:t>
      </w:r>
      <w:r>
        <w:t xml:space="preserve">C / 65% RH </w:t>
      </w:r>
      <w:r>
        <w:rPr>
          <w:sz w:val="26"/>
          <w:szCs w:val="26"/>
        </w:rPr>
        <w:t xml:space="preserve">± </w:t>
      </w:r>
      <w:r>
        <w:t>5%).</w:t>
      </w:r>
    </w:p>
    <w:p w:rsidR="00A4351D" w:rsidRDefault="00094E8C">
      <w:pPr>
        <w:pStyle w:val="30"/>
        <w:keepNext/>
        <w:keepLines/>
        <w:shd w:val="clear" w:color="auto" w:fill="auto"/>
        <w:jc w:val="both"/>
      </w:pPr>
      <w:bookmarkStart w:id="61" w:name="bookmark60"/>
      <w:bookmarkStart w:id="62" w:name="bookmark61"/>
      <w:r>
        <w:t>Container Closure System:</w:t>
      </w:r>
      <w:bookmarkEnd w:id="61"/>
      <w:bookmarkEnd w:id="62"/>
    </w:p>
    <w:p w:rsidR="00A4351D" w:rsidRDefault="00094E8C">
      <w:pPr>
        <w:pStyle w:val="1"/>
        <w:shd w:val="clear" w:color="auto" w:fill="auto"/>
        <w:spacing w:after="420"/>
        <w:jc w:val="both"/>
      </w:pPr>
      <w:r>
        <w:t xml:space="preserve">The </w:t>
      </w:r>
      <w:r>
        <w:t>primary container close system is ampoules of amber coloured glass with 6.7 ml nominal content. The ampoules are placed in a blister inner package which consists of a thermoformed PVC/aluminium. Each cardboard folding box contains 3 ampoules and the patien</w:t>
      </w:r>
      <w:r>
        <w:t>t information leaflet.</w:t>
      </w:r>
    </w:p>
    <w:p w:rsidR="00A4351D" w:rsidRDefault="00094E8C">
      <w:pPr>
        <w:pStyle w:val="30"/>
        <w:keepNext/>
        <w:keepLines/>
        <w:shd w:val="clear" w:color="auto" w:fill="auto"/>
        <w:spacing w:after="120" w:line="240" w:lineRule="auto"/>
        <w:jc w:val="both"/>
      </w:pPr>
      <w:bookmarkStart w:id="63" w:name="bookmark62"/>
      <w:bookmarkStart w:id="64" w:name="bookmark63"/>
      <w:r>
        <w:t>Accelerated conditions studies (stress conditions)</w:t>
      </w:r>
      <w:bookmarkEnd w:id="63"/>
      <w:bookmarkEnd w:id="64"/>
    </w:p>
    <w:p w:rsidR="00A4351D" w:rsidRDefault="00094E8C">
      <w:pPr>
        <w:pStyle w:val="1"/>
        <w:shd w:val="clear" w:color="auto" w:fill="auto"/>
        <w:spacing w:after="120" w:line="240" w:lineRule="auto"/>
        <w:jc w:val="center"/>
      </w:pPr>
      <w:r>
        <w:rPr>
          <w:i/>
          <w:iCs/>
        </w:rPr>
        <w:t>Table 2.3.P.8.2: Stability batches- Accelerated stability studies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34"/>
        <w:gridCol w:w="2760"/>
        <w:gridCol w:w="3106"/>
      </w:tblGrid>
      <w:tr w:rsidR="00A4351D">
        <w:tblPrEx>
          <w:tblCellMar>
            <w:top w:w="0" w:type="dxa"/>
            <w:bottom w:w="0" w:type="dxa"/>
          </w:tblCellMar>
        </w:tblPrEx>
        <w:trPr>
          <w:trHeight w:hRule="exact" w:val="802"/>
          <w:jc w:val="center"/>
        </w:trPr>
        <w:tc>
          <w:tcPr>
            <w:tcW w:w="1234"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rPr>
                <w:b/>
                <w:bCs/>
              </w:rPr>
              <w:t>Batch number</w:t>
            </w:r>
          </w:p>
        </w:tc>
        <w:tc>
          <w:tcPr>
            <w:tcW w:w="2760"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ind w:firstLine="380"/>
            </w:pPr>
            <w:r>
              <w:rPr>
                <w:b/>
                <w:bCs/>
              </w:rPr>
              <w:t>Manufacturing Date</w:t>
            </w:r>
          </w:p>
        </w:tc>
        <w:tc>
          <w:tcPr>
            <w:tcW w:w="3106" w:type="dxa"/>
            <w:tcBorders>
              <w:top w:val="single" w:sz="4" w:space="0" w:color="auto"/>
              <w:left w:val="single" w:sz="4" w:space="0" w:color="auto"/>
              <w:right w:val="single" w:sz="4" w:space="0" w:color="auto"/>
            </w:tcBorders>
            <w:shd w:val="clear" w:color="auto" w:fill="DFDFDF"/>
            <w:vAlign w:val="center"/>
          </w:tcPr>
          <w:p w:rsidR="00A4351D" w:rsidRDefault="00094E8C">
            <w:pPr>
              <w:pStyle w:val="a7"/>
              <w:shd w:val="clear" w:color="auto" w:fill="auto"/>
              <w:spacing w:line="240" w:lineRule="auto"/>
              <w:ind w:left="1040"/>
              <w:jc w:val="both"/>
            </w:pPr>
            <w:r>
              <w:rPr>
                <w:b/>
                <w:bCs/>
              </w:rPr>
              <w:t>Batch size</w:t>
            </w:r>
          </w:p>
        </w:tc>
      </w:tr>
      <w:tr w:rsidR="00A4351D">
        <w:tblPrEx>
          <w:tblCellMar>
            <w:top w:w="0" w:type="dxa"/>
            <w:bottom w:w="0" w:type="dxa"/>
          </w:tblCellMar>
        </w:tblPrEx>
        <w:trPr>
          <w:trHeight w:hRule="exact" w:val="341"/>
          <w:jc w:val="center"/>
        </w:trPr>
        <w:tc>
          <w:tcPr>
            <w:tcW w:w="1234" w:type="dxa"/>
            <w:tcBorders>
              <w:top w:val="single" w:sz="4" w:space="0" w:color="auto"/>
              <w:left w:val="single" w:sz="4" w:space="0" w:color="auto"/>
            </w:tcBorders>
            <w:shd w:val="clear" w:color="auto" w:fill="DFDFDF"/>
            <w:vAlign w:val="bottom"/>
          </w:tcPr>
          <w:p w:rsidR="00A4351D" w:rsidRDefault="00094E8C">
            <w:pPr>
              <w:pStyle w:val="a7"/>
              <w:shd w:val="clear" w:color="auto" w:fill="auto"/>
              <w:spacing w:line="240" w:lineRule="auto"/>
              <w:jc w:val="center"/>
            </w:pPr>
            <w:r>
              <w:t>05-01D</w:t>
            </w:r>
          </w:p>
        </w:tc>
        <w:tc>
          <w:tcPr>
            <w:tcW w:w="2760"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12/2005</w:t>
            </w:r>
          </w:p>
        </w:tc>
        <w:tc>
          <w:tcPr>
            <w:tcW w:w="3106" w:type="dxa"/>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t>1,000 amp</w:t>
            </w:r>
          </w:p>
        </w:tc>
      </w:tr>
      <w:tr w:rsidR="00A4351D">
        <w:tblPrEx>
          <w:tblCellMar>
            <w:top w:w="0" w:type="dxa"/>
            <w:bottom w:w="0" w:type="dxa"/>
          </w:tblCellMar>
        </w:tblPrEx>
        <w:trPr>
          <w:trHeight w:hRule="exact" w:val="365"/>
          <w:jc w:val="center"/>
        </w:trPr>
        <w:tc>
          <w:tcPr>
            <w:tcW w:w="1234"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jc w:val="center"/>
            </w:pPr>
            <w:r>
              <w:t>06-01 D</w:t>
            </w:r>
          </w:p>
        </w:tc>
        <w:tc>
          <w:tcPr>
            <w:tcW w:w="276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10/2006</w:t>
            </w:r>
          </w:p>
        </w:tc>
        <w:tc>
          <w:tcPr>
            <w:tcW w:w="3106"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1,000 amp</w:t>
            </w:r>
          </w:p>
        </w:tc>
      </w:tr>
      <w:tr w:rsidR="00A4351D">
        <w:tblPrEx>
          <w:tblCellMar>
            <w:top w:w="0" w:type="dxa"/>
            <w:bottom w:w="0" w:type="dxa"/>
          </w:tblCellMar>
        </w:tblPrEx>
        <w:trPr>
          <w:trHeight w:hRule="exact" w:val="346"/>
          <w:jc w:val="center"/>
        </w:trPr>
        <w:tc>
          <w:tcPr>
            <w:tcW w:w="1234" w:type="dxa"/>
            <w:tcBorders>
              <w:top w:val="single" w:sz="4" w:space="0" w:color="auto"/>
              <w:left w:val="single" w:sz="4" w:space="0" w:color="auto"/>
            </w:tcBorders>
            <w:shd w:val="clear" w:color="auto" w:fill="DFDFDF"/>
            <w:vAlign w:val="center"/>
          </w:tcPr>
          <w:p w:rsidR="00A4351D" w:rsidRDefault="00094E8C">
            <w:pPr>
              <w:pStyle w:val="a7"/>
              <w:shd w:val="clear" w:color="auto" w:fill="auto"/>
              <w:spacing w:line="240" w:lineRule="auto"/>
              <w:ind w:firstLine="320"/>
              <w:jc w:val="both"/>
            </w:pPr>
            <w:r>
              <w:t>08-01</w:t>
            </w:r>
          </w:p>
        </w:tc>
        <w:tc>
          <w:tcPr>
            <w:tcW w:w="2760"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jc w:val="center"/>
            </w:pPr>
            <w:r>
              <w:t>02/2008</w:t>
            </w:r>
          </w:p>
        </w:tc>
        <w:tc>
          <w:tcPr>
            <w:tcW w:w="3106" w:type="dxa"/>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t>28,900 amp</w:t>
            </w:r>
          </w:p>
        </w:tc>
      </w:tr>
      <w:tr w:rsidR="00A4351D">
        <w:tblPrEx>
          <w:tblCellMar>
            <w:top w:w="0" w:type="dxa"/>
            <w:bottom w:w="0" w:type="dxa"/>
          </w:tblCellMar>
        </w:tblPrEx>
        <w:trPr>
          <w:trHeight w:hRule="exact" w:val="341"/>
          <w:jc w:val="center"/>
        </w:trPr>
        <w:tc>
          <w:tcPr>
            <w:tcW w:w="1234" w:type="dxa"/>
            <w:tcBorders>
              <w:top w:val="single" w:sz="4" w:space="0" w:color="auto"/>
              <w:left w:val="single" w:sz="4" w:space="0" w:color="auto"/>
            </w:tcBorders>
            <w:shd w:val="clear" w:color="auto" w:fill="DFDFDF"/>
            <w:vAlign w:val="bottom"/>
          </w:tcPr>
          <w:p w:rsidR="00A4351D" w:rsidRDefault="00094E8C">
            <w:pPr>
              <w:pStyle w:val="a7"/>
              <w:shd w:val="clear" w:color="auto" w:fill="auto"/>
              <w:spacing w:line="240" w:lineRule="auto"/>
              <w:ind w:firstLine="320"/>
              <w:jc w:val="both"/>
            </w:pPr>
            <w:r>
              <w:t>09-01</w:t>
            </w:r>
          </w:p>
        </w:tc>
        <w:tc>
          <w:tcPr>
            <w:tcW w:w="2760" w:type="dxa"/>
            <w:tcBorders>
              <w:top w:val="single" w:sz="4" w:space="0" w:color="auto"/>
              <w:left w:val="single" w:sz="4" w:space="0" w:color="auto"/>
            </w:tcBorders>
            <w:shd w:val="clear" w:color="auto" w:fill="FFFFFF"/>
            <w:vAlign w:val="bottom"/>
          </w:tcPr>
          <w:p w:rsidR="00A4351D" w:rsidRDefault="00094E8C">
            <w:pPr>
              <w:pStyle w:val="a7"/>
              <w:shd w:val="clear" w:color="auto" w:fill="auto"/>
              <w:spacing w:line="240" w:lineRule="auto"/>
              <w:jc w:val="center"/>
            </w:pPr>
            <w:r>
              <w:t>05/2009</w:t>
            </w:r>
          </w:p>
        </w:tc>
        <w:tc>
          <w:tcPr>
            <w:tcW w:w="3106" w:type="dxa"/>
            <w:tcBorders>
              <w:top w:val="single" w:sz="4" w:space="0" w:color="auto"/>
              <w:left w:val="single" w:sz="4" w:space="0" w:color="auto"/>
              <w:right w:val="single" w:sz="4" w:space="0" w:color="auto"/>
            </w:tcBorders>
            <w:shd w:val="clear" w:color="auto" w:fill="FFFFFF"/>
            <w:vAlign w:val="bottom"/>
          </w:tcPr>
          <w:p w:rsidR="00A4351D" w:rsidRDefault="00094E8C">
            <w:pPr>
              <w:pStyle w:val="a7"/>
              <w:shd w:val="clear" w:color="auto" w:fill="auto"/>
              <w:spacing w:line="240" w:lineRule="auto"/>
              <w:jc w:val="center"/>
            </w:pPr>
            <w:r>
              <w:t>28,900 amp</w:t>
            </w:r>
          </w:p>
        </w:tc>
      </w:tr>
      <w:tr w:rsidR="00A4351D">
        <w:tblPrEx>
          <w:tblCellMar>
            <w:top w:w="0" w:type="dxa"/>
            <w:bottom w:w="0" w:type="dxa"/>
          </w:tblCellMar>
        </w:tblPrEx>
        <w:trPr>
          <w:trHeight w:hRule="exact" w:val="355"/>
          <w:jc w:val="center"/>
        </w:trPr>
        <w:tc>
          <w:tcPr>
            <w:tcW w:w="1234" w:type="dxa"/>
            <w:tcBorders>
              <w:top w:val="single" w:sz="4" w:space="0" w:color="auto"/>
              <w:left w:val="single" w:sz="4" w:space="0" w:color="auto"/>
              <w:bottom w:val="single" w:sz="4" w:space="0" w:color="auto"/>
            </w:tcBorders>
            <w:shd w:val="clear" w:color="auto" w:fill="DFDFDF"/>
            <w:vAlign w:val="center"/>
          </w:tcPr>
          <w:p w:rsidR="00A4351D" w:rsidRDefault="00094E8C">
            <w:pPr>
              <w:pStyle w:val="a7"/>
              <w:shd w:val="clear" w:color="auto" w:fill="auto"/>
              <w:spacing w:line="240" w:lineRule="auto"/>
              <w:ind w:firstLine="320"/>
              <w:jc w:val="both"/>
            </w:pPr>
            <w:r>
              <w:t>10-01</w:t>
            </w:r>
          </w:p>
        </w:tc>
        <w:tc>
          <w:tcPr>
            <w:tcW w:w="2760"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jc w:val="center"/>
            </w:pPr>
            <w:r>
              <w:t>02/2010</w:t>
            </w:r>
          </w:p>
        </w:tc>
        <w:tc>
          <w:tcPr>
            <w:tcW w:w="3106" w:type="dxa"/>
            <w:tcBorders>
              <w:top w:val="single" w:sz="4" w:space="0" w:color="auto"/>
              <w:left w:val="single" w:sz="4" w:space="0" w:color="auto"/>
              <w:bottom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jc w:val="center"/>
            </w:pPr>
            <w:r>
              <w:t>28,900 amp</w:t>
            </w:r>
          </w:p>
        </w:tc>
      </w:tr>
    </w:tbl>
    <w:p w:rsidR="00A4351D" w:rsidRDefault="00A4351D">
      <w:pPr>
        <w:spacing w:after="419" w:line="1" w:lineRule="exact"/>
      </w:pPr>
    </w:p>
    <w:p w:rsidR="00A4351D" w:rsidRDefault="00094E8C">
      <w:pPr>
        <w:pStyle w:val="30"/>
        <w:keepNext/>
        <w:keepLines/>
        <w:shd w:val="clear" w:color="auto" w:fill="auto"/>
      </w:pPr>
      <w:bookmarkStart w:id="65" w:name="bookmark64"/>
      <w:bookmarkStart w:id="66" w:name="bookmark65"/>
      <w:r>
        <w:t>Storage conditions:</w:t>
      </w:r>
      <w:bookmarkEnd w:id="65"/>
      <w:bookmarkEnd w:id="66"/>
    </w:p>
    <w:p w:rsidR="00A4351D" w:rsidRDefault="00094E8C">
      <w:pPr>
        <w:pStyle w:val="1"/>
        <w:shd w:val="clear" w:color="auto" w:fill="auto"/>
        <w:spacing w:line="338" w:lineRule="auto"/>
      </w:pPr>
      <w:r>
        <w:t xml:space="preserve">Controlled room temperature and humidity (40 </w:t>
      </w:r>
      <w:r>
        <w:rPr>
          <w:sz w:val="26"/>
          <w:szCs w:val="26"/>
        </w:rPr>
        <w:t>°</w:t>
      </w:r>
      <w:r>
        <w:t xml:space="preserve">C </w:t>
      </w:r>
      <w:r>
        <w:rPr>
          <w:sz w:val="26"/>
          <w:szCs w:val="26"/>
        </w:rPr>
        <w:t xml:space="preserve">± </w:t>
      </w:r>
      <w:r>
        <w:t xml:space="preserve">2 </w:t>
      </w:r>
      <w:r>
        <w:rPr>
          <w:sz w:val="26"/>
          <w:szCs w:val="26"/>
        </w:rPr>
        <w:t>°</w:t>
      </w:r>
      <w:r>
        <w:t xml:space="preserve">C / 75% RH </w:t>
      </w:r>
      <w:r>
        <w:rPr>
          <w:sz w:val="26"/>
          <w:szCs w:val="26"/>
        </w:rPr>
        <w:t xml:space="preserve">± </w:t>
      </w:r>
      <w:r>
        <w:t>5%).</w:t>
      </w:r>
    </w:p>
    <w:p w:rsidR="00A4351D" w:rsidRDefault="00094E8C">
      <w:pPr>
        <w:pStyle w:val="30"/>
        <w:keepNext/>
        <w:keepLines/>
        <w:shd w:val="clear" w:color="auto" w:fill="auto"/>
      </w:pPr>
      <w:bookmarkStart w:id="67" w:name="bookmark66"/>
      <w:bookmarkStart w:id="68" w:name="bookmark67"/>
      <w:r>
        <w:t>Container Closure System:</w:t>
      </w:r>
      <w:bookmarkEnd w:id="67"/>
      <w:bookmarkEnd w:id="68"/>
    </w:p>
    <w:p w:rsidR="00A4351D" w:rsidRDefault="00094E8C">
      <w:pPr>
        <w:pStyle w:val="1"/>
        <w:shd w:val="clear" w:color="auto" w:fill="auto"/>
        <w:sectPr w:rsidR="00A4351D">
          <w:pgSz w:w="11900" w:h="16840"/>
          <w:pgMar w:top="1959" w:right="1231" w:bottom="2079" w:left="1611" w:header="0" w:footer="3" w:gutter="0"/>
          <w:cols w:space="720"/>
          <w:noEndnote/>
          <w:docGrid w:linePitch="360"/>
        </w:sectPr>
      </w:pPr>
      <w:r>
        <w:t xml:space="preserve">The primary container close system is ampoules of amber coloured glass with 6.7 ml nominal content. The ampoules are placed in a blister inner package which consists of a </w:t>
      </w:r>
      <w:r>
        <w:rPr>
          <w:lang w:val="fr-FR" w:eastAsia="fr-FR" w:bidi="fr-FR"/>
        </w:rPr>
        <w:t xml:space="preserve">thermoformed </w:t>
      </w:r>
      <w:r>
        <w:rPr>
          <w:lang w:val="fr-FR" w:eastAsia="fr-FR" w:bidi="fr-FR"/>
        </w:rPr>
        <w:lastRenderedPageBreak/>
        <w:t>PVC/aluminium. Each cardboard folding box contains 3 ampoules and the pa</w:t>
      </w:r>
      <w:r>
        <w:rPr>
          <w:lang w:val="fr-FR" w:eastAsia="fr-FR" w:bidi="fr-FR"/>
        </w:rPr>
        <w:t>tient information leaflet.</w:t>
      </w:r>
    </w:p>
    <w:p w:rsidR="00A4351D" w:rsidRDefault="00094E8C">
      <w:pPr>
        <w:pStyle w:val="1"/>
        <w:numPr>
          <w:ilvl w:val="0"/>
          <w:numId w:val="42"/>
        </w:numPr>
        <w:shd w:val="clear" w:color="auto" w:fill="auto"/>
        <w:spacing w:after="600" w:line="240" w:lineRule="auto"/>
        <w:rPr>
          <w:sz w:val="26"/>
          <w:szCs w:val="26"/>
        </w:rPr>
      </w:pPr>
      <w:r>
        <w:rPr>
          <w:b/>
          <w:bCs/>
          <w:i/>
          <w:iCs/>
          <w:sz w:val="26"/>
          <w:szCs w:val="26"/>
          <w:lang w:val="fr-FR" w:eastAsia="fr-FR" w:bidi="fr-FR"/>
        </w:rPr>
        <w:lastRenderedPageBreak/>
        <w:t>P.8.2 Post-Approval Stability Protocol and Stability Commitment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158"/>
        <w:gridCol w:w="792"/>
        <w:gridCol w:w="797"/>
        <w:gridCol w:w="792"/>
        <w:gridCol w:w="792"/>
        <w:gridCol w:w="797"/>
        <w:gridCol w:w="792"/>
        <w:gridCol w:w="845"/>
      </w:tblGrid>
      <w:tr w:rsidR="00A4351D">
        <w:tblPrEx>
          <w:tblCellMar>
            <w:top w:w="0" w:type="dxa"/>
            <w:bottom w:w="0" w:type="dxa"/>
          </w:tblCellMar>
        </w:tblPrEx>
        <w:trPr>
          <w:trHeight w:hRule="exact" w:val="581"/>
          <w:jc w:val="center"/>
        </w:trPr>
        <w:tc>
          <w:tcPr>
            <w:tcW w:w="3158" w:type="dxa"/>
            <w:vMerge w:val="restart"/>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lang w:val="fr-FR" w:eastAsia="fr-FR" w:bidi="fr-FR"/>
              </w:rPr>
              <w:t>CONDITION</w:t>
            </w:r>
          </w:p>
        </w:tc>
        <w:tc>
          <w:tcPr>
            <w:tcW w:w="5607" w:type="dxa"/>
            <w:gridSpan w:val="7"/>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rPr>
                <w:b/>
                <w:bCs/>
              </w:rPr>
              <w:t>TESTING INTERVALS (in months)</w:t>
            </w:r>
          </w:p>
        </w:tc>
      </w:tr>
      <w:tr w:rsidR="00A4351D">
        <w:tblPrEx>
          <w:tblCellMar>
            <w:top w:w="0" w:type="dxa"/>
            <w:bottom w:w="0" w:type="dxa"/>
          </w:tblCellMar>
        </w:tblPrEx>
        <w:trPr>
          <w:trHeight w:hRule="exact" w:val="576"/>
          <w:jc w:val="center"/>
        </w:trPr>
        <w:tc>
          <w:tcPr>
            <w:tcW w:w="3158" w:type="dxa"/>
            <w:vMerge/>
            <w:tcBorders>
              <w:left w:val="single" w:sz="4" w:space="0" w:color="auto"/>
            </w:tcBorders>
            <w:shd w:val="clear" w:color="auto" w:fill="FFFFFF"/>
            <w:vAlign w:val="center"/>
          </w:tcPr>
          <w:p w:rsidR="00A4351D" w:rsidRDefault="00A4351D"/>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3</w:t>
            </w:r>
          </w:p>
        </w:tc>
        <w:tc>
          <w:tcPr>
            <w:tcW w:w="79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6</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9</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12</w:t>
            </w:r>
          </w:p>
        </w:tc>
        <w:tc>
          <w:tcPr>
            <w:tcW w:w="79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18</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24</w:t>
            </w:r>
          </w:p>
        </w:tc>
        <w:tc>
          <w:tcPr>
            <w:tcW w:w="845"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rPr>
                <w:b/>
                <w:bCs/>
              </w:rPr>
              <w:t>36</w:t>
            </w:r>
          </w:p>
        </w:tc>
      </w:tr>
      <w:tr w:rsidR="00A4351D">
        <w:tblPrEx>
          <w:tblCellMar>
            <w:top w:w="0" w:type="dxa"/>
            <w:bottom w:w="0" w:type="dxa"/>
          </w:tblCellMar>
        </w:tblPrEx>
        <w:trPr>
          <w:trHeight w:hRule="exact" w:val="874"/>
          <w:jc w:val="center"/>
        </w:trPr>
        <w:tc>
          <w:tcPr>
            <w:tcW w:w="3158"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after="140" w:line="240" w:lineRule="auto"/>
            </w:pPr>
            <w:r>
              <w:rPr>
                <w:b/>
                <w:bCs/>
                <w:lang w:val="fr-FR" w:eastAsia="fr-FR" w:bidi="fr-FR"/>
              </w:rPr>
              <w:t>Long-term</w:t>
            </w:r>
          </w:p>
          <w:p w:rsidR="00A4351D" w:rsidRDefault="00094E8C">
            <w:pPr>
              <w:pStyle w:val="a7"/>
              <w:shd w:val="clear" w:color="auto" w:fill="auto"/>
              <w:spacing w:line="240" w:lineRule="auto"/>
            </w:pPr>
            <w:r>
              <w:rPr>
                <w:b/>
                <w:bCs/>
                <w:lang w:val="fr-FR" w:eastAsia="fr-FR" w:bidi="fr-FR"/>
              </w:rPr>
              <w:t>25</w:t>
            </w:r>
            <w:r>
              <w:rPr>
                <w:b/>
                <w:bCs/>
                <w:sz w:val="26"/>
                <w:szCs w:val="26"/>
                <w:vertAlign w:val="superscript"/>
                <w:lang w:val="fr-FR" w:eastAsia="fr-FR" w:bidi="fr-FR"/>
              </w:rPr>
              <w:t>O</w:t>
            </w:r>
            <w:r>
              <w:rPr>
                <w:b/>
                <w:bCs/>
                <w:lang w:val="fr-FR" w:eastAsia="fr-FR" w:bidi="fr-FR"/>
              </w:rPr>
              <w:t>C</w:t>
            </w:r>
            <w:r>
              <w:rPr>
                <w:b/>
                <w:bCs/>
                <w:sz w:val="11"/>
                <w:szCs w:val="11"/>
                <w:lang w:val="fr-FR" w:eastAsia="fr-FR" w:bidi="fr-FR"/>
              </w:rPr>
              <w:t xml:space="preserve">± </w:t>
            </w:r>
            <w:r>
              <w:rPr>
                <w:b/>
                <w:bCs/>
                <w:lang w:val="fr-FR" w:eastAsia="fr-FR" w:bidi="fr-FR"/>
              </w:rPr>
              <w:t>2</w:t>
            </w:r>
            <w:r>
              <w:rPr>
                <w:b/>
                <w:bCs/>
                <w:sz w:val="26"/>
                <w:szCs w:val="26"/>
                <w:vertAlign w:val="superscript"/>
                <w:lang w:val="fr-FR" w:eastAsia="fr-FR" w:bidi="fr-FR"/>
              </w:rPr>
              <w:t>O</w:t>
            </w:r>
            <w:r>
              <w:rPr>
                <w:b/>
                <w:bCs/>
                <w:lang w:val="fr-FR" w:eastAsia="fr-FR" w:bidi="fr-FR"/>
              </w:rPr>
              <w:t xml:space="preserve">C/ 60% RH </w:t>
            </w:r>
            <w:r>
              <w:rPr>
                <w:b/>
                <w:bCs/>
                <w:sz w:val="11"/>
                <w:szCs w:val="11"/>
                <w:lang w:val="fr-FR" w:eastAsia="fr-FR" w:bidi="fr-FR"/>
              </w:rPr>
              <w:t xml:space="preserve">± </w:t>
            </w:r>
            <w:r>
              <w:rPr>
                <w:b/>
                <w:bCs/>
                <w:lang w:val="fr-FR" w:eastAsia="fr-FR" w:bidi="fr-FR"/>
              </w:rPr>
              <w:t>5%</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845"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r>
      <w:tr w:rsidR="00A4351D">
        <w:tblPrEx>
          <w:tblCellMar>
            <w:top w:w="0" w:type="dxa"/>
            <w:bottom w:w="0" w:type="dxa"/>
          </w:tblCellMar>
        </w:tblPrEx>
        <w:trPr>
          <w:trHeight w:hRule="exact" w:val="874"/>
          <w:jc w:val="center"/>
        </w:trPr>
        <w:tc>
          <w:tcPr>
            <w:tcW w:w="3158" w:type="dxa"/>
            <w:tcBorders>
              <w:top w:val="single" w:sz="4" w:space="0" w:color="auto"/>
              <w:left w:val="single" w:sz="4" w:space="0" w:color="auto"/>
            </w:tcBorders>
            <w:shd w:val="clear" w:color="auto" w:fill="FFFFFF"/>
          </w:tcPr>
          <w:p w:rsidR="00A4351D" w:rsidRDefault="00094E8C">
            <w:pPr>
              <w:pStyle w:val="a7"/>
              <w:shd w:val="clear" w:color="auto" w:fill="auto"/>
              <w:spacing w:after="140" w:line="240" w:lineRule="auto"/>
            </w:pPr>
            <w:r>
              <w:rPr>
                <w:b/>
                <w:bCs/>
                <w:lang w:val="fr-FR" w:eastAsia="fr-FR" w:bidi="fr-FR"/>
              </w:rPr>
              <w:t>Intermediate</w:t>
            </w:r>
          </w:p>
          <w:p w:rsidR="00A4351D" w:rsidRDefault="00094E8C">
            <w:pPr>
              <w:pStyle w:val="a7"/>
              <w:shd w:val="clear" w:color="auto" w:fill="auto"/>
              <w:spacing w:line="240" w:lineRule="auto"/>
            </w:pPr>
            <w:r>
              <w:rPr>
                <w:b/>
                <w:bCs/>
                <w:lang w:val="fr-FR" w:eastAsia="fr-FR" w:bidi="fr-FR"/>
              </w:rPr>
              <w:t>30</w:t>
            </w:r>
            <w:r>
              <w:rPr>
                <w:b/>
                <w:bCs/>
                <w:sz w:val="11"/>
                <w:szCs w:val="11"/>
                <w:lang w:val="fr-FR" w:eastAsia="fr-FR" w:bidi="fr-FR"/>
              </w:rPr>
              <w:t>O</w:t>
            </w:r>
            <w:r>
              <w:rPr>
                <w:b/>
                <w:bCs/>
                <w:lang w:val="fr-FR" w:eastAsia="fr-FR" w:bidi="fr-FR"/>
              </w:rPr>
              <w:t>C</w:t>
            </w:r>
            <w:r>
              <w:rPr>
                <w:b/>
                <w:bCs/>
                <w:sz w:val="11"/>
                <w:szCs w:val="11"/>
                <w:lang w:val="fr-FR" w:eastAsia="fr-FR" w:bidi="fr-FR"/>
              </w:rPr>
              <w:t xml:space="preserve">± </w:t>
            </w:r>
            <w:r>
              <w:rPr>
                <w:b/>
                <w:bCs/>
                <w:lang w:val="fr-FR" w:eastAsia="fr-FR" w:bidi="fr-FR"/>
              </w:rPr>
              <w:t>2</w:t>
            </w:r>
            <w:r>
              <w:rPr>
                <w:b/>
                <w:bCs/>
                <w:sz w:val="11"/>
                <w:szCs w:val="11"/>
                <w:lang w:val="fr-FR" w:eastAsia="fr-FR" w:bidi="fr-FR"/>
              </w:rPr>
              <w:t>O</w:t>
            </w:r>
            <w:r>
              <w:rPr>
                <w:b/>
                <w:bCs/>
                <w:lang w:val="fr-FR" w:eastAsia="fr-FR" w:bidi="fr-FR"/>
              </w:rPr>
              <w:t xml:space="preserve">C/ 65% RH </w:t>
            </w:r>
            <w:r>
              <w:rPr>
                <w:b/>
                <w:bCs/>
                <w:sz w:val="11"/>
                <w:szCs w:val="11"/>
                <w:lang w:val="fr-FR" w:eastAsia="fr-FR" w:bidi="fr-FR"/>
              </w:rPr>
              <w:t xml:space="preserve">± </w:t>
            </w:r>
            <w:r>
              <w:rPr>
                <w:b/>
                <w:bCs/>
                <w:lang w:val="fr-FR" w:eastAsia="fr-FR" w:bidi="fr-FR"/>
              </w:rPr>
              <w:t>5%</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7"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2" w:type="dxa"/>
            <w:tcBorders>
              <w:top w:val="single" w:sz="4" w:space="0" w:color="auto"/>
              <w:lef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845" w:type="dxa"/>
            <w:tcBorders>
              <w:top w:val="single" w:sz="4" w:space="0" w:color="auto"/>
              <w:left w:val="single" w:sz="4" w:space="0" w:color="auto"/>
              <w:right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r>
      <w:tr w:rsidR="00A4351D">
        <w:tblPrEx>
          <w:tblCellMar>
            <w:top w:w="0" w:type="dxa"/>
            <w:bottom w:w="0" w:type="dxa"/>
          </w:tblCellMar>
        </w:tblPrEx>
        <w:trPr>
          <w:trHeight w:hRule="exact" w:val="883"/>
          <w:jc w:val="center"/>
        </w:trPr>
        <w:tc>
          <w:tcPr>
            <w:tcW w:w="3158"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after="140" w:line="240" w:lineRule="auto"/>
            </w:pPr>
            <w:r>
              <w:rPr>
                <w:b/>
                <w:bCs/>
                <w:lang w:val="fr-FR" w:eastAsia="fr-FR" w:bidi="fr-FR"/>
              </w:rPr>
              <w:t>Accelerated</w:t>
            </w:r>
          </w:p>
          <w:p w:rsidR="00A4351D" w:rsidRDefault="00094E8C">
            <w:pPr>
              <w:pStyle w:val="a7"/>
              <w:shd w:val="clear" w:color="auto" w:fill="auto"/>
              <w:spacing w:line="240" w:lineRule="auto"/>
            </w:pPr>
            <w:r>
              <w:rPr>
                <w:b/>
                <w:bCs/>
                <w:lang w:val="fr-FR" w:eastAsia="fr-FR" w:bidi="fr-FR"/>
              </w:rPr>
              <w:t>40</w:t>
            </w:r>
            <w:r>
              <w:rPr>
                <w:b/>
                <w:bCs/>
                <w:sz w:val="11"/>
                <w:szCs w:val="11"/>
                <w:lang w:val="fr-FR" w:eastAsia="fr-FR" w:bidi="fr-FR"/>
              </w:rPr>
              <w:t>O</w:t>
            </w:r>
            <w:r>
              <w:rPr>
                <w:b/>
                <w:bCs/>
                <w:lang w:val="fr-FR" w:eastAsia="fr-FR" w:bidi="fr-FR"/>
              </w:rPr>
              <w:t>C</w:t>
            </w:r>
            <w:r>
              <w:rPr>
                <w:b/>
                <w:bCs/>
                <w:sz w:val="11"/>
                <w:szCs w:val="11"/>
                <w:lang w:val="fr-FR" w:eastAsia="fr-FR" w:bidi="fr-FR"/>
              </w:rPr>
              <w:t xml:space="preserve">± </w:t>
            </w:r>
            <w:r>
              <w:rPr>
                <w:b/>
                <w:bCs/>
                <w:lang w:val="fr-FR" w:eastAsia="fr-FR" w:bidi="fr-FR"/>
              </w:rPr>
              <w:t>2</w:t>
            </w:r>
            <w:r>
              <w:rPr>
                <w:b/>
                <w:bCs/>
                <w:sz w:val="11"/>
                <w:szCs w:val="11"/>
                <w:lang w:val="fr-FR" w:eastAsia="fr-FR" w:bidi="fr-FR"/>
              </w:rPr>
              <w:t>O</w:t>
            </w:r>
            <w:r>
              <w:rPr>
                <w:b/>
                <w:bCs/>
                <w:lang w:val="fr-FR" w:eastAsia="fr-FR" w:bidi="fr-FR"/>
              </w:rPr>
              <w:t xml:space="preserve">C/ 75% RH </w:t>
            </w:r>
            <w:r>
              <w:rPr>
                <w:b/>
                <w:bCs/>
                <w:sz w:val="11"/>
                <w:szCs w:val="11"/>
                <w:lang w:val="fr-FR" w:eastAsia="fr-FR" w:bidi="fr-FR"/>
              </w:rPr>
              <w:t xml:space="preserve">± </w:t>
            </w:r>
            <w:r>
              <w:rPr>
                <w:b/>
                <w:bCs/>
                <w:lang w:val="fr-FR" w:eastAsia="fr-FR" w:bidi="fr-FR"/>
              </w:rPr>
              <w:t>5%</w:t>
            </w:r>
          </w:p>
        </w:tc>
        <w:tc>
          <w:tcPr>
            <w:tcW w:w="792"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7" w:type="dxa"/>
            <w:tcBorders>
              <w:top w:val="single" w:sz="4" w:space="0" w:color="auto"/>
              <w:left w:val="single" w:sz="4" w:space="0" w:color="auto"/>
              <w:bottom w:val="single" w:sz="4" w:space="0" w:color="auto"/>
            </w:tcBorders>
            <w:shd w:val="clear" w:color="auto" w:fill="FFFFFF"/>
            <w:vAlign w:val="center"/>
          </w:tcPr>
          <w:p w:rsidR="00A4351D" w:rsidRDefault="00094E8C">
            <w:pPr>
              <w:pStyle w:val="a7"/>
              <w:shd w:val="clear" w:color="auto" w:fill="auto"/>
              <w:spacing w:line="240" w:lineRule="auto"/>
            </w:pPr>
            <w:r>
              <w:rPr>
                <w:b/>
                <w:bCs/>
              </w:rPr>
              <w:t>X</w:t>
            </w:r>
          </w:p>
        </w:tc>
        <w:tc>
          <w:tcPr>
            <w:tcW w:w="792" w:type="dxa"/>
            <w:tcBorders>
              <w:top w:val="single" w:sz="4" w:space="0" w:color="auto"/>
              <w:left w:val="single" w:sz="4" w:space="0" w:color="auto"/>
              <w:bottom w:val="single" w:sz="4" w:space="0" w:color="auto"/>
            </w:tcBorders>
            <w:shd w:val="clear" w:color="auto" w:fill="DFDFDF"/>
          </w:tcPr>
          <w:p w:rsidR="00A4351D" w:rsidRDefault="00A4351D">
            <w:pPr>
              <w:rPr>
                <w:sz w:val="10"/>
                <w:szCs w:val="10"/>
              </w:rPr>
            </w:pPr>
          </w:p>
        </w:tc>
        <w:tc>
          <w:tcPr>
            <w:tcW w:w="792" w:type="dxa"/>
            <w:tcBorders>
              <w:top w:val="single" w:sz="4" w:space="0" w:color="auto"/>
              <w:left w:val="single" w:sz="4" w:space="0" w:color="auto"/>
              <w:bottom w:val="single" w:sz="4" w:space="0" w:color="auto"/>
            </w:tcBorders>
            <w:shd w:val="clear" w:color="auto" w:fill="DFDFDF"/>
          </w:tcPr>
          <w:p w:rsidR="00A4351D" w:rsidRDefault="00A4351D">
            <w:pPr>
              <w:rPr>
                <w:sz w:val="10"/>
                <w:szCs w:val="10"/>
              </w:rPr>
            </w:pPr>
          </w:p>
        </w:tc>
        <w:tc>
          <w:tcPr>
            <w:tcW w:w="797" w:type="dxa"/>
            <w:tcBorders>
              <w:top w:val="single" w:sz="4" w:space="0" w:color="auto"/>
              <w:left w:val="single" w:sz="4" w:space="0" w:color="auto"/>
              <w:bottom w:val="single" w:sz="4" w:space="0" w:color="auto"/>
            </w:tcBorders>
            <w:shd w:val="clear" w:color="auto" w:fill="DFDFDF"/>
          </w:tcPr>
          <w:p w:rsidR="00A4351D" w:rsidRDefault="00A4351D">
            <w:pPr>
              <w:rPr>
                <w:sz w:val="10"/>
                <w:szCs w:val="10"/>
              </w:rPr>
            </w:pPr>
          </w:p>
        </w:tc>
        <w:tc>
          <w:tcPr>
            <w:tcW w:w="792" w:type="dxa"/>
            <w:tcBorders>
              <w:top w:val="single" w:sz="4" w:space="0" w:color="auto"/>
              <w:left w:val="single" w:sz="4" w:space="0" w:color="auto"/>
              <w:bottom w:val="single" w:sz="4" w:space="0" w:color="auto"/>
            </w:tcBorders>
            <w:shd w:val="clear" w:color="auto" w:fill="DFDFDF"/>
          </w:tcPr>
          <w:p w:rsidR="00A4351D" w:rsidRDefault="00A4351D">
            <w:pPr>
              <w:rPr>
                <w:sz w:val="10"/>
                <w:szCs w:val="10"/>
              </w:rPr>
            </w:pPr>
          </w:p>
        </w:tc>
        <w:tc>
          <w:tcPr>
            <w:tcW w:w="845" w:type="dxa"/>
            <w:tcBorders>
              <w:top w:val="single" w:sz="4" w:space="0" w:color="auto"/>
              <w:left w:val="single" w:sz="4" w:space="0" w:color="auto"/>
              <w:bottom w:val="single" w:sz="4" w:space="0" w:color="auto"/>
              <w:right w:val="single" w:sz="4" w:space="0" w:color="auto"/>
            </w:tcBorders>
            <w:shd w:val="clear" w:color="auto" w:fill="DFDFDF"/>
          </w:tcPr>
          <w:p w:rsidR="00A4351D" w:rsidRDefault="00A4351D">
            <w:pPr>
              <w:rPr>
                <w:sz w:val="10"/>
                <w:szCs w:val="10"/>
              </w:rPr>
            </w:pPr>
          </w:p>
        </w:tc>
      </w:tr>
    </w:tbl>
    <w:p w:rsidR="00A4351D" w:rsidRDefault="00A4351D">
      <w:pPr>
        <w:sectPr w:rsidR="00A4351D">
          <w:pgSz w:w="11900" w:h="16840"/>
          <w:pgMar w:top="2377" w:right="1566" w:bottom="2377" w:left="1570" w:header="0" w:footer="3" w:gutter="0"/>
          <w:cols w:space="720"/>
          <w:noEndnote/>
          <w:docGrid w:linePitch="360"/>
        </w:sectPr>
      </w:pPr>
    </w:p>
    <w:p w:rsidR="00A4351D" w:rsidRDefault="00094E8C">
      <w:pPr>
        <w:pStyle w:val="1"/>
        <w:numPr>
          <w:ilvl w:val="0"/>
          <w:numId w:val="43"/>
        </w:numPr>
        <w:shd w:val="clear" w:color="auto" w:fill="auto"/>
        <w:spacing w:after="140" w:line="240" w:lineRule="auto"/>
        <w:rPr>
          <w:sz w:val="26"/>
          <w:szCs w:val="26"/>
        </w:rPr>
      </w:pPr>
      <w:r>
        <w:rPr>
          <w:b/>
          <w:bCs/>
          <w:i/>
          <w:iCs/>
          <w:sz w:val="26"/>
          <w:szCs w:val="26"/>
        </w:rPr>
        <w:lastRenderedPageBreak/>
        <w:t>P.8.3 Stability Data</w:t>
      </w:r>
    </w:p>
    <w:p w:rsidR="00A4351D" w:rsidRDefault="00094E8C">
      <w:pPr>
        <w:pStyle w:val="1"/>
        <w:shd w:val="clear" w:color="auto" w:fill="auto"/>
        <w:spacing w:after="580" w:line="240" w:lineRule="auto"/>
        <w:rPr>
          <w:sz w:val="26"/>
          <w:szCs w:val="26"/>
        </w:rPr>
      </w:pPr>
      <w:r>
        <w:rPr>
          <w:sz w:val="26"/>
          <w:szCs w:val="26"/>
        </w:rPr>
        <w:t>For the stability data please refer to the tables presented in section 3.2.P.8.3.</w:t>
      </w:r>
    </w:p>
    <w:p w:rsidR="00A4351D" w:rsidRDefault="00094E8C">
      <w:pPr>
        <w:pStyle w:val="30"/>
        <w:keepNext/>
        <w:keepLines/>
        <w:shd w:val="clear" w:color="auto" w:fill="auto"/>
        <w:spacing w:line="372" w:lineRule="auto"/>
      </w:pPr>
      <w:bookmarkStart w:id="69" w:name="bookmark68"/>
      <w:bookmarkStart w:id="70" w:name="bookmark69"/>
      <w:r>
        <w:rPr>
          <w:lang w:val="fr-FR" w:eastAsia="fr-FR" w:bidi="fr-FR"/>
        </w:rPr>
        <w:t>Conclusion</w:t>
      </w:r>
      <w:bookmarkEnd w:id="69"/>
      <w:bookmarkEnd w:id="70"/>
    </w:p>
    <w:p w:rsidR="00A4351D" w:rsidRDefault="00094E8C">
      <w:pPr>
        <w:pStyle w:val="1"/>
        <w:shd w:val="clear" w:color="auto" w:fill="auto"/>
        <w:spacing w:line="372" w:lineRule="auto"/>
      </w:pPr>
      <w:r>
        <w:rPr>
          <w:lang w:val="fr-FR" w:eastAsia="fr-FR" w:bidi="fr-FR"/>
        </w:rPr>
        <w:t xml:space="preserve">The up to date stability results (Long-term stability and Accelerated stability), during the shelf life of the product, show that </w:t>
      </w:r>
      <w:r>
        <w:rPr>
          <w:b/>
          <w:bCs/>
          <w:lang w:val="fr-FR" w:eastAsia="fr-FR" w:bidi="fr-FR"/>
        </w:rPr>
        <w:t xml:space="preserve">Paracetamol/Uni-Pharma </w:t>
      </w:r>
      <w:r>
        <w:rPr>
          <w:b/>
          <w:bCs/>
          <w:i/>
          <w:iCs/>
          <w:lang w:val="fr-FR" w:eastAsia="fr-FR" w:bidi="fr-FR"/>
        </w:rPr>
        <w:t>Sol. iv. inf. 1g/6.7 ml Amp</w:t>
      </w:r>
      <w:r>
        <w:rPr>
          <w:lang w:val="fr-FR" w:eastAsia="fr-FR" w:bidi="fr-FR"/>
        </w:rPr>
        <w:t xml:space="preserve"> fully complies with the defined specifications in all parameters considered</w:t>
      </w:r>
      <w:r>
        <w:rPr>
          <w:lang w:val="fr-FR" w:eastAsia="fr-FR" w:bidi="fr-FR"/>
        </w:rPr>
        <w:t>.</w:t>
      </w:r>
    </w:p>
    <w:p w:rsidR="00A4351D" w:rsidRDefault="00094E8C">
      <w:pPr>
        <w:pStyle w:val="1"/>
        <w:shd w:val="clear" w:color="auto" w:fill="auto"/>
        <w:spacing w:line="372" w:lineRule="auto"/>
      </w:pPr>
      <w:r>
        <w:rPr>
          <w:lang w:val="fr-FR" w:eastAsia="fr-FR" w:bidi="fr-FR"/>
        </w:rPr>
        <w:t>Finished product stability studies have been conducted in accordance with current guidelines.</w:t>
      </w:r>
    </w:p>
    <w:p w:rsidR="00A4351D" w:rsidRDefault="00094E8C">
      <w:pPr>
        <w:pStyle w:val="1"/>
        <w:shd w:val="clear" w:color="auto" w:fill="auto"/>
        <w:spacing w:after="580" w:line="372" w:lineRule="auto"/>
      </w:pPr>
      <w:r>
        <w:rPr>
          <w:lang w:val="fr-FR" w:eastAsia="fr-FR" w:bidi="fr-FR"/>
        </w:rPr>
        <w:t>Based on the results, a shelf-life of 36 months has been set, which is satisfactory. Storage conditions are “Do not store above 25 degrees” or “Do not store abo</w:t>
      </w:r>
      <w:r>
        <w:rPr>
          <w:lang w:val="fr-FR" w:eastAsia="fr-FR" w:bidi="fr-FR"/>
        </w:rPr>
        <w:t>ve 30 degrees”.</w:t>
      </w:r>
    </w:p>
    <w:p w:rsidR="00A4351D" w:rsidRDefault="00094E8C">
      <w:pPr>
        <w:pStyle w:val="30"/>
        <w:keepNext/>
        <w:keepLines/>
        <w:shd w:val="clear" w:color="auto" w:fill="auto"/>
        <w:spacing w:after="140" w:line="240" w:lineRule="auto"/>
      </w:pPr>
      <w:bookmarkStart w:id="71" w:name="bookmark70"/>
      <w:bookmarkStart w:id="72" w:name="bookmark71"/>
      <w:r>
        <w:rPr>
          <w:u w:val="single"/>
        </w:rPr>
        <w:t>Proposed shelf-life:</w:t>
      </w:r>
      <w:bookmarkEnd w:id="71"/>
      <w:bookmarkEnd w:id="72"/>
    </w:p>
    <w:p w:rsidR="00A4351D" w:rsidRDefault="00094E8C">
      <w:pPr>
        <w:pStyle w:val="1"/>
        <w:shd w:val="clear" w:color="auto" w:fill="auto"/>
        <w:spacing w:after="140" w:line="240" w:lineRule="auto"/>
      </w:pPr>
      <w:r>
        <w:rPr>
          <w:lang w:val="fr-FR" w:eastAsia="fr-FR" w:bidi="fr-FR"/>
        </w:rPr>
        <w:t xml:space="preserve">36 </w:t>
      </w:r>
      <w:r>
        <w:t xml:space="preserve">months at 25 </w:t>
      </w:r>
      <w:r>
        <w:rPr>
          <w:sz w:val="26"/>
          <w:szCs w:val="26"/>
        </w:rPr>
        <w:t>°</w:t>
      </w:r>
      <w:r>
        <w:t xml:space="preserve">C </w:t>
      </w:r>
      <w:r>
        <w:rPr>
          <w:sz w:val="26"/>
          <w:szCs w:val="26"/>
        </w:rPr>
        <w:t xml:space="preserve">± </w:t>
      </w:r>
      <w:r>
        <w:t xml:space="preserve">2 </w:t>
      </w:r>
      <w:r>
        <w:rPr>
          <w:sz w:val="26"/>
          <w:szCs w:val="26"/>
        </w:rPr>
        <w:t>°</w:t>
      </w:r>
      <w:r>
        <w:t xml:space="preserve">C / 60% </w:t>
      </w:r>
      <w:r>
        <w:rPr>
          <w:lang w:val="fr-FR" w:eastAsia="fr-FR" w:bidi="fr-FR"/>
        </w:rPr>
        <w:t xml:space="preserve">RH </w:t>
      </w:r>
      <w:r>
        <w:rPr>
          <w:sz w:val="26"/>
          <w:szCs w:val="26"/>
          <w:lang w:val="fr-FR" w:eastAsia="fr-FR" w:bidi="fr-FR"/>
        </w:rPr>
        <w:t xml:space="preserve">± </w:t>
      </w:r>
      <w:r>
        <w:rPr>
          <w:lang w:val="fr-FR" w:eastAsia="fr-FR" w:bidi="fr-FR"/>
        </w:rPr>
        <w:t>5%</w:t>
      </w:r>
    </w:p>
    <w:p w:rsidR="00A4351D" w:rsidRDefault="00094E8C">
      <w:pPr>
        <w:pStyle w:val="1"/>
        <w:shd w:val="clear" w:color="auto" w:fill="auto"/>
        <w:spacing w:after="360" w:line="240" w:lineRule="auto"/>
        <w:sectPr w:rsidR="00A4351D">
          <w:pgSz w:w="11900" w:h="16840"/>
          <w:pgMar w:top="1954" w:right="1657" w:bottom="1954" w:left="1656" w:header="0" w:footer="3" w:gutter="0"/>
          <w:cols w:space="720"/>
          <w:noEndnote/>
          <w:docGrid w:linePitch="360"/>
        </w:sectPr>
      </w:pPr>
      <w:r>
        <w:rPr>
          <w:lang w:val="fr-FR" w:eastAsia="fr-FR" w:bidi="fr-FR"/>
        </w:rPr>
        <w:t xml:space="preserve">36 </w:t>
      </w:r>
      <w:r>
        <w:t xml:space="preserve">months at </w:t>
      </w:r>
      <w:r>
        <w:rPr>
          <w:lang w:val="fr-FR" w:eastAsia="fr-FR" w:bidi="fr-FR"/>
        </w:rPr>
        <w:t xml:space="preserve">30 </w:t>
      </w:r>
      <w:r>
        <w:rPr>
          <w:sz w:val="26"/>
          <w:szCs w:val="26"/>
          <w:lang w:val="fr-FR" w:eastAsia="fr-FR" w:bidi="fr-FR"/>
        </w:rPr>
        <w:t>°</w:t>
      </w:r>
      <w:r>
        <w:rPr>
          <w:lang w:val="fr-FR" w:eastAsia="fr-FR" w:bidi="fr-FR"/>
        </w:rPr>
        <w:t xml:space="preserve">C </w:t>
      </w:r>
      <w:r>
        <w:rPr>
          <w:sz w:val="26"/>
          <w:szCs w:val="26"/>
          <w:lang w:val="fr-FR" w:eastAsia="fr-FR" w:bidi="fr-FR"/>
        </w:rPr>
        <w:t xml:space="preserve">± </w:t>
      </w:r>
      <w:r>
        <w:rPr>
          <w:lang w:val="fr-FR" w:eastAsia="fr-FR" w:bidi="fr-FR"/>
        </w:rPr>
        <w:t xml:space="preserve">2 </w:t>
      </w:r>
      <w:r>
        <w:rPr>
          <w:sz w:val="26"/>
          <w:szCs w:val="26"/>
          <w:lang w:val="fr-FR" w:eastAsia="fr-FR" w:bidi="fr-FR"/>
        </w:rPr>
        <w:t>°</w:t>
      </w:r>
      <w:r>
        <w:rPr>
          <w:lang w:val="fr-FR" w:eastAsia="fr-FR" w:bidi="fr-FR"/>
        </w:rPr>
        <w:t xml:space="preserve">C / 65% RH </w:t>
      </w:r>
      <w:r>
        <w:rPr>
          <w:sz w:val="26"/>
          <w:szCs w:val="26"/>
          <w:lang w:val="fr-FR" w:eastAsia="fr-FR" w:bidi="fr-FR"/>
        </w:rPr>
        <w:t xml:space="preserve">± </w:t>
      </w:r>
      <w:r>
        <w:rPr>
          <w:lang w:val="fr-FR" w:eastAsia="fr-FR" w:bidi="fr-FR"/>
        </w:rPr>
        <w:t>5%</w:t>
      </w:r>
    </w:p>
    <w:p w:rsidR="00A4351D" w:rsidRDefault="00094E8C">
      <w:pPr>
        <w:pStyle w:val="11"/>
        <w:keepNext/>
        <w:keepLines/>
        <w:numPr>
          <w:ilvl w:val="0"/>
          <w:numId w:val="44"/>
        </w:numPr>
        <w:shd w:val="clear" w:color="auto" w:fill="auto"/>
        <w:spacing w:after="440"/>
      </w:pPr>
      <w:bookmarkStart w:id="73" w:name="bookmark72"/>
      <w:bookmarkStart w:id="74" w:name="bookmark73"/>
      <w:r>
        <w:lastRenderedPageBreak/>
        <w:t>A APPENDICES</w:t>
      </w:r>
      <w:bookmarkEnd w:id="73"/>
      <w:bookmarkEnd w:id="74"/>
    </w:p>
    <w:p w:rsidR="00A4351D" w:rsidRDefault="00094E8C">
      <w:pPr>
        <w:pStyle w:val="1"/>
        <w:numPr>
          <w:ilvl w:val="0"/>
          <w:numId w:val="45"/>
        </w:numPr>
        <w:shd w:val="clear" w:color="auto" w:fill="auto"/>
        <w:spacing w:after="140" w:line="240" w:lineRule="auto"/>
        <w:rPr>
          <w:sz w:val="26"/>
          <w:szCs w:val="26"/>
        </w:rPr>
      </w:pPr>
      <w:r>
        <w:rPr>
          <w:b/>
          <w:bCs/>
          <w:i/>
          <w:iCs/>
          <w:sz w:val="26"/>
          <w:szCs w:val="26"/>
        </w:rPr>
        <w:t>A.1 Facilities and Equipment</w:t>
      </w:r>
    </w:p>
    <w:p w:rsidR="00A4351D" w:rsidRDefault="00094E8C">
      <w:pPr>
        <w:pStyle w:val="1"/>
        <w:shd w:val="clear" w:color="auto" w:fill="auto"/>
        <w:spacing w:after="540" w:line="240" w:lineRule="auto"/>
      </w:pPr>
      <w:r>
        <w:t>Facility for the production of solution for infusion.</w:t>
      </w:r>
    </w:p>
    <w:p w:rsidR="00A4351D" w:rsidRDefault="00094E8C">
      <w:pPr>
        <w:pStyle w:val="1"/>
        <w:shd w:val="clear" w:color="auto" w:fill="auto"/>
        <w:spacing w:line="240" w:lineRule="auto"/>
      </w:pPr>
      <w:r>
        <w:rPr>
          <w:b/>
          <w:bCs/>
          <w:i/>
          <w:iCs/>
        </w:rPr>
        <w:t xml:space="preserve">A) </w:t>
      </w:r>
      <w:r>
        <w:rPr>
          <w:b/>
          <w:bCs/>
          <w:i/>
          <w:iCs/>
          <w:u w:val="single"/>
        </w:rPr>
        <w:t xml:space="preserve">Manufacturing </w:t>
      </w:r>
      <w:r>
        <w:rPr>
          <w:b/>
          <w:bCs/>
          <w:i/>
          <w:iCs/>
          <w:u w:val="single"/>
        </w:rPr>
        <w:t>Equipment</w:t>
      </w:r>
    </w:p>
    <w:p w:rsidR="00A4351D" w:rsidRDefault="00094E8C">
      <w:pPr>
        <w:pStyle w:val="1"/>
        <w:numPr>
          <w:ilvl w:val="0"/>
          <w:numId w:val="46"/>
        </w:numPr>
        <w:shd w:val="clear" w:color="auto" w:fill="auto"/>
        <w:tabs>
          <w:tab w:val="left" w:pos="378"/>
        </w:tabs>
        <w:spacing w:line="240" w:lineRule="auto"/>
      </w:pPr>
      <w:r>
        <w:t>200 lit. stainless steel vessel for the production of injectable solution.</w:t>
      </w:r>
    </w:p>
    <w:p w:rsidR="00A4351D" w:rsidRDefault="00094E8C">
      <w:pPr>
        <w:pStyle w:val="1"/>
        <w:numPr>
          <w:ilvl w:val="0"/>
          <w:numId w:val="46"/>
        </w:numPr>
        <w:shd w:val="clear" w:color="auto" w:fill="auto"/>
        <w:tabs>
          <w:tab w:val="left" w:pos="378"/>
        </w:tabs>
        <w:spacing w:line="240" w:lineRule="auto"/>
      </w:pPr>
      <w:r>
        <w:t>2 filtration vessels.</w:t>
      </w:r>
    </w:p>
    <w:p w:rsidR="00A4351D" w:rsidRDefault="00094E8C">
      <w:pPr>
        <w:pStyle w:val="1"/>
        <w:numPr>
          <w:ilvl w:val="0"/>
          <w:numId w:val="46"/>
        </w:numPr>
        <w:shd w:val="clear" w:color="auto" w:fill="auto"/>
        <w:tabs>
          <w:tab w:val="left" w:pos="378"/>
        </w:tabs>
        <w:spacing w:line="240" w:lineRule="auto"/>
      </w:pPr>
      <w:r>
        <w:t>Sartorius filtration apparatus with filter Sartobran P and pro-filter Sartopure GF2.</w:t>
      </w:r>
    </w:p>
    <w:p w:rsidR="00A4351D" w:rsidRDefault="00094E8C">
      <w:pPr>
        <w:pStyle w:val="1"/>
        <w:numPr>
          <w:ilvl w:val="0"/>
          <w:numId w:val="46"/>
        </w:numPr>
        <w:shd w:val="clear" w:color="auto" w:fill="auto"/>
        <w:tabs>
          <w:tab w:val="left" w:pos="378"/>
        </w:tabs>
        <w:spacing w:line="240" w:lineRule="auto"/>
      </w:pPr>
      <w:r>
        <w:t>Nitrogen tank for filtration.</w:t>
      </w:r>
    </w:p>
    <w:p w:rsidR="00A4351D" w:rsidRDefault="00094E8C">
      <w:pPr>
        <w:pStyle w:val="1"/>
        <w:numPr>
          <w:ilvl w:val="0"/>
          <w:numId w:val="46"/>
        </w:numPr>
        <w:shd w:val="clear" w:color="auto" w:fill="auto"/>
        <w:tabs>
          <w:tab w:val="left" w:pos="378"/>
        </w:tabs>
        <w:spacing w:line="240" w:lineRule="auto"/>
      </w:pPr>
      <w:r>
        <w:t xml:space="preserve">Small vessel MILLIPORE for filter </w:t>
      </w:r>
      <w:r>
        <w:t>check.</w:t>
      </w:r>
    </w:p>
    <w:p w:rsidR="00A4351D" w:rsidRDefault="00094E8C">
      <w:pPr>
        <w:pStyle w:val="1"/>
        <w:numPr>
          <w:ilvl w:val="0"/>
          <w:numId w:val="46"/>
        </w:numPr>
        <w:shd w:val="clear" w:color="auto" w:fill="auto"/>
        <w:tabs>
          <w:tab w:val="left" w:pos="378"/>
        </w:tabs>
        <w:spacing w:line="240" w:lineRule="auto"/>
      </w:pPr>
      <w:r>
        <w:t>pH-meter.</w:t>
      </w:r>
    </w:p>
    <w:p w:rsidR="00A4351D" w:rsidRDefault="00094E8C">
      <w:pPr>
        <w:pStyle w:val="1"/>
        <w:numPr>
          <w:ilvl w:val="0"/>
          <w:numId w:val="46"/>
        </w:numPr>
        <w:shd w:val="clear" w:color="auto" w:fill="auto"/>
        <w:tabs>
          <w:tab w:val="left" w:pos="378"/>
        </w:tabs>
        <w:spacing w:line="240" w:lineRule="auto"/>
      </w:pPr>
      <w:r>
        <w:t>PONZINI distiller unit, with stainless steel vessel for the collection of water.</w:t>
      </w:r>
    </w:p>
    <w:p w:rsidR="00A4351D" w:rsidRDefault="00094E8C">
      <w:pPr>
        <w:pStyle w:val="1"/>
        <w:numPr>
          <w:ilvl w:val="0"/>
          <w:numId w:val="46"/>
        </w:numPr>
        <w:shd w:val="clear" w:color="auto" w:fill="auto"/>
        <w:tabs>
          <w:tab w:val="left" w:pos="378"/>
        </w:tabs>
        <w:spacing w:line="240" w:lineRule="auto"/>
      </w:pPr>
      <w:r>
        <w:t>DE LAMA Sterillization Unit with temperature and time recording units.</w:t>
      </w:r>
    </w:p>
    <w:p w:rsidR="00A4351D" w:rsidRDefault="00094E8C">
      <w:pPr>
        <w:pStyle w:val="1"/>
        <w:numPr>
          <w:ilvl w:val="0"/>
          <w:numId w:val="46"/>
        </w:numPr>
        <w:shd w:val="clear" w:color="auto" w:fill="auto"/>
        <w:tabs>
          <w:tab w:val="left" w:pos="378"/>
        </w:tabs>
        <w:spacing w:line="240" w:lineRule="auto"/>
      </w:pPr>
      <w:r>
        <w:t>Impermeability check apparatus.</w:t>
      </w:r>
    </w:p>
    <w:p w:rsidR="00A4351D" w:rsidRDefault="00094E8C">
      <w:pPr>
        <w:pStyle w:val="1"/>
        <w:numPr>
          <w:ilvl w:val="0"/>
          <w:numId w:val="46"/>
        </w:numPr>
        <w:shd w:val="clear" w:color="auto" w:fill="auto"/>
        <w:tabs>
          <w:tab w:val="left" w:pos="378"/>
        </w:tabs>
        <w:spacing w:after="540" w:line="240" w:lineRule="auto"/>
      </w:pPr>
      <w:r>
        <w:t>Lytzen Dry Sterilization Unit with temperature and time</w:t>
      </w:r>
      <w:r>
        <w:t xml:space="preserve"> recording units.</w:t>
      </w:r>
    </w:p>
    <w:p w:rsidR="00A4351D" w:rsidRDefault="00094E8C">
      <w:pPr>
        <w:pStyle w:val="1"/>
        <w:shd w:val="clear" w:color="auto" w:fill="auto"/>
        <w:spacing w:after="140" w:line="240" w:lineRule="auto"/>
      </w:pPr>
      <w:r>
        <w:rPr>
          <w:b/>
          <w:bCs/>
          <w:i/>
          <w:iCs/>
        </w:rPr>
        <w:t xml:space="preserve">B) </w:t>
      </w:r>
      <w:r>
        <w:rPr>
          <w:b/>
          <w:bCs/>
          <w:i/>
          <w:iCs/>
          <w:u w:val="single"/>
        </w:rPr>
        <w:t>Analytical Equipment</w:t>
      </w:r>
    </w:p>
    <w:p w:rsidR="00A4351D" w:rsidRDefault="00094E8C">
      <w:pPr>
        <w:pStyle w:val="1"/>
        <w:numPr>
          <w:ilvl w:val="0"/>
          <w:numId w:val="47"/>
        </w:numPr>
        <w:shd w:val="clear" w:color="auto" w:fill="auto"/>
        <w:tabs>
          <w:tab w:val="left" w:pos="378"/>
        </w:tabs>
        <w:spacing w:after="140" w:line="240" w:lineRule="auto"/>
      </w:pPr>
      <w:r>
        <w:t>HPLC Apparatus.</w:t>
      </w:r>
    </w:p>
    <w:p w:rsidR="00A4351D" w:rsidRDefault="00094E8C">
      <w:pPr>
        <w:pStyle w:val="1"/>
        <w:numPr>
          <w:ilvl w:val="0"/>
          <w:numId w:val="47"/>
        </w:numPr>
        <w:shd w:val="clear" w:color="auto" w:fill="auto"/>
        <w:tabs>
          <w:tab w:val="left" w:pos="378"/>
        </w:tabs>
        <w:spacing w:after="140" w:line="240" w:lineRule="auto"/>
      </w:pPr>
      <w:r>
        <w:t>UV Apparatus.</w:t>
      </w:r>
    </w:p>
    <w:p w:rsidR="00A4351D" w:rsidRDefault="00094E8C">
      <w:pPr>
        <w:pStyle w:val="1"/>
        <w:numPr>
          <w:ilvl w:val="0"/>
          <w:numId w:val="47"/>
        </w:numPr>
        <w:shd w:val="clear" w:color="auto" w:fill="auto"/>
        <w:tabs>
          <w:tab w:val="left" w:pos="378"/>
        </w:tabs>
        <w:spacing w:after="140" w:line="240" w:lineRule="auto"/>
      </w:pPr>
      <w:r>
        <w:t>Precision Balance.</w:t>
      </w:r>
    </w:p>
    <w:p w:rsidR="00A4351D" w:rsidRDefault="00094E8C">
      <w:pPr>
        <w:pStyle w:val="1"/>
        <w:numPr>
          <w:ilvl w:val="0"/>
          <w:numId w:val="47"/>
        </w:numPr>
        <w:shd w:val="clear" w:color="auto" w:fill="auto"/>
        <w:tabs>
          <w:tab w:val="left" w:pos="378"/>
        </w:tabs>
        <w:spacing w:after="140" w:line="240" w:lineRule="auto"/>
      </w:pPr>
      <w:r>
        <w:t>TOC.</w:t>
      </w:r>
    </w:p>
    <w:p w:rsidR="00A4351D" w:rsidRDefault="00094E8C">
      <w:pPr>
        <w:pStyle w:val="1"/>
        <w:numPr>
          <w:ilvl w:val="0"/>
          <w:numId w:val="47"/>
        </w:numPr>
        <w:shd w:val="clear" w:color="auto" w:fill="auto"/>
        <w:tabs>
          <w:tab w:val="left" w:pos="378"/>
        </w:tabs>
        <w:spacing w:after="80" w:line="240" w:lineRule="auto"/>
        <w:sectPr w:rsidR="00A4351D">
          <w:pgSz w:w="11900" w:h="16840"/>
          <w:pgMar w:top="1964" w:right="1733" w:bottom="1964" w:left="1579" w:header="0" w:footer="3" w:gutter="0"/>
          <w:cols w:space="720"/>
          <w:noEndnote/>
          <w:docGrid w:linePitch="360"/>
        </w:sectPr>
      </w:pPr>
      <w:r>
        <w:t>pH-meter.</w:t>
      </w:r>
    </w:p>
    <w:p w:rsidR="00A4351D" w:rsidRDefault="00094E8C">
      <w:pPr>
        <w:pStyle w:val="1"/>
        <w:numPr>
          <w:ilvl w:val="0"/>
          <w:numId w:val="48"/>
        </w:numPr>
        <w:shd w:val="clear" w:color="auto" w:fill="auto"/>
        <w:spacing w:line="341" w:lineRule="auto"/>
        <w:jc w:val="both"/>
        <w:rPr>
          <w:sz w:val="26"/>
          <w:szCs w:val="26"/>
        </w:rPr>
      </w:pPr>
      <w:r>
        <w:rPr>
          <w:b/>
          <w:bCs/>
          <w:i/>
          <w:iCs/>
          <w:sz w:val="26"/>
          <w:szCs w:val="26"/>
          <w:lang w:val="fr-FR" w:eastAsia="fr-FR" w:bidi="fr-FR"/>
        </w:rPr>
        <w:lastRenderedPageBreak/>
        <w:t xml:space="preserve">A.2 </w:t>
      </w:r>
      <w:r>
        <w:rPr>
          <w:b/>
          <w:bCs/>
          <w:i/>
          <w:iCs/>
          <w:sz w:val="26"/>
          <w:szCs w:val="26"/>
        </w:rPr>
        <w:t xml:space="preserve">Adventitious </w:t>
      </w:r>
      <w:r>
        <w:rPr>
          <w:b/>
          <w:bCs/>
          <w:i/>
          <w:iCs/>
          <w:sz w:val="26"/>
          <w:szCs w:val="26"/>
          <w:lang w:val="fr-FR" w:eastAsia="fr-FR" w:bidi="fr-FR"/>
        </w:rPr>
        <w:t xml:space="preserve">Agents </w:t>
      </w:r>
      <w:r>
        <w:rPr>
          <w:b/>
          <w:bCs/>
          <w:i/>
          <w:iCs/>
          <w:sz w:val="26"/>
          <w:szCs w:val="26"/>
        </w:rPr>
        <w:t xml:space="preserve">Safety </w:t>
      </w:r>
      <w:r>
        <w:rPr>
          <w:b/>
          <w:bCs/>
          <w:i/>
          <w:iCs/>
          <w:sz w:val="26"/>
          <w:szCs w:val="26"/>
          <w:lang w:val="fr-FR" w:eastAsia="fr-FR" w:bidi="fr-FR"/>
        </w:rPr>
        <w:t>Evaluation</w:t>
      </w:r>
    </w:p>
    <w:p w:rsidR="00A4351D" w:rsidRDefault="00094E8C">
      <w:pPr>
        <w:pStyle w:val="1"/>
        <w:shd w:val="clear" w:color="auto" w:fill="auto"/>
        <w:spacing w:after="420"/>
        <w:jc w:val="both"/>
      </w:pPr>
      <w:r>
        <w:rPr>
          <w:lang w:val="fr-FR" w:eastAsia="fr-FR" w:bidi="fr-FR"/>
        </w:rPr>
        <w:t xml:space="preserve">The under registration pharmaceutical product contains in its formulation </w:t>
      </w:r>
      <w:r>
        <w:rPr>
          <w:lang w:val="fr-FR" w:eastAsia="fr-FR" w:bidi="fr-FR"/>
        </w:rPr>
        <w:t>pharmaceutical raw materials [active ingredient and excipients] that do not contain or consist of Genetically Modified Organisms (GMO).</w:t>
      </w:r>
    </w:p>
    <w:p w:rsidR="00A4351D" w:rsidRDefault="00094E8C">
      <w:pPr>
        <w:pStyle w:val="1"/>
        <w:shd w:val="clear" w:color="auto" w:fill="auto"/>
        <w:spacing w:after="420"/>
        <w:jc w:val="both"/>
      </w:pPr>
      <w:r>
        <w:rPr>
          <w:lang w:val="fr-FR" w:eastAsia="fr-FR" w:bidi="fr-FR"/>
        </w:rPr>
        <w:t>Further more all the raw materials used during the development of the product are widely used in Pharmaceutics for a lon</w:t>
      </w:r>
      <w:r>
        <w:rPr>
          <w:lang w:val="fr-FR" w:eastAsia="fr-FR" w:bidi="fr-FR"/>
        </w:rPr>
        <w:t>g period of time with a well documented hypotoxicity.</w:t>
      </w:r>
    </w:p>
    <w:p w:rsidR="00A4351D" w:rsidRDefault="00094E8C">
      <w:pPr>
        <w:pStyle w:val="1"/>
        <w:shd w:val="clear" w:color="auto" w:fill="auto"/>
        <w:spacing w:after="420"/>
        <w:jc w:val="both"/>
      </w:pPr>
      <w:r>
        <w:rPr>
          <w:lang w:val="fr-FR" w:eastAsia="fr-FR" w:bidi="fr-FR"/>
        </w:rPr>
        <w:t>In addition, the manufacturing process followed for the specific pharmacotechnical form does not present any environmental risk given that the installation area and the mechanical equipment used for the</w:t>
      </w:r>
      <w:r>
        <w:rPr>
          <w:lang w:val="fr-FR" w:eastAsia="fr-FR" w:bidi="fr-FR"/>
        </w:rPr>
        <w:t xml:space="preserve"> production are quite new and during the production process all the necessary precautions are taken in accordance to the latest Safety Regulations.</w:t>
      </w:r>
    </w:p>
    <w:p w:rsidR="00A4351D" w:rsidRDefault="00094E8C">
      <w:pPr>
        <w:pStyle w:val="1"/>
        <w:shd w:val="clear" w:color="auto" w:fill="auto"/>
        <w:spacing w:after="420"/>
        <w:jc w:val="both"/>
        <w:sectPr w:rsidR="00A4351D">
          <w:pgSz w:w="11900" w:h="16840"/>
          <w:pgMar w:top="1954" w:right="1364" w:bottom="1954" w:left="1661" w:header="0" w:footer="3" w:gutter="0"/>
          <w:cols w:space="720"/>
          <w:noEndnote/>
          <w:docGrid w:linePitch="360"/>
        </w:sectPr>
      </w:pPr>
      <w:r>
        <w:rPr>
          <w:lang w:val="fr-FR" w:eastAsia="fr-FR" w:bidi="fr-FR"/>
        </w:rPr>
        <w:t>On the basis of the above mentioned considerations, it is possible to affirm that the p</w:t>
      </w:r>
      <w:r>
        <w:rPr>
          <w:lang w:val="fr-FR" w:eastAsia="fr-FR" w:bidi="fr-FR"/>
        </w:rPr>
        <w:t>roduct is not a vehicle of transmission of agents that would be pathogen for human health.</w:t>
      </w:r>
    </w:p>
    <w:p w:rsidR="00A4351D" w:rsidRDefault="00094E8C">
      <w:pPr>
        <w:pStyle w:val="1"/>
        <w:numPr>
          <w:ilvl w:val="0"/>
          <w:numId w:val="49"/>
        </w:numPr>
        <w:shd w:val="clear" w:color="auto" w:fill="auto"/>
        <w:spacing w:after="140" w:line="240" w:lineRule="auto"/>
        <w:rPr>
          <w:sz w:val="26"/>
          <w:szCs w:val="26"/>
        </w:rPr>
      </w:pPr>
      <w:r>
        <w:rPr>
          <w:b/>
          <w:bCs/>
          <w:i/>
          <w:iCs/>
          <w:sz w:val="26"/>
          <w:szCs w:val="26"/>
          <w:lang w:val="fr-FR" w:eastAsia="fr-FR" w:bidi="fr-FR"/>
        </w:rPr>
        <w:lastRenderedPageBreak/>
        <w:t>A.3 Excipients</w:t>
      </w:r>
    </w:p>
    <w:p w:rsidR="00A4351D" w:rsidRDefault="00094E8C">
      <w:pPr>
        <w:pStyle w:val="1"/>
        <w:shd w:val="clear" w:color="auto" w:fill="auto"/>
        <w:spacing w:line="240" w:lineRule="auto"/>
        <w:sectPr w:rsidR="00A4351D">
          <w:pgSz w:w="11900" w:h="16840"/>
          <w:pgMar w:top="1950" w:right="1585" w:bottom="1950" w:left="1661" w:header="0" w:footer="3" w:gutter="0"/>
          <w:cols w:space="720"/>
          <w:noEndnote/>
          <w:docGrid w:linePitch="360"/>
        </w:sectPr>
      </w:pPr>
      <w:r>
        <w:rPr>
          <w:lang w:val="fr-FR" w:eastAsia="fr-FR" w:bidi="fr-FR"/>
        </w:rPr>
        <w:t>No new excipients, used for the first time in the composition of the product, are included.</w:t>
      </w:r>
    </w:p>
    <w:p w:rsidR="00A4351D" w:rsidRDefault="00094E8C">
      <w:pPr>
        <w:pStyle w:val="11"/>
        <w:keepNext/>
        <w:keepLines/>
        <w:numPr>
          <w:ilvl w:val="0"/>
          <w:numId w:val="50"/>
        </w:numPr>
        <w:shd w:val="clear" w:color="auto" w:fill="auto"/>
        <w:spacing w:after="160"/>
      </w:pPr>
      <w:bookmarkStart w:id="75" w:name="bookmark74"/>
      <w:bookmarkStart w:id="76" w:name="bookmark75"/>
      <w:r>
        <w:lastRenderedPageBreak/>
        <w:t>R REGIONAL INFORMATION</w:t>
      </w:r>
      <w:bookmarkEnd w:id="75"/>
      <w:bookmarkEnd w:id="76"/>
    </w:p>
    <w:p w:rsidR="00A4351D" w:rsidRDefault="00094E8C">
      <w:pPr>
        <w:pStyle w:val="1"/>
        <w:shd w:val="clear" w:color="auto" w:fill="auto"/>
        <w:spacing w:line="240" w:lineRule="auto"/>
      </w:pPr>
      <w:r>
        <w:rPr>
          <w:lang w:val="fr-FR" w:eastAsia="fr-FR" w:bidi="fr-FR"/>
        </w:rPr>
        <w:t>Not applicable</w:t>
      </w:r>
      <w:r>
        <w:rPr>
          <w:lang w:val="fr-FR" w:eastAsia="fr-FR" w:bidi="fr-FR"/>
        </w:rPr>
        <w:t>.</w:t>
      </w:r>
      <w:bookmarkEnd w:id="2"/>
    </w:p>
    <w:sectPr w:rsidR="00A4351D">
      <w:pgSz w:w="11900" w:h="16840"/>
      <w:pgMar w:top="1964" w:right="1590" w:bottom="1964" w:left="165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94E8C">
      <w:r>
        <w:separator/>
      </w:r>
    </w:p>
  </w:endnote>
  <w:endnote w:type="continuationSeparator" w:id="0">
    <w:p w:rsidR="00000000" w:rsidRDefault="0009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51D" w:rsidRDefault="00094E8C">
    <w:pPr>
      <w:spacing w:line="1" w:lineRule="exact"/>
    </w:pPr>
    <w:r>
      <w:rPr>
        <w:noProof/>
        <w:lang w:val="ru-RU" w:eastAsia="ru-RU" w:bidi="ar-SA"/>
      </w:rPr>
      <mc:AlternateContent>
        <mc:Choice Requires="wps">
          <w:drawing>
            <wp:anchor distT="0" distB="0" distL="0" distR="0" simplePos="0" relativeHeight="62914694" behindDoc="1" locked="0" layoutInCell="1" allowOverlap="1">
              <wp:simplePos x="0" y="0"/>
              <wp:positionH relativeFrom="page">
                <wp:posOffset>3322320</wp:posOffset>
              </wp:positionH>
              <wp:positionV relativeFrom="page">
                <wp:posOffset>9827260</wp:posOffset>
              </wp:positionV>
              <wp:extent cx="1088390" cy="91440"/>
              <wp:effectExtent l="0" t="0" r="0" b="0"/>
              <wp:wrapNone/>
              <wp:docPr id="5" name="Shape 5"/>
              <wp:cNvGraphicFramePr/>
              <a:graphic xmlns:a="http://schemas.openxmlformats.org/drawingml/2006/main">
                <a:graphicData uri="http://schemas.microsoft.com/office/word/2010/wordprocessingShape">
                  <wps:wsp>
                    <wps:cNvSpPr txBox="1"/>
                    <wps:spPr>
                      <a:xfrm>
                        <a:off x="0" y="0"/>
                        <a:ext cx="1088390" cy="91440"/>
                      </a:xfrm>
                      <a:prstGeom prst="rect">
                        <a:avLst/>
                      </a:prstGeom>
                      <a:noFill/>
                    </wps:spPr>
                    <wps:txbx>
                      <w:txbxContent>
                        <w:p w:rsidR="00A4351D" w:rsidRDefault="00094E8C">
                          <w:pPr>
                            <w:pStyle w:val="22"/>
                            <w:shd w:val="clear" w:color="auto" w:fill="auto"/>
                          </w:pPr>
                          <w:r>
                            <w:rPr>
                              <w:b/>
                              <w:bCs/>
                              <w:lang w:val="en-US" w:eastAsia="en-US" w:bidi="en-US"/>
                            </w:rPr>
                            <w:t>UNI-PHARMA S.A.</w:t>
                          </w:r>
                        </w:p>
                      </w:txbxContent>
                    </wps:txbx>
                    <wps:bodyPr wrap="none" lIns="0" tIns="0" rIns="0" bIns="0">
                      <a:spAutoFit/>
                    </wps:bodyPr>
                  </wps:wsp>
                </a:graphicData>
              </a:graphic>
            </wp:anchor>
          </w:drawing>
        </mc:Choice>
        <mc:Fallback>
          <w:pict>
            <v:shape id="_x0000_s1031" type="#_x0000_t202" style="position:absolute;margin-left:261.60000000000002pt;margin-top:773.79999999999995pt;width:85.700000000000003pt;height:7.2000000000000002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UNI-PHARMA S.A.</w:t>
                    </w:r>
                  </w:p>
                </w:txbxContent>
              </v:textbox>
              <w10:wrap anchorx="page" anchory="page"/>
            </v:shape>
          </w:pict>
        </mc:Fallback>
      </mc:AlternateContent>
    </w:r>
    <w:r>
      <w:rPr>
        <w:noProof/>
        <w:lang w:val="ru-RU" w:eastAsia="ru-RU" w:bidi="ar-SA"/>
      </w:rPr>
      <mc:AlternateContent>
        <mc:Choice Requires="wps">
          <w:drawing>
            <wp:anchor distT="0" distB="0" distL="114300" distR="114300" simplePos="0" relativeHeight="2" behindDoc="1" locked="0" layoutInCell="1" allowOverlap="1">
              <wp:simplePos x="0" y="0"/>
              <wp:positionH relativeFrom="page">
                <wp:posOffset>1057910</wp:posOffset>
              </wp:positionH>
              <wp:positionV relativeFrom="page">
                <wp:posOffset>9777095</wp:posOffset>
              </wp:positionV>
              <wp:extent cx="5623560" cy="0"/>
              <wp:effectExtent l="0" t="0" r="0" b="0"/>
              <wp:wrapNone/>
              <wp:docPr id="7" name="Shape 7"/>
              <wp:cNvGraphicFramePr/>
              <a:graphic xmlns:a="http://schemas.openxmlformats.org/drawingml/2006/main">
                <a:graphicData uri="http://schemas.microsoft.com/office/word/2010/wordprocessingShape">
                  <wps:wsp>
                    <wps:cNvCnPr/>
                    <wps:spPr>
                      <a:xfrm>
                        <a:off x="0" y="0"/>
                        <a:ext cx="5623560" cy="0"/>
                      </a:xfrm>
                      <a:prstGeom prst="straightConnector1">
                        <a:avLst/>
                      </a:prstGeom>
                      <a:ln w="12700">
                        <a:solidFill/>
                      </a:ln>
                    </wps:spPr>
                    <wps:bodyPr/>
                  </wps:wsp>
                </a:graphicData>
              </a:graphic>
            </wp:anchor>
          </w:drawing>
        </mc:Choice>
        <mc:Fallback>
          <w:pict>
            <v:shape o:spt="32" o:oned="true" path="m,l21600,21600e" style="position:absolute;margin-left:83.299999999999997pt;margin-top:769.85000000000002pt;width:442.80000000000001pt;height:0;z-index:-251658240;mso-position-horizontal-relative:page;mso-position-vertical-relative:page">
              <v:stroke weight="1.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51D" w:rsidRDefault="00A4351D"/>
  </w:footnote>
  <w:footnote w:type="continuationSeparator" w:id="0">
    <w:p w:rsidR="00A4351D" w:rsidRDefault="00A435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51D" w:rsidRDefault="00094E8C">
    <w:pPr>
      <w:spacing w:line="1" w:lineRule="exact"/>
    </w:pPr>
    <w:r>
      <w:rPr>
        <w:noProof/>
        <w:lang w:val="ru-RU" w:eastAsia="ru-RU" w:bidi="ar-SA"/>
      </w:rPr>
      <mc:AlternateContent>
        <mc:Choice Requires="wps">
          <w:drawing>
            <wp:anchor distT="0" distB="0" distL="0" distR="0" simplePos="0" relativeHeight="62914690" behindDoc="1" locked="0" layoutInCell="1" allowOverlap="1">
              <wp:simplePos x="0" y="0"/>
              <wp:positionH relativeFrom="page">
                <wp:posOffset>1164590</wp:posOffset>
              </wp:positionH>
              <wp:positionV relativeFrom="page">
                <wp:posOffset>649605</wp:posOffset>
              </wp:positionV>
              <wp:extent cx="987425" cy="103505"/>
              <wp:effectExtent l="0" t="0" r="0" b="0"/>
              <wp:wrapNone/>
              <wp:docPr id="1" name="Shape 1"/>
              <wp:cNvGraphicFramePr/>
              <a:graphic xmlns:a="http://schemas.openxmlformats.org/drawingml/2006/main">
                <a:graphicData uri="http://schemas.microsoft.com/office/word/2010/wordprocessingShape">
                  <wps:wsp>
                    <wps:cNvSpPr txBox="1"/>
                    <wps:spPr>
                      <a:xfrm>
                        <a:off x="0" y="0"/>
                        <a:ext cx="987425" cy="103505"/>
                      </a:xfrm>
                      <a:prstGeom prst="rect">
                        <a:avLst/>
                      </a:prstGeom>
                      <a:noFill/>
                    </wps:spPr>
                    <wps:txbx>
                      <w:txbxContent>
                        <w:p w:rsidR="00A4351D" w:rsidRDefault="00094E8C">
                          <w:pPr>
                            <w:pStyle w:val="22"/>
                            <w:pBdr>
                              <w:top w:val="single" w:sz="0" w:space="0" w:color="184578"/>
                              <w:left w:val="single" w:sz="0" w:space="0" w:color="184578"/>
                              <w:bottom w:val="single" w:sz="0" w:space="0" w:color="184578"/>
                              <w:right w:val="single" w:sz="0" w:space="0" w:color="184578"/>
                            </w:pBdr>
                            <w:shd w:val="clear" w:color="auto" w:fill="184578"/>
                            <w:rPr>
                              <w:sz w:val="24"/>
                              <w:szCs w:val="24"/>
                            </w:rPr>
                          </w:pPr>
                          <w:r>
                            <w:rPr>
                              <w:rFonts w:ascii="Calibri" w:eastAsia="Calibri" w:hAnsi="Calibri" w:cs="Calibri"/>
                              <w:b/>
                              <w:bCs/>
                              <w:color w:val="FFFFFF"/>
                              <w:sz w:val="24"/>
                              <w:szCs w:val="24"/>
                            </w:rPr>
                            <w:t>UNI-PHARMA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1.700000000000003pt;margin-top:51.149999999999999pt;width:77.75pt;height:8.15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184578"/>
                        <w:left w:val="single" w:sz="0" w:space="0" w:color="184578"/>
                        <w:bottom w:val="single" w:sz="0" w:space="0" w:color="184578"/>
                        <w:right w:val="single" w:sz="0" w:space="0" w:color="184578"/>
                      </w:pBdr>
                      <w:shd w:val="clear" w:color="auto" w:fill="184578"/>
                      <w:bidi w:val="0"/>
                      <w:spacing w:before="0" w:after="0" w:line="240" w:lineRule="auto"/>
                      <w:ind w:left="0" w:right="0" w:firstLine="0"/>
                      <w:jc w:val="left"/>
                      <w:rPr>
                        <w:sz w:val="24"/>
                        <w:szCs w:val="24"/>
                      </w:rPr>
                    </w:pPr>
                    <w:r>
                      <w:rPr>
                        <w:rFonts w:ascii="Calibri" w:eastAsia="Calibri" w:hAnsi="Calibri" w:cs="Calibri"/>
                        <w:b/>
                        <w:bCs/>
                        <w:color w:val="FFFFFF"/>
                        <w:spacing w:val="0"/>
                        <w:w w:val="100"/>
                        <w:position w:val="0"/>
                        <w:sz w:val="24"/>
                        <w:szCs w:val="24"/>
                        <w:shd w:val="clear" w:color="auto" w:fill="auto"/>
                      </w:rPr>
                      <w:t>UNI-PHARMA</w:t>
                    </w:r>
                  </w:p>
                </w:txbxContent>
              </v:textbox>
              <w10:wrap anchorx="page" anchory="page"/>
            </v:shape>
          </w:pict>
        </mc:Fallback>
      </mc:AlternateContent>
    </w:r>
    <w:r>
      <w:rPr>
        <w:noProof/>
        <w:lang w:val="ru-RU" w:eastAsia="ru-RU" w:bidi="ar-SA"/>
      </w:rPr>
      <mc:AlternateContent>
        <mc:Choice Requires="wps">
          <w:drawing>
            <wp:anchor distT="0" distB="0" distL="0" distR="0" simplePos="0" relativeHeight="62914692" behindDoc="1" locked="0" layoutInCell="1" allowOverlap="1">
              <wp:simplePos x="0" y="0"/>
              <wp:positionH relativeFrom="page">
                <wp:posOffset>1122045</wp:posOffset>
              </wp:positionH>
              <wp:positionV relativeFrom="page">
                <wp:posOffset>957580</wp:posOffset>
              </wp:positionV>
              <wp:extent cx="5471160" cy="137160"/>
              <wp:effectExtent l="0" t="0" r="0" b="0"/>
              <wp:wrapNone/>
              <wp:docPr id="3" name="Shape 3"/>
              <wp:cNvGraphicFramePr/>
              <a:graphic xmlns:a="http://schemas.openxmlformats.org/drawingml/2006/main">
                <a:graphicData uri="http://schemas.microsoft.com/office/word/2010/wordprocessingShape">
                  <wps:wsp>
                    <wps:cNvSpPr txBox="1"/>
                    <wps:spPr>
                      <a:xfrm>
                        <a:off x="0" y="0"/>
                        <a:ext cx="5471160" cy="137160"/>
                      </a:xfrm>
                      <a:prstGeom prst="rect">
                        <a:avLst/>
                      </a:prstGeom>
                      <a:noFill/>
                    </wps:spPr>
                    <wps:txbx>
                      <w:txbxContent>
                        <w:p w:rsidR="00A4351D" w:rsidRDefault="00094E8C">
                          <w:pPr>
                            <w:pStyle w:val="22"/>
                            <w:shd w:val="clear" w:color="auto" w:fill="auto"/>
                            <w:tabs>
                              <w:tab w:val="right" w:pos="8616"/>
                            </w:tabs>
                            <w:rPr>
                              <w:sz w:val="18"/>
                              <w:szCs w:val="18"/>
                            </w:rPr>
                          </w:pPr>
                          <w:r>
                            <w:rPr>
                              <w:rFonts w:ascii="Calibri" w:eastAsia="Calibri" w:hAnsi="Calibri" w:cs="Calibri"/>
                              <w:b/>
                              <w:bCs/>
                              <w:color w:val="5F778D"/>
                              <w:sz w:val="12"/>
                              <w:szCs w:val="12"/>
                            </w:rPr>
                            <w:t>PharmMCülKil lAboratorin S.A.</w:t>
                          </w:r>
                          <w:r>
                            <w:rPr>
                              <w:rFonts w:ascii="Calibri" w:eastAsia="Calibri" w:hAnsi="Calibri" w:cs="Calibri"/>
                              <w:b/>
                              <w:bCs/>
                              <w:color w:val="5F778D"/>
                              <w:sz w:val="12"/>
                              <w:szCs w:val="12"/>
                            </w:rPr>
                            <w:tab/>
                          </w:r>
                          <w:r>
                            <w:rPr>
                              <w:b/>
                              <w:bCs/>
                            </w:rPr>
                            <w:t xml:space="preserve">Paracetamol </w:t>
                          </w:r>
                          <w:r>
                            <w:rPr>
                              <w:b/>
                              <w:bCs/>
                              <w:i/>
                              <w:iCs/>
                            </w:rPr>
                            <w:t xml:space="preserve">Sol. </w:t>
                          </w:r>
                          <w:r>
                            <w:rPr>
                              <w:b/>
                              <w:bCs/>
                              <w:i/>
                              <w:iCs/>
                              <w:sz w:val="18"/>
                              <w:szCs w:val="18"/>
                            </w:rPr>
                            <w:t>iv. inf. 1g/6.7ml AMP.</w:t>
                          </w:r>
                        </w:p>
                      </w:txbxContent>
                    </wps:txbx>
                    <wps:bodyPr lIns="0" tIns="0" rIns="0" bIns="0">
                      <a:spAutoFit/>
                    </wps:bodyPr>
                  </wps:wsp>
                </a:graphicData>
              </a:graphic>
            </wp:anchor>
          </w:drawing>
        </mc:Choice>
        <mc:Fallback>
          <w:pict>
            <v:shape id="_x0000_s1029" type="#_x0000_t202" style="position:absolute;margin-left:88.349999999999994pt;margin-top:75.400000000000006pt;width:430.80000000000001pt;height:10.800000000000001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16" w:val="right"/>
                      </w:tabs>
                      <w:bidi w:val="0"/>
                      <w:spacing w:before="0" w:after="0" w:line="240" w:lineRule="auto"/>
                      <w:ind w:left="0" w:right="0" w:firstLine="0"/>
                      <w:jc w:val="left"/>
                      <w:rPr>
                        <w:sz w:val="18"/>
                        <w:szCs w:val="18"/>
                      </w:rPr>
                    </w:pPr>
                    <w:r>
                      <w:rPr>
                        <w:rFonts w:ascii="Calibri" w:eastAsia="Calibri" w:hAnsi="Calibri" w:cs="Calibri"/>
                        <w:b/>
                        <w:bCs/>
                        <w:color w:val="5F778D"/>
                        <w:spacing w:val="0"/>
                        <w:w w:val="100"/>
                        <w:position w:val="0"/>
                        <w:sz w:val="12"/>
                        <w:szCs w:val="12"/>
                        <w:shd w:val="clear" w:color="auto" w:fill="auto"/>
                      </w:rPr>
                      <w:t>PharmMCülKil lAboratorin S.A.</w:t>
                      <w:tab/>
                    </w:r>
                    <w:r>
                      <w:rPr>
                        <w:b/>
                        <w:bCs/>
                        <w:color w:val="000000"/>
                        <w:spacing w:val="0"/>
                        <w:w w:val="100"/>
                        <w:position w:val="0"/>
                        <w:sz w:val="20"/>
                        <w:szCs w:val="20"/>
                        <w:shd w:val="clear" w:color="auto" w:fill="auto"/>
                      </w:rPr>
                      <w:t xml:space="preserve">Paracetamol </w:t>
                    </w:r>
                    <w:r>
                      <w:rPr>
                        <w:b/>
                        <w:bCs/>
                        <w:i/>
                        <w:iCs/>
                        <w:color w:val="000000"/>
                        <w:spacing w:val="0"/>
                        <w:w w:val="100"/>
                        <w:position w:val="0"/>
                        <w:sz w:val="20"/>
                        <w:szCs w:val="20"/>
                        <w:shd w:val="clear" w:color="auto" w:fill="auto"/>
                      </w:rPr>
                      <w:t xml:space="preserve">Sol. </w:t>
                    </w:r>
                    <w:r>
                      <w:rPr>
                        <w:b/>
                        <w:bCs/>
                        <w:i/>
                        <w:iCs/>
                        <w:color w:val="000000"/>
                        <w:spacing w:val="0"/>
                        <w:w w:val="100"/>
                        <w:position w:val="0"/>
                        <w:sz w:val="18"/>
                        <w:szCs w:val="18"/>
                        <w:shd w:val="clear" w:color="auto" w:fill="auto"/>
                      </w:rPr>
                      <w:t>iv. inf. 1g/6.7ml AMP.</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7F2"/>
    <w:multiLevelType w:val="multilevel"/>
    <w:tmpl w:val="ADECE076"/>
    <w:lvl w:ilvl="0">
      <w:start w:val="3"/>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1A2F65"/>
    <w:multiLevelType w:val="multilevel"/>
    <w:tmpl w:val="E544FD5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E14B57"/>
    <w:multiLevelType w:val="multilevel"/>
    <w:tmpl w:val="3C108A0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FE3030"/>
    <w:multiLevelType w:val="multilevel"/>
    <w:tmpl w:val="C0A4FC7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C64A79"/>
    <w:multiLevelType w:val="multilevel"/>
    <w:tmpl w:val="9DEE250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C56DDC"/>
    <w:multiLevelType w:val="multilevel"/>
    <w:tmpl w:val="CCE299A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E310DFB"/>
    <w:multiLevelType w:val="multilevel"/>
    <w:tmpl w:val="0A28F27C"/>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36"/>
        <w:szCs w:val="3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7557B8"/>
    <w:multiLevelType w:val="multilevel"/>
    <w:tmpl w:val="F5C630C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7179F4"/>
    <w:multiLevelType w:val="multilevel"/>
    <w:tmpl w:val="BFD01DE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F72B2C"/>
    <w:multiLevelType w:val="multilevel"/>
    <w:tmpl w:val="E682B65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85A79F0"/>
    <w:multiLevelType w:val="multilevel"/>
    <w:tmpl w:val="6E02C4A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BEA1B9D"/>
    <w:multiLevelType w:val="multilevel"/>
    <w:tmpl w:val="F60CAAE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2D6EDB"/>
    <w:multiLevelType w:val="multilevel"/>
    <w:tmpl w:val="50F88E8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FC623D4"/>
    <w:multiLevelType w:val="multilevel"/>
    <w:tmpl w:val="5D22527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0D12C5B"/>
    <w:multiLevelType w:val="multilevel"/>
    <w:tmpl w:val="CFC43B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49B0581"/>
    <w:multiLevelType w:val="multilevel"/>
    <w:tmpl w:val="D11E046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95A2A91"/>
    <w:multiLevelType w:val="multilevel"/>
    <w:tmpl w:val="6D8E49C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DFB3373"/>
    <w:multiLevelType w:val="multilevel"/>
    <w:tmpl w:val="EDAA1EC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01C59A2"/>
    <w:multiLevelType w:val="multilevel"/>
    <w:tmpl w:val="B1C8CBE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98C7E0B"/>
    <w:multiLevelType w:val="multilevel"/>
    <w:tmpl w:val="961661E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E882C57"/>
    <w:multiLevelType w:val="multilevel"/>
    <w:tmpl w:val="71D456B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64511F8"/>
    <w:multiLevelType w:val="multilevel"/>
    <w:tmpl w:val="114AA5F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6C953E4"/>
    <w:multiLevelType w:val="multilevel"/>
    <w:tmpl w:val="17768D6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D946142"/>
    <w:multiLevelType w:val="multilevel"/>
    <w:tmpl w:val="DB06094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DEB680D"/>
    <w:multiLevelType w:val="multilevel"/>
    <w:tmpl w:val="2A2C323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F8E51D3"/>
    <w:multiLevelType w:val="multilevel"/>
    <w:tmpl w:val="A304573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6554008"/>
    <w:multiLevelType w:val="multilevel"/>
    <w:tmpl w:val="70C0062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7A9455E"/>
    <w:multiLevelType w:val="multilevel"/>
    <w:tmpl w:val="DD267B9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ABB7043"/>
    <w:multiLevelType w:val="multilevel"/>
    <w:tmpl w:val="F2683F5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E4D6F1D"/>
    <w:multiLevelType w:val="multilevel"/>
    <w:tmpl w:val="E90E6D0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E540BE2"/>
    <w:multiLevelType w:val="multilevel"/>
    <w:tmpl w:val="1FAA393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FBD2A5E"/>
    <w:multiLevelType w:val="multilevel"/>
    <w:tmpl w:val="4C6E71DA"/>
    <w:lvl w:ilvl="0">
      <w:start w:val="3"/>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3631612"/>
    <w:multiLevelType w:val="multilevel"/>
    <w:tmpl w:val="A55A11D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60E6F7C"/>
    <w:multiLevelType w:val="multilevel"/>
    <w:tmpl w:val="5EF8AF5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81829B3"/>
    <w:multiLevelType w:val="multilevel"/>
    <w:tmpl w:val="E16204B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EE637E6"/>
    <w:multiLevelType w:val="multilevel"/>
    <w:tmpl w:val="3E16479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F525C56"/>
    <w:multiLevelType w:val="multilevel"/>
    <w:tmpl w:val="0F8CBBEE"/>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0D44F01"/>
    <w:multiLevelType w:val="multilevel"/>
    <w:tmpl w:val="36D038F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1162885"/>
    <w:multiLevelType w:val="multilevel"/>
    <w:tmpl w:val="3C0E301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1372E10"/>
    <w:multiLevelType w:val="multilevel"/>
    <w:tmpl w:val="9B62634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251592D"/>
    <w:multiLevelType w:val="multilevel"/>
    <w:tmpl w:val="BD44737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28473E3"/>
    <w:multiLevelType w:val="multilevel"/>
    <w:tmpl w:val="230E35C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30E1DE6"/>
    <w:multiLevelType w:val="multilevel"/>
    <w:tmpl w:val="64BABCA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4496463"/>
    <w:multiLevelType w:val="multilevel"/>
    <w:tmpl w:val="F66E72C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67B2B25"/>
    <w:multiLevelType w:val="multilevel"/>
    <w:tmpl w:val="C8B2FBD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6817907"/>
    <w:multiLevelType w:val="multilevel"/>
    <w:tmpl w:val="CE60C12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84375AC"/>
    <w:multiLevelType w:val="multilevel"/>
    <w:tmpl w:val="4C36014A"/>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9447384"/>
    <w:multiLevelType w:val="multilevel"/>
    <w:tmpl w:val="9FC6EFC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BFB12C1"/>
    <w:multiLevelType w:val="multilevel"/>
    <w:tmpl w:val="54908B5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FB50947"/>
    <w:multiLevelType w:val="multilevel"/>
    <w:tmpl w:val="1F182D64"/>
    <w:lvl w:ilvl="0">
      <w:start w:val="3"/>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9"/>
  </w:num>
  <w:num w:numId="3">
    <w:abstractNumId w:val="39"/>
  </w:num>
  <w:num w:numId="4">
    <w:abstractNumId w:val="3"/>
  </w:num>
  <w:num w:numId="5">
    <w:abstractNumId w:val="38"/>
  </w:num>
  <w:num w:numId="6">
    <w:abstractNumId w:val="12"/>
  </w:num>
  <w:num w:numId="7">
    <w:abstractNumId w:val="8"/>
  </w:num>
  <w:num w:numId="8">
    <w:abstractNumId w:val="33"/>
  </w:num>
  <w:num w:numId="9">
    <w:abstractNumId w:val="25"/>
  </w:num>
  <w:num w:numId="10">
    <w:abstractNumId w:val="19"/>
  </w:num>
  <w:num w:numId="11">
    <w:abstractNumId w:val="5"/>
  </w:num>
  <w:num w:numId="12">
    <w:abstractNumId w:val="36"/>
  </w:num>
  <w:num w:numId="13">
    <w:abstractNumId w:val="14"/>
  </w:num>
  <w:num w:numId="14">
    <w:abstractNumId w:val="47"/>
  </w:num>
  <w:num w:numId="15">
    <w:abstractNumId w:val="44"/>
  </w:num>
  <w:num w:numId="16">
    <w:abstractNumId w:val="2"/>
  </w:num>
  <w:num w:numId="17">
    <w:abstractNumId w:val="22"/>
  </w:num>
  <w:num w:numId="18">
    <w:abstractNumId w:val="41"/>
  </w:num>
  <w:num w:numId="19">
    <w:abstractNumId w:val="11"/>
  </w:num>
  <w:num w:numId="20">
    <w:abstractNumId w:val="42"/>
  </w:num>
  <w:num w:numId="21">
    <w:abstractNumId w:val="20"/>
  </w:num>
  <w:num w:numId="22">
    <w:abstractNumId w:val="18"/>
  </w:num>
  <w:num w:numId="23">
    <w:abstractNumId w:val="32"/>
  </w:num>
  <w:num w:numId="24">
    <w:abstractNumId w:val="7"/>
  </w:num>
  <w:num w:numId="25">
    <w:abstractNumId w:val="48"/>
  </w:num>
  <w:num w:numId="26">
    <w:abstractNumId w:val="13"/>
  </w:num>
  <w:num w:numId="27">
    <w:abstractNumId w:val="35"/>
  </w:num>
  <w:num w:numId="28">
    <w:abstractNumId w:val="28"/>
  </w:num>
  <w:num w:numId="29">
    <w:abstractNumId w:val="46"/>
  </w:num>
  <w:num w:numId="30">
    <w:abstractNumId w:val="43"/>
  </w:num>
  <w:num w:numId="31">
    <w:abstractNumId w:val="27"/>
  </w:num>
  <w:num w:numId="32">
    <w:abstractNumId w:val="30"/>
  </w:num>
  <w:num w:numId="33">
    <w:abstractNumId w:val="21"/>
  </w:num>
  <w:num w:numId="34">
    <w:abstractNumId w:val="17"/>
  </w:num>
  <w:num w:numId="35">
    <w:abstractNumId w:val="37"/>
  </w:num>
  <w:num w:numId="36">
    <w:abstractNumId w:val="45"/>
  </w:num>
  <w:num w:numId="37">
    <w:abstractNumId w:val="10"/>
  </w:num>
  <w:num w:numId="38">
    <w:abstractNumId w:val="24"/>
  </w:num>
  <w:num w:numId="39">
    <w:abstractNumId w:val="9"/>
  </w:num>
  <w:num w:numId="40">
    <w:abstractNumId w:val="1"/>
  </w:num>
  <w:num w:numId="41">
    <w:abstractNumId w:val="34"/>
  </w:num>
  <w:num w:numId="42">
    <w:abstractNumId w:val="4"/>
  </w:num>
  <w:num w:numId="43">
    <w:abstractNumId w:val="26"/>
  </w:num>
  <w:num w:numId="44">
    <w:abstractNumId w:val="31"/>
  </w:num>
  <w:num w:numId="45">
    <w:abstractNumId w:val="16"/>
  </w:num>
  <w:num w:numId="46">
    <w:abstractNumId w:val="6"/>
  </w:num>
  <w:num w:numId="47">
    <w:abstractNumId w:val="15"/>
  </w:num>
  <w:num w:numId="48">
    <w:abstractNumId w:val="40"/>
  </w:num>
  <w:num w:numId="49">
    <w:abstractNumId w:val="23"/>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
  <w:rsids>
    <w:rsidRoot w:val="00A4351D"/>
    <w:rsid w:val="00094E8C"/>
    <w:rsid w:val="00A43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Заголовок №2_"/>
    <w:basedOn w:val="a0"/>
    <w:link w:val="20"/>
    <w:rPr>
      <w:rFonts w:ascii="Times New Roman" w:eastAsia="Times New Roman" w:hAnsi="Times New Roman" w:cs="Times New Roman"/>
      <w:b/>
      <w:bCs/>
      <w:i/>
      <w:iCs/>
      <w:smallCaps w:val="0"/>
      <w:strike w:val="0"/>
      <w:sz w:val="28"/>
      <w:szCs w:val="28"/>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fr-FR" w:eastAsia="fr-FR" w:bidi="fr-FR"/>
    </w:rPr>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a4">
    <w:name w:val="Подпись к таблице_"/>
    <w:basedOn w:val="a0"/>
    <w:link w:val="a5"/>
    <w:rPr>
      <w:rFonts w:ascii="Times New Roman" w:eastAsia="Times New Roman" w:hAnsi="Times New Roman" w:cs="Times New Roman"/>
      <w:b w:val="0"/>
      <w:bCs w:val="0"/>
      <w:i w:val="0"/>
      <w:iCs w:val="0"/>
      <w:smallCaps w:val="0"/>
      <w:strike w:val="0"/>
      <w:u w:val="none"/>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u w:val="none"/>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u w:val="non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28"/>
      <w:szCs w:val="28"/>
      <w:u w:val="none"/>
      <w:lang w:val="fr-FR" w:eastAsia="fr-FR" w:bidi="fr-FR"/>
    </w:rPr>
  </w:style>
  <w:style w:type="paragraph" w:customStyle="1" w:styleId="20">
    <w:name w:val="Заголовок №2"/>
    <w:basedOn w:val="a"/>
    <w:link w:val="2"/>
    <w:pPr>
      <w:shd w:val="clear" w:color="auto" w:fill="FFFFFF"/>
      <w:spacing w:after="300"/>
      <w:ind w:firstLine="840"/>
      <w:outlineLvl w:val="1"/>
    </w:pPr>
    <w:rPr>
      <w:rFonts w:ascii="Times New Roman" w:eastAsia="Times New Roman" w:hAnsi="Times New Roman" w:cs="Times New Roman"/>
      <w:b/>
      <w:bCs/>
      <w:i/>
      <w:iCs/>
      <w:sz w:val="28"/>
      <w:szCs w:val="28"/>
    </w:rPr>
  </w:style>
  <w:style w:type="paragraph" w:customStyle="1" w:styleId="22">
    <w:name w:val="Колонтитул (2)"/>
    <w:basedOn w:val="a"/>
    <w:link w:val="21"/>
    <w:pPr>
      <w:shd w:val="clear" w:color="auto" w:fill="FFFFFF"/>
    </w:pPr>
    <w:rPr>
      <w:rFonts w:ascii="Times New Roman" w:eastAsia="Times New Roman" w:hAnsi="Times New Roman" w:cs="Times New Roman"/>
      <w:sz w:val="20"/>
      <w:szCs w:val="20"/>
      <w:lang w:val="fr-FR" w:eastAsia="fr-FR" w:bidi="fr-FR"/>
    </w:rPr>
  </w:style>
  <w:style w:type="paragraph" w:customStyle="1" w:styleId="1">
    <w:name w:val="Основной текст1"/>
    <w:basedOn w:val="a"/>
    <w:link w:val="a3"/>
    <w:pPr>
      <w:shd w:val="clear" w:color="auto" w:fill="FFFFFF"/>
      <w:spacing w:line="360" w:lineRule="auto"/>
    </w:pPr>
    <w:rPr>
      <w:rFonts w:ascii="Times New Roman" w:eastAsia="Times New Roman" w:hAnsi="Times New Roman" w:cs="Times New Roman"/>
    </w:rPr>
  </w:style>
  <w:style w:type="paragraph" w:customStyle="1" w:styleId="a5">
    <w:name w:val="Подпись к таблице"/>
    <w:basedOn w:val="a"/>
    <w:link w:val="a4"/>
    <w:pPr>
      <w:shd w:val="clear" w:color="auto" w:fill="FFFFFF"/>
    </w:pPr>
    <w:rPr>
      <w:rFonts w:ascii="Times New Roman" w:eastAsia="Times New Roman" w:hAnsi="Times New Roman" w:cs="Times New Roman"/>
    </w:rPr>
  </w:style>
  <w:style w:type="paragraph" w:customStyle="1" w:styleId="a7">
    <w:name w:val="Другое"/>
    <w:basedOn w:val="a"/>
    <w:link w:val="a6"/>
    <w:pPr>
      <w:shd w:val="clear" w:color="auto" w:fill="FFFFFF"/>
      <w:spacing w:line="360" w:lineRule="auto"/>
    </w:pPr>
    <w:rPr>
      <w:rFonts w:ascii="Times New Roman" w:eastAsia="Times New Roman" w:hAnsi="Times New Roman" w:cs="Times New Roman"/>
    </w:rPr>
  </w:style>
  <w:style w:type="paragraph" w:customStyle="1" w:styleId="30">
    <w:name w:val="Заголовок №3"/>
    <w:basedOn w:val="a"/>
    <w:link w:val="3"/>
    <w:pPr>
      <w:shd w:val="clear" w:color="auto" w:fill="FFFFFF"/>
      <w:spacing w:line="360" w:lineRule="auto"/>
      <w:outlineLvl w:val="2"/>
    </w:pPr>
    <w:rPr>
      <w:rFonts w:ascii="Times New Roman" w:eastAsia="Times New Roman" w:hAnsi="Times New Roman" w:cs="Times New Roman"/>
      <w:b/>
      <w:bCs/>
    </w:rPr>
  </w:style>
  <w:style w:type="paragraph" w:customStyle="1" w:styleId="11">
    <w:name w:val="Заголовок №1"/>
    <w:basedOn w:val="a"/>
    <w:link w:val="10"/>
    <w:pPr>
      <w:shd w:val="clear" w:color="auto" w:fill="FFFFFF"/>
      <w:spacing w:after="300"/>
      <w:outlineLvl w:val="0"/>
    </w:pPr>
    <w:rPr>
      <w:rFonts w:ascii="Times New Roman" w:eastAsia="Times New Roman" w:hAnsi="Times New Roman" w:cs="Times New Roman"/>
      <w:b/>
      <w:bCs/>
      <w:sz w:val="28"/>
      <w:szCs w:val="28"/>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Заголовок №2_"/>
    <w:basedOn w:val="a0"/>
    <w:link w:val="20"/>
    <w:rPr>
      <w:rFonts w:ascii="Times New Roman" w:eastAsia="Times New Roman" w:hAnsi="Times New Roman" w:cs="Times New Roman"/>
      <w:b/>
      <w:bCs/>
      <w:i/>
      <w:iCs/>
      <w:smallCaps w:val="0"/>
      <w:strike w:val="0"/>
      <w:sz w:val="28"/>
      <w:szCs w:val="28"/>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fr-FR" w:eastAsia="fr-FR" w:bidi="fr-FR"/>
    </w:rPr>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a4">
    <w:name w:val="Подпись к таблице_"/>
    <w:basedOn w:val="a0"/>
    <w:link w:val="a5"/>
    <w:rPr>
      <w:rFonts w:ascii="Times New Roman" w:eastAsia="Times New Roman" w:hAnsi="Times New Roman" w:cs="Times New Roman"/>
      <w:b w:val="0"/>
      <w:bCs w:val="0"/>
      <w:i w:val="0"/>
      <w:iCs w:val="0"/>
      <w:smallCaps w:val="0"/>
      <w:strike w:val="0"/>
      <w:u w:val="none"/>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u w:val="none"/>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u w:val="non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28"/>
      <w:szCs w:val="28"/>
      <w:u w:val="none"/>
      <w:lang w:val="fr-FR" w:eastAsia="fr-FR" w:bidi="fr-FR"/>
    </w:rPr>
  </w:style>
  <w:style w:type="paragraph" w:customStyle="1" w:styleId="20">
    <w:name w:val="Заголовок №2"/>
    <w:basedOn w:val="a"/>
    <w:link w:val="2"/>
    <w:pPr>
      <w:shd w:val="clear" w:color="auto" w:fill="FFFFFF"/>
      <w:spacing w:after="300"/>
      <w:ind w:firstLine="840"/>
      <w:outlineLvl w:val="1"/>
    </w:pPr>
    <w:rPr>
      <w:rFonts w:ascii="Times New Roman" w:eastAsia="Times New Roman" w:hAnsi="Times New Roman" w:cs="Times New Roman"/>
      <w:b/>
      <w:bCs/>
      <w:i/>
      <w:iCs/>
      <w:sz w:val="28"/>
      <w:szCs w:val="28"/>
    </w:rPr>
  </w:style>
  <w:style w:type="paragraph" w:customStyle="1" w:styleId="22">
    <w:name w:val="Колонтитул (2)"/>
    <w:basedOn w:val="a"/>
    <w:link w:val="21"/>
    <w:pPr>
      <w:shd w:val="clear" w:color="auto" w:fill="FFFFFF"/>
    </w:pPr>
    <w:rPr>
      <w:rFonts w:ascii="Times New Roman" w:eastAsia="Times New Roman" w:hAnsi="Times New Roman" w:cs="Times New Roman"/>
      <w:sz w:val="20"/>
      <w:szCs w:val="20"/>
      <w:lang w:val="fr-FR" w:eastAsia="fr-FR" w:bidi="fr-FR"/>
    </w:rPr>
  </w:style>
  <w:style w:type="paragraph" w:customStyle="1" w:styleId="1">
    <w:name w:val="Основной текст1"/>
    <w:basedOn w:val="a"/>
    <w:link w:val="a3"/>
    <w:pPr>
      <w:shd w:val="clear" w:color="auto" w:fill="FFFFFF"/>
      <w:spacing w:line="360" w:lineRule="auto"/>
    </w:pPr>
    <w:rPr>
      <w:rFonts w:ascii="Times New Roman" w:eastAsia="Times New Roman" w:hAnsi="Times New Roman" w:cs="Times New Roman"/>
    </w:rPr>
  </w:style>
  <w:style w:type="paragraph" w:customStyle="1" w:styleId="a5">
    <w:name w:val="Подпись к таблице"/>
    <w:basedOn w:val="a"/>
    <w:link w:val="a4"/>
    <w:pPr>
      <w:shd w:val="clear" w:color="auto" w:fill="FFFFFF"/>
    </w:pPr>
    <w:rPr>
      <w:rFonts w:ascii="Times New Roman" w:eastAsia="Times New Roman" w:hAnsi="Times New Roman" w:cs="Times New Roman"/>
    </w:rPr>
  </w:style>
  <w:style w:type="paragraph" w:customStyle="1" w:styleId="a7">
    <w:name w:val="Другое"/>
    <w:basedOn w:val="a"/>
    <w:link w:val="a6"/>
    <w:pPr>
      <w:shd w:val="clear" w:color="auto" w:fill="FFFFFF"/>
      <w:spacing w:line="360" w:lineRule="auto"/>
    </w:pPr>
    <w:rPr>
      <w:rFonts w:ascii="Times New Roman" w:eastAsia="Times New Roman" w:hAnsi="Times New Roman" w:cs="Times New Roman"/>
    </w:rPr>
  </w:style>
  <w:style w:type="paragraph" w:customStyle="1" w:styleId="30">
    <w:name w:val="Заголовок №3"/>
    <w:basedOn w:val="a"/>
    <w:link w:val="3"/>
    <w:pPr>
      <w:shd w:val="clear" w:color="auto" w:fill="FFFFFF"/>
      <w:spacing w:line="360" w:lineRule="auto"/>
      <w:outlineLvl w:val="2"/>
    </w:pPr>
    <w:rPr>
      <w:rFonts w:ascii="Times New Roman" w:eastAsia="Times New Roman" w:hAnsi="Times New Roman" w:cs="Times New Roman"/>
      <w:b/>
      <w:bCs/>
    </w:rPr>
  </w:style>
  <w:style w:type="paragraph" w:customStyle="1" w:styleId="11">
    <w:name w:val="Заголовок №1"/>
    <w:basedOn w:val="a"/>
    <w:link w:val="10"/>
    <w:pPr>
      <w:shd w:val="clear" w:color="auto" w:fill="FFFFFF"/>
      <w:spacing w:after="300"/>
      <w:outlineLvl w:val="0"/>
    </w:pPr>
    <w:rPr>
      <w:rFonts w:ascii="Times New Roman" w:eastAsia="Times New Roman" w:hAnsi="Times New Roman" w:cs="Times New Roman"/>
      <w:b/>
      <w:bCs/>
      <w:sz w:val="28"/>
      <w:szCs w:val="28"/>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6983</Words>
  <Characters>39753</Characters>
  <Application>Microsoft Office Word</Application>
  <DocSecurity>0</DocSecurity>
  <Lines>1174</Lines>
  <Paragraphs>739</Paragraphs>
  <ScaleCrop>false</ScaleCrop>
  <Company/>
  <LinksUpToDate>false</LinksUpToDate>
  <CharactersWithSpaces>45983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ACNODERM-AZELAIC ACID  cr</dc:title>
  <dc:subject/>
  <dc:creator>Ψαρράκης Γιάννης</dc:creator>
  <cp:keywords/>
  <cp:lastModifiedBy>Пользователь Windows</cp:lastModifiedBy>
  <cp:revision>2</cp:revision>
  <dcterms:created xsi:type="dcterms:W3CDTF">2024-09-26T12:34:00Z</dcterms:created>
  <dcterms:modified xsi:type="dcterms:W3CDTF">2024-09-26T12:34:00Z</dcterms:modified>
</cp:coreProperties>
</file>