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AA" w:rsidRPr="00B871AA" w:rsidRDefault="00B418B0" w:rsidP="00B871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Reflection </w:t>
      </w:r>
      <w:bookmarkStart w:id="0" w:name="_GoBack"/>
      <w:bookmarkEnd w:id="0"/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For this system, we chose design patterns that best matched the core requirements. The Singleton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pattern ensures a single Event</w:t>
      </w:r>
      <w:r w:rsidRPr="00B871AA">
        <w:rPr>
          <w:sz w:val="24"/>
          <w:szCs w:val="24"/>
        </w:rPr>
        <w:t xml:space="preserve"> </w:t>
      </w:r>
      <w:r w:rsidRPr="00B871AA">
        <w:rPr>
          <w:sz w:val="24"/>
          <w:szCs w:val="24"/>
        </w:rPr>
        <w:t>Manager handles all events, simplifying multiple simultaneous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registrations. The Observer pattern allows users to receive instant updates, the Factory pattern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creates different notification types, the Strategy pattern supports AI suggestions, and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Command/Logging logs all actions efficiently.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The main tradeoff was balancing simplicity vs. scalability. Using patterns keeps the design clear and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maintainable, but very high user loads may need extra optimization. Concurrency is addressed with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locks to avoid double-booking. Ethical considerations like user privacy were applied in notifications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and logging. AI suggested Observer for real-time updates, which we adapted for efficiency.</w:t>
      </w:r>
    </w:p>
    <w:p w:rsidR="00B871AA" w:rsidRPr="00B871AA" w:rsidRDefault="00B871AA" w:rsidP="00B871AA">
      <w:pPr>
        <w:rPr>
          <w:b/>
          <w:sz w:val="24"/>
          <w:szCs w:val="24"/>
        </w:rPr>
      </w:pPr>
      <w:r w:rsidRPr="00B871AA">
        <w:rPr>
          <w:b/>
          <w:sz w:val="24"/>
          <w:szCs w:val="24"/>
        </w:rPr>
        <w:t>Conclusion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This design models both static structure and dynamic behavior of a community event app. Patterns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ensure maintainability, concurrency is handled, and real-time updates work effectively. It meets the</w:t>
      </w:r>
    </w:p>
    <w:p w:rsidR="00B871AA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assignment objectives, demonstrates ethical data handling, and provides a clear foundation for</w:t>
      </w:r>
    </w:p>
    <w:p w:rsidR="00301014" w:rsidRPr="00B871AA" w:rsidRDefault="00B871AA" w:rsidP="00B871AA">
      <w:pPr>
        <w:rPr>
          <w:sz w:val="24"/>
          <w:szCs w:val="24"/>
        </w:rPr>
      </w:pPr>
      <w:r w:rsidRPr="00B871AA">
        <w:rPr>
          <w:sz w:val="24"/>
          <w:szCs w:val="24"/>
        </w:rPr>
        <w:t>implementation.</w:t>
      </w:r>
    </w:p>
    <w:sectPr w:rsidR="00301014" w:rsidRPr="00B87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26"/>
    <w:rsid w:val="00301014"/>
    <w:rsid w:val="00B418B0"/>
    <w:rsid w:val="00B871AA"/>
    <w:rsid w:val="00D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1720"/>
  <w15:chartTrackingRefBased/>
  <w15:docId w15:val="{4EDFC826-70F1-4072-82D1-3C89A58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Zing</dc:creator>
  <cp:keywords/>
  <dc:description/>
  <cp:lastModifiedBy>Francis Zing</cp:lastModifiedBy>
  <cp:revision>2</cp:revision>
  <dcterms:created xsi:type="dcterms:W3CDTF">2025-10-07T03:31:00Z</dcterms:created>
  <dcterms:modified xsi:type="dcterms:W3CDTF">2025-10-07T03:31:00Z</dcterms:modified>
</cp:coreProperties>
</file>