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7816" w14:textId="77777777" w:rsidR="002556F3" w:rsidRDefault="00000000">
      <w:pPr>
        <w:spacing w:after="60"/>
        <w:jc w:val="center"/>
      </w:pPr>
      <w:r>
        <w:rPr>
          <w:b/>
          <w:bCs/>
          <w:color w:val="1A3D2B"/>
          <w:sz w:val="36"/>
          <w:szCs w:val="36"/>
        </w:rPr>
        <w:t>Technical Documentation</w:t>
      </w:r>
    </w:p>
    <w:p w14:paraId="50F08D6D" w14:textId="77777777" w:rsidR="002556F3" w:rsidRDefault="00000000">
      <w:pPr>
        <w:spacing w:after="60"/>
        <w:jc w:val="center"/>
      </w:pPr>
      <w:r>
        <w:rPr>
          <w:b/>
          <w:bCs/>
          <w:color w:val="2D6A4F"/>
          <w:sz w:val="26"/>
          <w:szCs w:val="26"/>
        </w:rPr>
        <w:t>One Acre Fund SMS Repayment Trial Analysis</w:t>
      </w:r>
    </w:p>
    <w:p w14:paraId="376E7999" w14:textId="4CBC6960" w:rsidR="002556F3" w:rsidRDefault="00000000">
      <w:pPr>
        <w:spacing w:after="240"/>
        <w:jc w:val="center"/>
      </w:pPr>
      <w:r>
        <w:rPr>
          <w:i/>
          <w:iCs/>
          <w:color w:val="555555"/>
          <w:sz w:val="20"/>
          <w:szCs w:val="20"/>
        </w:rPr>
        <w:t>Notebook: One</w:t>
      </w:r>
      <w:r w:rsidR="00CA4AA0">
        <w:rPr>
          <w:i/>
          <w:iCs/>
          <w:color w:val="555555"/>
          <w:sz w:val="20"/>
          <w:szCs w:val="20"/>
        </w:rPr>
        <w:t xml:space="preserve"> </w:t>
      </w:r>
      <w:r>
        <w:rPr>
          <w:i/>
          <w:iCs/>
          <w:color w:val="555555"/>
          <w:sz w:val="20"/>
          <w:szCs w:val="20"/>
        </w:rPr>
        <w:t>Acre</w:t>
      </w:r>
      <w:r w:rsidR="00CA4AA0">
        <w:rPr>
          <w:i/>
          <w:iCs/>
          <w:color w:val="555555"/>
          <w:sz w:val="20"/>
          <w:szCs w:val="20"/>
        </w:rPr>
        <w:t xml:space="preserve"> </w:t>
      </w:r>
      <w:r>
        <w:rPr>
          <w:i/>
          <w:iCs/>
          <w:color w:val="555555"/>
          <w:sz w:val="20"/>
          <w:szCs w:val="20"/>
        </w:rPr>
        <w:t>Assessment.ipynb  |  May 2026</w:t>
      </w:r>
    </w:p>
    <w:p w14:paraId="243BA4BF" w14:textId="77777777" w:rsidR="002556F3" w:rsidRDefault="00000000">
      <w:pPr>
        <w:pStyle w:val="Heading1"/>
      </w:pPr>
      <w:r>
        <w:t>1. Project Overview</w:t>
      </w:r>
    </w:p>
    <w:p w14:paraId="1F2BF5C7" w14:textId="77777777" w:rsidR="002556F3" w:rsidRDefault="00000000">
      <w:pPr>
        <w:spacing w:before="60" w:after="80"/>
        <w:jc w:val="both"/>
      </w:pPr>
      <w:r>
        <w:t>This notebook implements a randomised control trial (RCT) analysis evaluating whether SMS messages increase loan repayment qualification rates among One Acre Fund farmers. The analysis progresses through data ingestion, cleaning and validation, balance testing, treatment effect estimation, subgroup heterogeneity analysis, and scale projection.</w:t>
      </w:r>
    </w:p>
    <w:p w14:paraId="74808438" w14:textId="77777777" w:rsidR="002556F3" w:rsidRDefault="002556F3">
      <w:pPr>
        <w:spacing w:before="80" w:after="80"/>
      </w:pPr>
    </w:p>
    <w:p w14:paraId="015D49A4" w14:textId="77777777" w:rsidR="002556F3" w:rsidRDefault="00000000">
      <w:pPr>
        <w:pStyle w:val="Heading1"/>
      </w:pPr>
      <w:r>
        <w:t>2. Data Description</w:t>
      </w:r>
    </w:p>
    <w:p w14:paraId="72DEBE44" w14:textId="77777777" w:rsidR="002556F3" w:rsidRDefault="00000000">
      <w:pPr>
        <w:pStyle w:val="Heading2"/>
      </w:pPr>
      <w:r>
        <w:t>2.1 Source</w:t>
      </w:r>
    </w:p>
    <w:p w14:paraId="66361E8E" w14:textId="77777777" w:rsidR="002556F3" w:rsidRDefault="00000000">
      <w:pPr>
        <w:spacing w:before="60" w:after="80"/>
      </w:pPr>
      <w:r>
        <w:t>File: OAF/Data Analyst and Automation Specialist Exercise R1.csv</w:t>
      </w:r>
    </w:p>
    <w:p w14:paraId="453F0986" w14:textId="77777777" w:rsidR="002556F3" w:rsidRDefault="00000000">
      <w:pPr>
        <w:spacing w:before="60" w:after="80"/>
      </w:pPr>
      <w:r>
        <w:t>Dimensions after cleaning: 462,885 rows, multiple columns including ClientID, MainTreatment, Treated, Qualified, QualifiedDec15, TotalCredit, TotalEnrolledSeasons, TotalPaidNov20, GroupLeader, Qualified2017, QualifiedBeforeTrial, MentionedDeadline, RemainingAmount, LastReminder.</w:t>
      </w:r>
    </w:p>
    <w:p w14:paraId="1E5D2EA7" w14:textId="77777777" w:rsidR="002556F3" w:rsidRDefault="002556F3">
      <w:pPr>
        <w:spacing w:before="80" w:after="80"/>
      </w:pPr>
    </w:p>
    <w:p w14:paraId="77D36F64" w14:textId="77777777" w:rsidR="002556F3" w:rsidRDefault="00000000">
      <w:pPr>
        <w:pStyle w:val="Heading2"/>
      </w:pPr>
      <w:r>
        <w:t>2.2 Treatment Arms</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3758"/>
        <w:gridCol w:w="2104"/>
        <w:gridCol w:w="1743"/>
      </w:tblGrid>
      <w:tr w:rsidR="002556F3" w14:paraId="5C9D5631" w14:textId="77777777" w:rsidTr="00CA4AA0">
        <w:tblPrEx>
          <w:tblCellMar>
            <w:top w:w="0" w:type="dxa"/>
            <w:bottom w:w="0" w:type="dxa"/>
          </w:tblCellMar>
        </w:tblPrEx>
        <w:trPr>
          <w:trHeight w:val="230"/>
          <w:tblHeader/>
        </w:trPr>
        <w:tc>
          <w:tcPr>
            <w:tcW w:w="1954" w:type="dxa"/>
            <w:tcBorders>
              <w:top w:val="single" w:sz="1" w:space="0" w:color="1A3D2B"/>
              <w:left w:val="single" w:sz="1" w:space="0" w:color="1A3D2B"/>
              <w:bottom w:val="single" w:sz="1" w:space="0" w:color="1A3D2B"/>
              <w:right w:val="single" w:sz="1" w:space="0" w:color="1A3D2B"/>
            </w:tcBorders>
            <w:shd w:val="clear" w:color="auto" w:fill="1A3D2B"/>
            <w:tcMar>
              <w:top w:w="80" w:type="dxa"/>
              <w:left w:w="120" w:type="dxa"/>
              <w:bottom w:w="80" w:type="dxa"/>
              <w:right w:w="120" w:type="dxa"/>
            </w:tcMar>
          </w:tcPr>
          <w:p w14:paraId="05654E69" w14:textId="77777777" w:rsidR="002556F3" w:rsidRDefault="00000000">
            <w:r>
              <w:rPr>
                <w:b/>
                <w:bCs/>
                <w:color w:val="FFFFFF"/>
                <w:sz w:val="20"/>
                <w:szCs w:val="20"/>
              </w:rPr>
              <w:t>Arm</w:t>
            </w:r>
          </w:p>
        </w:tc>
        <w:tc>
          <w:tcPr>
            <w:tcW w:w="3758" w:type="dxa"/>
            <w:tcBorders>
              <w:top w:val="single" w:sz="1" w:space="0" w:color="1A3D2B"/>
              <w:left w:val="single" w:sz="1" w:space="0" w:color="1A3D2B"/>
              <w:bottom w:val="single" w:sz="1" w:space="0" w:color="1A3D2B"/>
              <w:right w:val="single" w:sz="1" w:space="0" w:color="1A3D2B"/>
            </w:tcBorders>
            <w:shd w:val="clear" w:color="auto" w:fill="1A3D2B"/>
            <w:tcMar>
              <w:top w:w="80" w:type="dxa"/>
              <w:left w:w="120" w:type="dxa"/>
              <w:bottom w:w="80" w:type="dxa"/>
              <w:right w:w="120" w:type="dxa"/>
            </w:tcMar>
          </w:tcPr>
          <w:p w14:paraId="1A7DC805" w14:textId="77777777" w:rsidR="002556F3" w:rsidRDefault="00000000">
            <w:r>
              <w:rPr>
                <w:b/>
                <w:bCs/>
                <w:color w:val="FFFFFF"/>
                <w:sz w:val="20"/>
                <w:szCs w:val="20"/>
              </w:rPr>
              <w:t>Description</w:t>
            </w:r>
          </w:p>
        </w:tc>
        <w:tc>
          <w:tcPr>
            <w:tcW w:w="2104" w:type="dxa"/>
            <w:tcBorders>
              <w:top w:val="single" w:sz="1" w:space="0" w:color="1A3D2B"/>
              <w:left w:val="single" w:sz="1" w:space="0" w:color="1A3D2B"/>
              <w:bottom w:val="single" w:sz="1" w:space="0" w:color="1A3D2B"/>
              <w:right w:val="single" w:sz="1" w:space="0" w:color="1A3D2B"/>
            </w:tcBorders>
            <w:shd w:val="clear" w:color="auto" w:fill="1A3D2B"/>
            <w:tcMar>
              <w:top w:w="80" w:type="dxa"/>
              <w:left w:w="120" w:type="dxa"/>
              <w:bottom w:w="80" w:type="dxa"/>
              <w:right w:w="120" w:type="dxa"/>
            </w:tcMar>
          </w:tcPr>
          <w:p w14:paraId="666F324B" w14:textId="77777777" w:rsidR="002556F3" w:rsidRDefault="00000000">
            <w:r>
              <w:rPr>
                <w:b/>
                <w:bCs/>
                <w:color w:val="FFFFFF"/>
                <w:sz w:val="20"/>
                <w:szCs w:val="20"/>
              </w:rPr>
              <w:t>n (approx)</w:t>
            </w:r>
          </w:p>
        </w:tc>
        <w:tc>
          <w:tcPr>
            <w:tcW w:w="1743" w:type="dxa"/>
            <w:tcBorders>
              <w:top w:val="single" w:sz="1" w:space="0" w:color="1A3D2B"/>
              <w:left w:val="single" w:sz="1" w:space="0" w:color="1A3D2B"/>
              <w:bottom w:val="single" w:sz="1" w:space="0" w:color="1A3D2B"/>
              <w:right w:val="single" w:sz="1" w:space="0" w:color="1A3D2B"/>
            </w:tcBorders>
            <w:shd w:val="clear" w:color="auto" w:fill="1A3D2B"/>
            <w:tcMar>
              <w:top w:w="80" w:type="dxa"/>
              <w:left w:w="120" w:type="dxa"/>
              <w:bottom w:w="80" w:type="dxa"/>
              <w:right w:w="120" w:type="dxa"/>
            </w:tcMar>
          </w:tcPr>
          <w:p w14:paraId="52E95637" w14:textId="77777777" w:rsidR="002556F3" w:rsidRDefault="00000000">
            <w:r>
              <w:rPr>
                <w:b/>
                <w:bCs/>
                <w:color w:val="FFFFFF"/>
                <w:sz w:val="20"/>
                <w:szCs w:val="20"/>
              </w:rPr>
              <w:t>% of total</w:t>
            </w:r>
          </w:p>
        </w:tc>
      </w:tr>
      <w:tr w:rsidR="002556F3" w14:paraId="36C8CED3" w14:textId="77777777" w:rsidTr="00CA4AA0">
        <w:tblPrEx>
          <w:tblCellMar>
            <w:top w:w="0" w:type="dxa"/>
            <w:bottom w:w="0" w:type="dxa"/>
          </w:tblCellMar>
        </w:tblPrEx>
        <w:trPr>
          <w:trHeight w:val="230"/>
        </w:trPr>
        <w:tc>
          <w:tcPr>
            <w:tcW w:w="195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1B008A51" w14:textId="77777777" w:rsidR="002556F3" w:rsidRDefault="00000000">
            <w:r>
              <w:rPr>
                <w:sz w:val="20"/>
                <w:szCs w:val="20"/>
              </w:rPr>
              <w:t>Control (0)</w:t>
            </w:r>
          </w:p>
        </w:tc>
        <w:tc>
          <w:tcPr>
            <w:tcW w:w="3758"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7EC70A35" w14:textId="77777777" w:rsidR="002556F3" w:rsidRDefault="00000000">
            <w:r>
              <w:rPr>
                <w:sz w:val="20"/>
                <w:szCs w:val="20"/>
              </w:rPr>
              <w:t>No SMS sent</w:t>
            </w:r>
          </w:p>
        </w:tc>
        <w:tc>
          <w:tcPr>
            <w:tcW w:w="210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34DF89B7" w14:textId="77777777" w:rsidR="002556F3" w:rsidRDefault="00000000">
            <w:r>
              <w:rPr>
                <w:sz w:val="20"/>
                <w:szCs w:val="20"/>
              </w:rPr>
              <w:t>154,244</w:t>
            </w:r>
          </w:p>
        </w:tc>
        <w:tc>
          <w:tcPr>
            <w:tcW w:w="1743"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7EB3120F" w14:textId="77777777" w:rsidR="002556F3" w:rsidRDefault="00000000">
            <w:r>
              <w:rPr>
                <w:sz w:val="20"/>
                <w:szCs w:val="20"/>
              </w:rPr>
              <w:t>33.3%</w:t>
            </w:r>
          </w:p>
        </w:tc>
      </w:tr>
      <w:tr w:rsidR="002556F3" w14:paraId="03675129" w14:textId="77777777" w:rsidTr="00CA4AA0">
        <w:tblPrEx>
          <w:tblCellMar>
            <w:top w:w="0" w:type="dxa"/>
            <w:bottom w:w="0" w:type="dxa"/>
          </w:tblCellMar>
        </w:tblPrEx>
        <w:trPr>
          <w:trHeight w:val="477"/>
        </w:trPr>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346A" w14:textId="77777777" w:rsidR="002556F3" w:rsidRDefault="00000000">
            <w:r>
              <w:rPr>
                <w:sz w:val="20"/>
                <w:szCs w:val="20"/>
              </w:rPr>
              <w:t>T1 Basic</w:t>
            </w:r>
          </w:p>
        </w:tc>
        <w:tc>
          <w:tcPr>
            <w:tcW w:w="3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EB674" w14:textId="77777777" w:rsidR="002556F3" w:rsidRDefault="00000000">
            <w:r>
              <w:rPr>
                <w:sz w:val="20"/>
                <w:szCs w:val="20"/>
              </w:rPr>
              <w:t>Basic repayment reminder</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A41DB" w14:textId="77777777" w:rsidR="002556F3" w:rsidRDefault="00000000">
            <w:r>
              <w:rPr>
                <w:sz w:val="20"/>
                <w:szCs w:val="20"/>
              </w:rPr>
              <w:t>38,430</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D2D80" w14:textId="77777777" w:rsidR="002556F3" w:rsidRDefault="00000000">
            <w:r>
              <w:rPr>
                <w:sz w:val="20"/>
                <w:szCs w:val="20"/>
              </w:rPr>
              <w:t>8.3%</w:t>
            </w:r>
          </w:p>
        </w:tc>
      </w:tr>
      <w:tr w:rsidR="002556F3" w14:paraId="196682C2" w14:textId="77777777" w:rsidTr="00CA4AA0">
        <w:tblPrEx>
          <w:tblCellMar>
            <w:top w:w="0" w:type="dxa"/>
            <w:bottom w:w="0" w:type="dxa"/>
          </w:tblCellMar>
        </w:tblPrEx>
        <w:trPr>
          <w:trHeight w:val="461"/>
        </w:trPr>
        <w:tc>
          <w:tcPr>
            <w:tcW w:w="195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2DA13437" w14:textId="77777777" w:rsidR="002556F3" w:rsidRDefault="00000000">
            <w:r>
              <w:rPr>
                <w:sz w:val="20"/>
                <w:szCs w:val="20"/>
              </w:rPr>
              <w:t>T2 Benefits</w:t>
            </w:r>
          </w:p>
        </w:tc>
        <w:tc>
          <w:tcPr>
            <w:tcW w:w="3758"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1C5CDCCD" w14:textId="77777777" w:rsidR="002556F3" w:rsidRDefault="00000000">
            <w:r>
              <w:rPr>
                <w:sz w:val="20"/>
                <w:szCs w:val="20"/>
              </w:rPr>
              <w:t>Message emphasising repayment benefits</w:t>
            </w:r>
          </w:p>
        </w:tc>
        <w:tc>
          <w:tcPr>
            <w:tcW w:w="210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318F6E81" w14:textId="77777777" w:rsidR="002556F3" w:rsidRDefault="00000000">
            <w:r>
              <w:rPr>
                <w:sz w:val="20"/>
                <w:szCs w:val="20"/>
              </w:rPr>
              <w:t>77,315</w:t>
            </w:r>
          </w:p>
        </w:tc>
        <w:tc>
          <w:tcPr>
            <w:tcW w:w="1743"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668F1005" w14:textId="77777777" w:rsidR="002556F3" w:rsidRDefault="00000000">
            <w:r>
              <w:rPr>
                <w:sz w:val="20"/>
                <w:szCs w:val="20"/>
              </w:rPr>
              <w:t>16.7%</w:t>
            </w:r>
          </w:p>
        </w:tc>
      </w:tr>
      <w:tr w:rsidR="002556F3" w14:paraId="4CC4B331" w14:textId="77777777" w:rsidTr="00CA4AA0">
        <w:tblPrEx>
          <w:tblCellMar>
            <w:top w:w="0" w:type="dxa"/>
            <w:bottom w:w="0" w:type="dxa"/>
          </w:tblCellMar>
        </w:tblPrEx>
        <w:trPr>
          <w:trHeight w:val="477"/>
        </w:trPr>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1862" w14:textId="77777777" w:rsidR="002556F3" w:rsidRDefault="00000000">
            <w:r>
              <w:rPr>
                <w:sz w:val="20"/>
                <w:szCs w:val="20"/>
              </w:rPr>
              <w:t>T3 Pay Early</w:t>
            </w:r>
          </w:p>
        </w:tc>
        <w:tc>
          <w:tcPr>
            <w:tcW w:w="3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B1B27" w14:textId="77777777" w:rsidR="002556F3" w:rsidRDefault="00000000">
            <w:r>
              <w:rPr>
                <w:sz w:val="20"/>
                <w:szCs w:val="20"/>
              </w:rPr>
              <w:t>Early payment incentive message</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D7FCF" w14:textId="77777777" w:rsidR="002556F3" w:rsidRDefault="00000000">
            <w:r>
              <w:rPr>
                <w:sz w:val="20"/>
                <w:szCs w:val="20"/>
              </w:rPr>
              <w:t>38,430</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FD79" w14:textId="77777777" w:rsidR="002556F3" w:rsidRDefault="00000000">
            <w:r>
              <w:rPr>
                <w:sz w:val="20"/>
                <w:szCs w:val="20"/>
              </w:rPr>
              <w:t>8.3%</w:t>
            </w:r>
          </w:p>
        </w:tc>
      </w:tr>
      <w:tr w:rsidR="002556F3" w14:paraId="1DE6518B" w14:textId="77777777" w:rsidTr="00CA4AA0">
        <w:tblPrEx>
          <w:tblCellMar>
            <w:top w:w="0" w:type="dxa"/>
            <w:bottom w:w="0" w:type="dxa"/>
          </w:tblCellMar>
        </w:tblPrEx>
        <w:trPr>
          <w:trHeight w:val="477"/>
        </w:trPr>
        <w:tc>
          <w:tcPr>
            <w:tcW w:w="195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311B4D65" w14:textId="77777777" w:rsidR="002556F3" w:rsidRDefault="00000000">
            <w:r>
              <w:rPr>
                <w:sz w:val="20"/>
                <w:szCs w:val="20"/>
              </w:rPr>
              <w:t>T4 Pay Little</w:t>
            </w:r>
          </w:p>
        </w:tc>
        <w:tc>
          <w:tcPr>
            <w:tcW w:w="3758"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7F74F96C" w14:textId="77777777" w:rsidR="002556F3" w:rsidRDefault="00000000">
            <w:r>
              <w:rPr>
                <w:sz w:val="20"/>
                <w:szCs w:val="20"/>
              </w:rPr>
              <w:t>Small incremental payment framing</w:t>
            </w:r>
          </w:p>
        </w:tc>
        <w:tc>
          <w:tcPr>
            <w:tcW w:w="210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4591AD5A" w14:textId="77777777" w:rsidR="002556F3" w:rsidRDefault="00000000">
            <w:r>
              <w:rPr>
                <w:sz w:val="20"/>
                <w:szCs w:val="20"/>
              </w:rPr>
              <w:t>38,430</w:t>
            </w:r>
          </w:p>
        </w:tc>
        <w:tc>
          <w:tcPr>
            <w:tcW w:w="1743"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00B43F20" w14:textId="77777777" w:rsidR="002556F3" w:rsidRDefault="00000000">
            <w:r>
              <w:rPr>
                <w:sz w:val="20"/>
                <w:szCs w:val="20"/>
              </w:rPr>
              <w:t>8.3%</w:t>
            </w:r>
          </w:p>
        </w:tc>
      </w:tr>
      <w:tr w:rsidR="002556F3" w14:paraId="3D57A3D0" w14:textId="77777777" w:rsidTr="00CA4AA0">
        <w:tblPrEx>
          <w:tblCellMar>
            <w:top w:w="0" w:type="dxa"/>
            <w:bottom w:w="0" w:type="dxa"/>
          </w:tblCellMar>
        </w:tblPrEx>
        <w:trPr>
          <w:trHeight w:val="230"/>
        </w:trPr>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0DB3" w14:textId="77777777" w:rsidR="002556F3" w:rsidRDefault="00000000">
            <w:r>
              <w:rPr>
                <w:sz w:val="20"/>
                <w:szCs w:val="20"/>
              </w:rPr>
              <w:t>T5 Social</w:t>
            </w:r>
          </w:p>
        </w:tc>
        <w:tc>
          <w:tcPr>
            <w:tcW w:w="3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166F3" w14:textId="77777777" w:rsidR="002556F3" w:rsidRDefault="00000000">
            <w:r>
              <w:rPr>
                <w:sz w:val="20"/>
                <w:szCs w:val="20"/>
              </w:rPr>
              <w:t>Social proof message</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77572" w14:textId="77777777" w:rsidR="002556F3" w:rsidRDefault="00000000">
            <w:r>
              <w:rPr>
                <w:sz w:val="20"/>
                <w:szCs w:val="20"/>
              </w:rPr>
              <w:t>77,373</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6DA1" w14:textId="77777777" w:rsidR="002556F3" w:rsidRDefault="00000000">
            <w:r>
              <w:rPr>
                <w:sz w:val="20"/>
                <w:szCs w:val="20"/>
              </w:rPr>
              <w:t>16.7%</w:t>
            </w:r>
          </w:p>
        </w:tc>
      </w:tr>
      <w:tr w:rsidR="002556F3" w14:paraId="269A8930" w14:textId="77777777" w:rsidTr="00CA4AA0">
        <w:tblPrEx>
          <w:tblCellMar>
            <w:top w:w="0" w:type="dxa"/>
            <w:bottom w:w="0" w:type="dxa"/>
          </w:tblCellMar>
        </w:tblPrEx>
        <w:trPr>
          <w:trHeight w:val="477"/>
        </w:trPr>
        <w:tc>
          <w:tcPr>
            <w:tcW w:w="195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663432BC" w14:textId="77777777" w:rsidR="002556F3" w:rsidRDefault="00000000">
            <w:r>
              <w:rPr>
                <w:sz w:val="20"/>
                <w:szCs w:val="20"/>
              </w:rPr>
              <w:t>T6 Group Leader</w:t>
            </w:r>
          </w:p>
        </w:tc>
        <w:tc>
          <w:tcPr>
            <w:tcW w:w="3758"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7B8B3DC5" w14:textId="77777777" w:rsidR="002556F3" w:rsidRDefault="00000000">
            <w:r>
              <w:rPr>
                <w:sz w:val="20"/>
                <w:szCs w:val="20"/>
              </w:rPr>
              <w:t>Nudge via group leader, no direct SMS</w:t>
            </w:r>
          </w:p>
        </w:tc>
        <w:tc>
          <w:tcPr>
            <w:tcW w:w="2104"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27CDA8DA" w14:textId="77777777" w:rsidR="002556F3" w:rsidRDefault="00000000">
            <w:r>
              <w:rPr>
                <w:sz w:val="20"/>
                <w:szCs w:val="20"/>
              </w:rPr>
              <w:t>38,663</w:t>
            </w:r>
          </w:p>
        </w:tc>
        <w:tc>
          <w:tcPr>
            <w:tcW w:w="1743"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17D37775" w14:textId="77777777" w:rsidR="002556F3" w:rsidRDefault="00000000">
            <w:r>
              <w:rPr>
                <w:sz w:val="20"/>
                <w:szCs w:val="20"/>
              </w:rPr>
              <w:t>8.4%</w:t>
            </w:r>
          </w:p>
        </w:tc>
      </w:tr>
    </w:tbl>
    <w:p w14:paraId="118DCD6F" w14:textId="77777777" w:rsidR="002556F3" w:rsidRDefault="002556F3">
      <w:pPr>
        <w:spacing w:before="80" w:after="80"/>
      </w:pPr>
    </w:p>
    <w:p w14:paraId="080ECA62" w14:textId="77777777" w:rsidR="002556F3" w:rsidRDefault="00000000">
      <w:pPr>
        <w:pStyle w:val="Heading1"/>
      </w:pPr>
      <w:r>
        <w:t>3. Methodology</w:t>
      </w:r>
    </w:p>
    <w:p w14:paraId="3A76C7C6" w14:textId="77777777" w:rsidR="002556F3" w:rsidRDefault="00000000">
      <w:pPr>
        <w:pStyle w:val="Heading2"/>
      </w:pPr>
      <w:r>
        <w:t>3.1 Data Cleaning and Validation</w:t>
      </w:r>
    </w:p>
    <w:p w14:paraId="79DADD47" w14:textId="77777777" w:rsidR="002556F3" w:rsidRDefault="00000000">
      <w:pPr>
        <w:pStyle w:val="ListParagraph"/>
        <w:numPr>
          <w:ilvl w:val="0"/>
          <w:numId w:val="2"/>
        </w:numPr>
        <w:spacing w:before="40" w:after="40"/>
      </w:pPr>
      <w:r>
        <w:t>ClientID cast from float to int after verifying no fractional values.</w:t>
      </w:r>
    </w:p>
    <w:p w14:paraId="5C67F1A4" w14:textId="77777777" w:rsidR="002556F3" w:rsidRDefault="00000000">
      <w:pPr>
        <w:pStyle w:val="ListParagraph"/>
        <w:numPr>
          <w:ilvl w:val="0"/>
          <w:numId w:val="2"/>
        </w:numPr>
        <w:spacing w:before="40" w:after="40"/>
      </w:pPr>
      <w:r>
        <w:t>Duplicate check: zero duplicate ClientIDs and zero fully duplicate rows confirmed.</w:t>
      </w:r>
    </w:p>
    <w:p w14:paraId="1AADFC5E" w14:textId="77777777" w:rsidR="002556F3" w:rsidRDefault="00000000">
      <w:pPr>
        <w:pStyle w:val="ListParagraph"/>
        <w:numPr>
          <w:ilvl w:val="0"/>
          <w:numId w:val="2"/>
        </w:numPr>
        <w:spacing w:before="40" w:after="40"/>
      </w:pPr>
      <w:r>
        <w:t xml:space="preserve">Missing values in MentionedDeadline, RemainingAmount (192,907 NaN each) and LastReminder (154,244 NaN) validated as structurally correct: control group + T6 do not </w:t>
      </w:r>
      <w:r>
        <w:lastRenderedPageBreak/>
        <w:t>receive SMS, so these fields are legitimately empty. Assertion confirmed NaN count equals n_control + n_T6 exactly.</w:t>
      </w:r>
    </w:p>
    <w:p w14:paraId="1FB7692F" w14:textId="77777777" w:rsidR="002556F3" w:rsidRDefault="002556F3">
      <w:pPr>
        <w:spacing w:before="80" w:after="80"/>
      </w:pPr>
    </w:p>
    <w:p w14:paraId="5A4AEB0B" w14:textId="77777777" w:rsidR="002556F3" w:rsidRDefault="00000000">
      <w:pPr>
        <w:pStyle w:val="Heading2"/>
      </w:pPr>
      <w:r>
        <w:t>3.2 Analytical Population</w:t>
      </w:r>
    </w:p>
    <w:p w14:paraId="0727DCF7" w14:textId="77777777" w:rsidR="002556F3" w:rsidRDefault="00000000">
      <w:pPr>
        <w:spacing w:before="60" w:after="80"/>
        <w:jc w:val="both"/>
      </w:pPr>
      <w:r>
        <w:t>190,727 farmers (41.2%) had already qualified before the trial began (QualifiedBeforeTrial = 1). Messaging cannot influence their outcome. These were excluded, yielding an in-scope analytical population of 272,158 farmers. All treatment effect estimates are computed on this subset.</w:t>
      </w:r>
    </w:p>
    <w:p w14:paraId="1F54ACA6" w14:textId="77777777" w:rsidR="002556F3" w:rsidRDefault="00000000">
      <w:pPr>
        <w:spacing w:before="60" w:after="80"/>
      </w:pPr>
      <w:r>
        <w:t>Two engineered features were added to the in-scope dataset:</w:t>
      </w:r>
    </w:p>
    <w:p w14:paraId="0E7029A2" w14:textId="77777777" w:rsidR="002556F3" w:rsidRDefault="00000000">
      <w:pPr>
        <w:pStyle w:val="ListParagraph"/>
        <w:numPr>
          <w:ilvl w:val="0"/>
          <w:numId w:val="2"/>
        </w:numPr>
        <w:spacing w:before="40" w:after="40"/>
      </w:pPr>
      <w:r>
        <w:t>credit_q: quartile binning of TotalCredit into Q1 Low, Q2, Q3, Q4 High.</w:t>
      </w:r>
    </w:p>
    <w:p w14:paraId="7FF9F0B5" w14:textId="77777777" w:rsidR="002556F3" w:rsidRDefault="00000000">
      <w:pPr>
        <w:pStyle w:val="ListParagraph"/>
        <w:numPr>
          <w:ilvl w:val="0"/>
          <w:numId w:val="2"/>
        </w:numPr>
        <w:spacing w:before="40" w:after="40"/>
      </w:pPr>
      <w:r>
        <w:t>season_group: TotalEnrolledSeasons recoded as New (1), Mid (2-3), Veteran (4+).</w:t>
      </w:r>
    </w:p>
    <w:p w14:paraId="32944D2F" w14:textId="77777777" w:rsidR="002556F3" w:rsidRDefault="002556F3">
      <w:pPr>
        <w:spacing w:before="80" w:after="80"/>
      </w:pPr>
    </w:p>
    <w:p w14:paraId="7E61E09B" w14:textId="77777777" w:rsidR="002556F3" w:rsidRDefault="00000000">
      <w:pPr>
        <w:pStyle w:val="Heading2"/>
      </w:pPr>
      <w:r>
        <w:t>3.3 Covariate Balance Testing</w:t>
      </w:r>
    </w:p>
    <w:p w14:paraId="0BF2A707" w14:textId="77777777" w:rsidR="002556F3" w:rsidRDefault="00000000">
      <w:pPr>
        <w:spacing w:before="60" w:after="80"/>
        <w:jc w:val="both"/>
      </w:pPr>
      <w:r>
        <w:t>Pre-randomisation balance was verified across six covariates. Continuous variables (TotalCredit, TotalEnrolledSeasons, TotalPaidNov20) were tested using one-way ANOVA. Binary variables (GroupLeader, Qualified2017, QualifiedBeforeTrial) were tested using chi-square contingency tests. Statistically significant results in large samples were flagged as potential large-sample artefacts and assessed by effect size, not p-value alone.</w:t>
      </w:r>
    </w:p>
    <w:p w14:paraId="76FE6FD0" w14:textId="77777777" w:rsidR="002556F3" w:rsidRDefault="002556F3">
      <w:pPr>
        <w:spacing w:before="80" w:after="80"/>
      </w:pPr>
    </w:p>
    <w:p w14:paraId="1A146837" w14:textId="77777777" w:rsidR="002556F3" w:rsidRDefault="00000000">
      <w:pPr>
        <w:pStyle w:val="Heading2"/>
      </w:pPr>
      <w:r>
        <w:t>3.4 Treatment Effect Estimation</w:t>
      </w:r>
    </w:p>
    <w:p w14:paraId="1BEEBDF4" w14:textId="77777777" w:rsidR="002556F3" w:rsidRDefault="00000000">
      <w:pPr>
        <w:spacing w:before="60" w:after="80"/>
      </w:pPr>
      <w:r>
        <w:t>Three complementary methods were applied:</w:t>
      </w:r>
    </w:p>
    <w:p w14:paraId="30FA076B" w14:textId="77777777" w:rsidR="002556F3" w:rsidRDefault="00000000">
      <w:pPr>
        <w:pStyle w:val="ListParagraph"/>
        <w:numPr>
          <w:ilvl w:val="0"/>
          <w:numId w:val="3"/>
        </w:numPr>
        <w:spacing w:before="40" w:after="40"/>
      </w:pPr>
      <w:r>
        <w:t>Simple rate comparison: qualification rate per arm vs. control, reported as percentage point lift.</w:t>
      </w:r>
    </w:p>
    <w:p w14:paraId="02FB5C2E" w14:textId="77777777" w:rsidR="002556F3" w:rsidRDefault="00000000">
      <w:pPr>
        <w:pStyle w:val="ListParagraph"/>
        <w:numPr>
          <w:ilvl w:val="0"/>
          <w:numId w:val="3"/>
        </w:numPr>
        <w:spacing w:before="40" w:after="40"/>
      </w:pPr>
      <w:r>
        <w:t>Chi-square test (scipy.stats.chi2_contingency): pairwise test per treatment arm vs. control for both Qualified (Dec 31) and QualifiedDec15 outcomes. Significance threshold: p &lt; 0.05.</w:t>
      </w:r>
    </w:p>
    <w:p w14:paraId="000C0F0E" w14:textId="77777777" w:rsidR="002556F3" w:rsidRDefault="00000000">
      <w:pPr>
        <w:pStyle w:val="ListParagraph"/>
        <w:numPr>
          <w:ilvl w:val="0"/>
          <w:numId w:val="3"/>
        </w:numPr>
        <w:spacing w:before="40" w:after="40"/>
      </w:pPr>
      <w:r>
        <w:t>Logistic regression (sklearn.linear_model.LogisticRegression, lbfgs solver, max_iter=500): treatment dummy variables (d_T1 through d_T6) included alongside standardised continuous controls (TotalCredit_z, TotalEnrolledSeasons_z) and binary controls (GroupLeader, Qualified2017). Coefficients and odds ratios reported.</w:t>
      </w:r>
    </w:p>
    <w:p w14:paraId="69AA445B" w14:textId="77777777" w:rsidR="002556F3" w:rsidRDefault="002556F3">
      <w:pPr>
        <w:spacing w:before="80" w:after="80"/>
      </w:pPr>
    </w:p>
    <w:p w14:paraId="440D57B4" w14:textId="77777777" w:rsidR="002556F3" w:rsidRDefault="00000000">
      <w:pPr>
        <w:pStyle w:val="Heading2"/>
      </w:pPr>
      <w:r>
        <w:t>3.5 Subgroup and Heterogeneity Analysis</w:t>
      </w:r>
    </w:p>
    <w:p w14:paraId="4EEA7EF0" w14:textId="77777777" w:rsidR="002556F3" w:rsidRDefault="00000000">
      <w:pPr>
        <w:spacing w:before="60" w:after="80"/>
        <w:jc w:val="both"/>
      </w:pPr>
      <w:r>
        <w:t>Qualification rates were disaggregated across four dimensions to detect heterogeneous treatment effects: GroupLeader status, Qualified2017 history, credit_q quartile, and season_group experience tier. Results inform targeting strategy.</w:t>
      </w:r>
    </w:p>
    <w:p w14:paraId="1514A245" w14:textId="77777777" w:rsidR="002556F3" w:rsidRDefault="002556F3">
      <w:pPr>
        <w:spacing w:before="80" w:after="80"/>
      </w:pPr>
    </w:p>
    <w:p w14:paraId="53A1E5D1" w14:textId="77777777" w:rsidR="002556F3" w:rsidRDefault="00000000">
      <w:pPr>
        <w:pStyle w:val="Heading1"/>
      </w:pPr>
      <w:r>
        <w:t>4. Libraries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7163"/>
      </w:tblGrid>
      <w:tr w:rsidR="002556F3" w14:paraId="0D859DC4" w14:textId="77777777">
        <w:tblPrEx>
          <w:tblCellMar>
            <w:top w:w="0" w:type="dxa"/>
            <w:bottom w:w="0" w:type="dxa"/>
          </w:tblCellMar>
        </w:tblPrEx>
        <w:trPr>
          <w:tblHeader/>
        </w:trPr>
        <w:tc>
          <w:tcPr>
            <w:tcW w:w="2000" w:type="dxa"/>
            <w:tcBorders>
              <w:top w:val="single" w:sz="1" w:space="0" w:color="1A3D2B"/>
              <w:left w:val="single" w:sz="1" w:space="0" w:color="1A3D2B"/>
              <w:bottom w:val="single" w:sz="1" w:space="0" w:color="1A3D2B"/>
              <w:right w:val="single" w:sz="1" w:space="0" w:color="1A3D2B"/>
            </w:tcBorders>
            <w:shd w:val="clear" w:color="auto" w:fill="1A3D2B"/>
            <w:tcMar>
              <w:top w:w="80" w:type="dxa"/>
              <w:left w:w="120" w:type="dxa"/>
              <w:bottom w:w="80" w:type="dxa"/>
              <w:right w:w="120" w:type="dxa"/>
            </w:tcMar>
          </w:tcPr>
          <w:p w14:paraId="04FA57F9" w14:textId="77777777" w:rsidR="002556F3" w:rsidRDefault="00000000">
            <w:r>
              <w:rPr>
                <w:b/>
                <w:bCs/>
                <w:color w:val="FFFFFF"/>
                <w:sz w:val="20"/>
                <w:szCs w:val="20"/>
              </w:rPr>
              <w:t>Library</w:t>
            </w:r>
          </w:p>
        </w:tc>
        <w:tc>
          <w:tcPr>
            <w:tcW w:w="7360" w:type="dxa"/>
            <w:tcBorders>
              <w:top w:val="single" w:sz="1" w:space="0" w:color="1A3D2B"/>
              <w:left w:val="single" w:sz="1" w:space="0" w:color="1A3D2B"/>
              <w:bottom w:val="single" w:sz="1" w:space="0" w:color="1A3D2B"/>
              <w:right w:val="single" w:sz="1" w:space="0" w:color="1A3D2B"/>
            </w:tcBorders>
            <w:shd w:val="clear" w:color="auto" w:fill="1A3D2B"/>
            <w:tcMar>
              <w:top w:w="80" w:type="dxa"/>
              <w:left w:w="120" w:type="dxa"/>
              <w:bottom w:w="80" w:type="dxa"/>
              <w:right w:w="120" w:type="dxa"/>
            </w:tcMar>
          </w:tcPr>
          <w:p w14:paraId="130DA528" w14:textId="77777777" w:rsidR="002556F3" w:rsidRDefault="00000000">
            <w:r>
              <w:rPr>
                <w:b/>
                <w:bCs/>
                <w:color w:val="FFFFFF"/>
                <w:sz w:val="20"/>
                <w:szCs w:val="20"/>
              </w:rPr>
              <w:t>Version / Role</w:t>
            </w:r>
          </w:p>
        </w:tc>
      </w:tr>
      <w:tr w:rsidR="002556F3" w14:paraId="0CEB0C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5A021E73" w14:textId="77777777" w:rsidR="002556F3" w:rsidRDefault="00000000">
            <w:r>
              <w:rPr>
                <w:sz w:val="20"/>
                <w:szCs w:val="20"/>
              </w:rPr>
              <w:t>pandas</w:t>
            </w:r>
          </w:p>
        </w:tc>
        <w:tc>
          <w:tcPr>
            <w:tcW w:w="7360"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1E570F1A" w14:textId="77777777" w:rsidR="002556F3" w:rsidRDefault="00000000">
            <w:r>
              <w:rPr>
                <w:sz w:val="20"/>
                <w:szCs w:val="20"/>
              </w:rPr>
              <w:t>Data loading, manipulation, groupby aggregation</w:t>
            </w:r>
          </w:p>
        </w:tc>
      </w:tr>
      <w:tr w:rsidR="002556F3" w14:paraId="32AF08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94D81" w14:textId="77777777" w:rsidR="002556F3" w:rsidRDefault="00000000">
            <w:r>
              <w:rPr>
                <w:sz w:val="20"/>
                <w:szCs w:val="20"/>
              </w:rPr>
              <w:t>scipy.stats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0A69" w14:textId="77777777" w:rsidR="002556F3" w:rsidRDefault="00000000">
            <w:r>
              <w:rPr>
                <w:sz w:val="20"/>
                <w:szCs w:val="20"/>
              </w:rPr>
              <w:t>ANOVA F-test, chi-square contingency tests</w:t>
            </w:r>
          </w:p>
        </w:tc>
      </w:tr>
      <w:tr w:rsidR="002556F3" w14:paraId="07A433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7FEAE1F3" w14:textId="77777777" w:rsidR="002556F3" w:rsidRDefault="00000000">
            <w:r>
              <w:rPr>
                <w:sz w:val="20"/>
                <w:szCs w:val="20"/>
              </w:rPr>
              <w:t>sklearn.linear_model</w:t>
            </w:r>
          </w:p>
        </w:tc>
        <w:tc>
          <w:tcPr>
            <w:tcW w:w="7360"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70EB22D5" w14:textId="77777777" w:rsidR="002556F3" w:rsidRDefault="00000000">
            <w:r>
              <w:rPr>
                <w:sz w:val="20"/>
                <w:szCs w:val="20"/>
              </w:rPr>
              <w:t>LogisticRegression for covariate-controlled effect estimation</w:t>
            </w:r>
          </w:p>
        </w:tc>
      </w:tr>
      <w:tr w:rsidR="002556F3" w14:paraId="78B098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6962C" w14:textId="77777777" w:rsidR="002556F3" w:rsidRDefault="00000000">
            <w:r>
              <w:rPr>
                <w:sz w:val="20"/>
                <w:szCs w:val="20"/>
              </w:rPr>
              <w:t>sklearn.preprocessing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BF632" w14:textId="77777777" w:rsidR="002556F3" w:rsidRDefault="00000000">
            <w:r>
              <w:rPr>
                <w:sz w:val="20"/>
                <w:szCs w:val="20"/>
              </w:rPr>
              <w:t>StandardScaler for continuous covariate normalisation</w:t>
            </w:r>
          </w:p>
        </w:tc>
      </w:tr>
      <w:tr w:rsidR="002556F3" w14:paraId="349E41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29D0C940" w14:textId="77777777" w:rsidR="002556F3" w:rsidRDefault="00000000">
            <w:r>
              <w:rPr>
                <w:sz w:val="20"/>
                <w:szCs w:val="20"/>
              </w:rPr>
              <w:t>matplotlib / seaborn</w:t>
            </w:r>
          </w:p>
        </w:tc>
        <w:tc>
          <w:tcPr>
            <w:tcW w:w="7360" w:type="dxa"/>
            <w:tcBorders>
              <w:top w:val="single" w:sz="1" w:space="0" w:color="CCCCCC"/>
              <w:left w:val="single" w:sz="1" w:space="0" w:color="CCCCCC"/>
              <w:bottom w:val="single" w:sz="1" w:space="0" w:color="CCCCCC"/>
              <w:right w:val="single" w:sz="1" w:space="0" w:color="CCCCCC"/>
            </w:tcBorders>
            <w:shd w:val="clear" w:color="auto" w:fill="F0FAF3"/>
            <w:tcMar>
              <w:top w:w="80" w:type="dxa"/>
              <w:left w:w="120" w:type="dxa"/>
              <w:bottom w:w="80" w:type="dxa"/>
              <w:right w:w="120" w:type="dxa"/>
            </w:tcMar>
          </w:tcPr>
          <w:p w14:paraId="49C5641B" w14:textId="77777777" w:rsidR="002556F3" w:rsidRDefault="00000000">
            <w:r>
              <w:rPr>
                <w:sz w:val="20"/>
                <w:szCs w:val="20"/>
              </w:rPr>
              <w:t>All visualisations (bar charts, line plots)</w:t>
            </w:r>
          </w:p>
        </w:tc>
      </w:tr>
      <w:tr w:rsidR="002556F3" w14:paraId="0CA30F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FA2D" w14:textId="77777777" w:rsidR="002556F3" w:rsidRDefault="00000000">
            <w:r>
              <w:rPr>
                <w:sz w:val="20"/>
                <w:szCs w:val="20"/>
              </w:rPr>
              <w:lastRenderedPageBreak/>
              <w:t>numpy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45162" w14:textId="77777777" w:rsidR="002556F3" w:rsidRDefault="00000000">
            <w:r>
              <w:rPr>
                <w:sz w:val="20"/>
                <w:szCs w:val="20"/>
              </w:rPr>
              <w:t>Array operations for bar positioning in plots</w:t>
            </w:r>
          </w:p>
        </w:tc>
      </w:tr>
    </w:tbl>
    <w:p w14:paraId="66A672C0" w14:textId="77777777" w:rsidR="002556F3" w:rsidRDefault="002556F3">
      <w:pPr>
        <w:spacing w:before="80" w:after="80"/>
      </w:pPr>
    </w:p>
    <w:p w14:paraId="1A8D1B6D" w14:textId="77777777" w:rsidR="002556F3" w:rsidRDefault="00000000">
      <w:pPr>
        <w:pStyle w:val="Heading1"/>
      </w:pPr>
      <w:r>
        <w:t>5. Outputs</w:t>
      </w:r>
    </w:p>
    <w:p w14:paraId="3261D8C0" w14:textId="77777777" w:rsidR="002556F3" w:rsidRDefault="00000000">
      <w:pPr>
        <w:pStyle w:val="ListParagraph"/>
        <w:numPr>
          <w:ilvl w:val="0"/>
          <w:numId w:val="2"/>
        </w:numPr>
        <w:spacing w:before="40" w:after="40"/>
      </w:pPr>
      <w:r>
        <w:t>Inscope Data.csv: filtered analytical dataset (QualifiedBeforeTrial = 0) with engineered features.</w:t>
      </w:r>
    </w:p>
    <w:p w14:paraId="6EC50168" w14:textId="77777777" w:rsidR="002556F3" w:rsidRDefault="00000000">
      <w:pPr>
        <w:pStyle w:val="ListParagraph"/>
        <w:numPr>
          <w:ilvl w:val="0"/>
          <w:numId w:val="2"/>
        </w:numPr>
        <w:spacing w:before="40" w:after="40"/>
      </w:pPr>
      <w:r>
        <w:t>Covariate means by Treatment Group (CSV): mean values per arm for balance verification.</w:t>
      </w:r>
    </w:p>
    <w:p w14:paraId="16D3F3D0" w14:textId="77777777" w:rsidR="002556F3" w:rsidRDefault="00000000">
      <w:pPr>
        <w:pStyle w:val="ListParagraph"/>
        <w:numPr>
          <w:ilvl w:val="0"/>
          <w:numId w:val="2"/>
        </w:numPr>
        <w:spacing w:before="40" w:after="40"/>
      </w:pPr>
      <w:r>
        <w:t>fig1 Distribution by Treatment.png: horizontal bar chart of arm sizes.</w:t>
      </w:r>
    </w:p>
    <w:p w14:paraId="5C3D1DF2" w14:textId="77777777" w:rsidR="002556F3" w:rsidRDefault="00000000">
      <w:pPr>
        <w:pStyle w:val="ListParagraph"/>
        <w:numPr>
          <w:ilvl w:val="0"/>
          <w:numId w:val="2"/>
        </w:numPr>
        <w:spacing w:before="40" w:after="40"/>
      </w:pPr>
      <w:r>
        <w:t>Raw outcome Rate.png: side-by-side bar chart of Dec31 and Dec15 rates by arm.</w:t>
      </w:r>
    </w:p>
    <w:p w14:paraId="2FB2AD46" w14:textId="77777777" w:rsidR="002556F3" w:rsidRDefault="00000000">
      <w:pPr>
        <w:pStyle w:val="ListParagraph"/>
        <w:numPr>
          <w:ilvl w:val="0"/>
          <w:numId w:val="2"/>
        </w:numPr>
        <w:spacing w:before="40" w:after="40"/>
      </w:pPr>
      <w:r>
        <w:t>treatment effects.png: lift bars with significance annotations for both outcome windows.</w:t>
      </w:r>
    </w:p>
    <w:p w14:paraId="74AE2088" w14:textId="77777777" w:rsidR="002556F3" w:rsidRDefault="00000000">
      <w:pPr>
        <w:pStyle w:val="ListParagraph"/>
        <w:numPr>
          <w:ilvl w:val="0"/>
          <w:numId w:val="2"/>
        </w:numPr>
        <w:spacing w:before="40" w:after="40"/>
      </w:pPr>
      <w:r>
        <w:t>leader subgroup.png: group leader vs regular farmer qualification rates by arm.</w:t>
      </w:r>
    </w:p>
    <w:p w14:paraId="5722F3E5" w14:textId="77777777" w:rsidR="002556F3" w:rsidRDefault="00000000">
      <w:pPr>
        <w:pStyle w:val="ListParagraph"/>
        <w:numPr>
          <w:ilvl w:val="0"/>
          <w:numId w:val="2"/>
        </w:numPr>
        <w:spacing w:before="40" w:after="40"/>
      </w:pPr>
      <w:r>
        <w:t>history subgroup.png: 2017 qualification history by arm.</w:t>
      </w:r>
    </w:p>
    <w:p w14:paraId="72F38702" w14:textId="77777777" w:rsidR="002556F3" w:rsidRDefault="00000000">
      <w:pPr>
        <w:pStyle w:val="ListParagraph"/>
        <w:numPr>
          <w:ilvl w:val="0"/>
          <w:numId w:val="2"/>
        </w:numPr>
        <w:spacing w:before="40" w:after="40"/>
      </w:pPr>
      <w:r>
        <w:t>fig6_credit_subgroup.png: credit quartile line chart by arm.</w:t>
      </w:r>
    </w:p>
    <w:p w14:paraId="038F4A5F" w14:textId="77777777" w:rsidR="002556F3" w:rsidRDefault="00000000">
      <w:pPr>
        <w:pStyle w:val="ListParagraph"/>
        <w:numPr>
          <w:ilvl w:val="0"/>
          <w:numId w:val="2"/>
        </w:numPr>
        <w:spacing w:before="40" w:after="40"/>
      </w:pPr>
      <w:r>
        <w:t>seasons_subgroup.png: experience tier line chart by arm.</w:t>
      </w:r>
    </w:p>
    <w:p w14:paraId="2B24CEB1" w14:textId="77777777" w:rsidR="002556F3" w:rsidRDefault="00000000">
      <w:pPr>
        <w:pStyle w:val="ListParagraph"/>
        <w:numPr>
          <w:ilvl w:val="0"/>
          <w:numId w:val="2"/>
        </w:numPr>
        <w:spacing w:before="40" w:after="40"/>
      </w:pPr>
      <w:r>
        <w:t>scale projection.png: projected additional qualifiers and NGN impact per arm.</w:t>
      </w:r>
    </w:p>
    <w:p w14:paraId="3E1A2E46" w14:textId="77777777" w:rsidR="002556F3" w:rsidRDefault="002556F3">
      <w:pPr>
        <w:spacing w:before="80" w:after="80"/>
      </w:pPr>
    </w:p>
    <w:p w14:paraId="0D6E0255" w14:textId="77777777" w:rsidR="002556F3" w:rsidRDefault="00000000">
      <w:pPr>
        <w:pStyle w:val="Heading1"/>
      </w:pPr>
      <w:r>
        <w:t>6. Limitations and Caveats</w:t>
      </w:r>
    </w:p>
    <w:p w14:paraId="505C349F" w14:textId="77777777" w:rsidR="002556F3" w:rsidRDefault="00000000">
      <w:pPr>
        <w:pStyle w:val="ListParagraph"/>
        <w:numPr>
          <w:ilvl w:val="0"/>
          <w:numId w:val="2"/>
        </w:numPr>
        <w:spacing w:before="40" w:after="40"/>
      </w:pPr>
      <w:r>
        <w:t>The logistic regression provides associative, not causal, estimates for the covariate controls (credit, seasons). Treatment arm assignment is randomised, so arm coefficients are causal; control coefficients are not.</w:t>
      </w:r>
    </w:p>
    <w:p w14:paraId="7C5B8502" w14:textId="77777777" w:rsidR="002556F3" w:rsidRDefault="00000000">
      <w:pPr>
        <w:pStyle w:val="ListParagraph"/>
        <w:numPr>
          <w:ilvl w:val="0"/>
          <w:numId w:val="2"/>
        </w:numPr>
        <w:spacing w:before="40" w:after="40"/>
      </w:pPr>
      <w:r>
        <w:t>Scale projections assume homogeneous treatment effect across all in-scope treated farmers. Actual effect may vary with targeting quality.</w:t>
      </w:r>
    </w:p>
    <w:p w14:paraId="5E0AA858" w14:textId="77777777" w:rsidR="002556F3" w:rsidRDefault="00000000">
      <w:pPr>
        <w:pStyle w:val="ListParagraph"/>
        <w:numPr>
          <w:ilvl w:val="0"/>
          <w:numId w:val="2"/>
        </w:numPr>
        <w:spacing w:before="40" w:after="40"/>
      </w:pPr>
      <w:r>
        <w:t>NGN 500 per additional qualifier is an assumed operational value, not derived from the dataset. Final ROI ranking requires actual SMS cost data.</w:t>
      </w:r>
    </w:p>
    <w:p w14:paraId="59E9134E" w14:textId="77777777" w:rsidR="002556F3" w:rsidRDefault="00000000">
      <w:pPr>
        <w:pStyle w:val="ListParagraph"/>
        <w:numPr>
          <w:ilvl w:val="0"/>
          <w:numId w:val="2"/>
        </w:numPr>
        <w:spacing w:before="40" w:after="40"/>
      </w:pPr>
      <w:r>
        <w:t>T6 analysis is complicated by the group-leader intermediary design; non-significance may reflect delivery failure rather than message ineffectiveness.</w:t>
      </w:r>
    </w:p>
    <w:sectPr w:rsidR="002556F3">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70D08"/>
    <w:multiLevelType w:val="hybridMultilevel"/>
    <w:tmpl w:val="3014CD34"/>
    <w:lvl w:ilvl="0" w:tplc="DECE0742">
      <w:start w:val="1"/>
      <w:numFmt w:val="bullet"/>
      <w:lvlText w:val="●"/>
      <w:lvlJc w:val="left"/>
      <w:pPr>
        <w:ind w:left="720" w:hanging="360"/>
      </w:pPr>
    </w:lvl>
    <w:lvl w:ilvl="1" w:tplc="E0B63DE8">
      <w:start w:val="1"/>
      <w:numFmt w:val="bullet"/>
      <w:lvlText w:val="○"/>
      <w:lvlJc w:val="left"/>
      <w:pPr>
        <w:ind w:left="1440" w:hanging="360"/>
      </w:pPr>
    </w:lvl>
    <w:lvl w:ilvl="2" w:tplc="54B64F72">
      <w:start w:val="1"/>
      <w:numFmt w:val="bullet"/>
      <w:lvlText w:val="■"/>
      <w:lvlJc w:val="left"/>
      <w:pPr>
        <w:ind w:left="2160" w:hanging="360"/>
      </w:pPr>
    </w:lvl>
    <w:lvl w:ilvl="3" w:tplc="1CE85ED2">
      <w:start w:val="1"/>
      <w:numFmt w:val="bullet"/>
      <w:lvlText w:val="●"/>
      <w:lvlJc w:val="left"/>
      <w:pPr>
        <w:ind w:left="2880" w:hanging="360"/>
      </w:pPr>
    </w:lvl>
    <w:lvl w:ilvl="4" w:tplc="F88EE8DA">
      <w:start w:val="1"/>
      <w:numFmt w:val="bullet"/>
      <w:lvlText w:val="○"/>
      <w:lvlJc w:val="left"/>
      <w:pPr>
        <w:ind w:left="3600" w:hanging="360"/>
      </w:pPr>
    </w:lvl>
    <w:lvl w:ilvl="5" w:tplc="7E6C7FFA">
      <w:start w:val="1"/>
      <w:numFmt w:val="bullet"/>
      <w:lvlText w:val="■"/>
      <w:lvlJc w:val="left"/>
      <w:pPr>
        <w:ind w:left="4320" w:hanging="360"/>
      </w:pPr>
    </w:lvl>
    <w:lvl w:ilvl="6" w:tplc="0A8AC846">
      <w:start w:val="1"/>
      <w:numFmt w:val="bullet"/>
      <w:lvlText w:val="●"/>
      <w:lvlJc w:val="left"/>
      <w:pPr>
        <w:ind w:left="5040" w:hanging="360"/>
      </w:pPr>
    </w:lvl>
    <w:lvl w:ilvl="7" w:tplc="D6FC3DB0">
      <w:start w:val="1"/>
      <w:numFmt w:val="bullet"/>
      <w:lvlText w:val="●"/>
      <w:lvlJc w:val="left"/>
      <w:pPr>
        <w:ind w:left="5760" w:hanging="360"/>
      </w:pPr>
    </w:lvl>
    <w:lvl w:ilvl="8" w:tplc="FBFCB5D6">
      <w:start w:val="1"/>
      <w:numFmt w:val="bullet"/>
      <w:lvlText w:val="●"/>
      <w:lvlJc w:val="left"/>
      <w:pPr>
        <w:ind w:left="6480" w:hanging="360"/>
      </w:pPr>
    </w:lvl>
  </w:abstractNum>
  <w:abstractNum w:abstractNumId="1" w15:restartNumberingAfterBreak="0">
    <w:nsid w:val="3B5268DC"/>
    <w:multiLevelType w:val="hybridMultilevel"/>
    <w:tmpl w:val="15D03C3C"/>
    <w:lvl w:ilvl="0" w:tplc="302C5484">
      <w:start w:val="1"/>
      <w:numFmt w:val="bullet"/>
      <w:lvlText w:val="•"/>
      <w:lvlJc w:val="left"/>
      <w:pPr>
        <w:ind w:left="720" w:hanging="360"/>
      </w:pPr>
    </w:lvl>
    <w:lvl w:ilvl="1" w:tplc="C9A41ED6">
      <w:numFmt w:val="decimal"/>
      <w:lvlText w:val=""/>
      <w:lvlJc w:val="left"/>
    </w:lvl>
    <w:lvl w:ilvl="2" w:tplc="7BAC0D68">
      <w:numFmt w:val="decimal"/>
      <w:lvlText w:val=""/>
      <w:lvlJc w:val="left"/>
    </w:lvl>
    <w:lvl w:ilvl="3" w:tplc="9BAA3B50">
      <w:numFmt w:val="decimal"/>
      <w:lvlText w:val=""/>
      <w:lvlJc w:val="left"/>
    </w:lvl>
    <w:lvl w:ilvl="4" w:tplc="B562F788">
      <w:numFmt w:val="decimal"/>
      <w:lvlText w:val=""/>
      <w:lvlJc w:val="left"/>
    </w:lvl>
    <w:lvl w:ilvl="5" w:tplc="CCF2E952">
      <w:numFmt w:val="decimal"/>
      <w:lvlText w:val=""/>
      <w:lvlJc w:val="left"/>
    </w:lvl>
    <w:lvl w:ilvl="6" w:tplc="93662682">
      <w:numFmt w:val="decimal"/>
      <w:lvlText w:val=""/>
      <w:lvlJc w:val="left"/>
    </w:lvl>
    <w:lvl w:ilvl="7" w:tplc="AC5CCE18">
      <w:numFmt w:val="decimal"/>
      <w:lvlText w:val=""/>
      <w:lvlJc w:val="left"/>
    </w:lvl>
    <w:lvl w:ilvl="8" w:tplc="0434A896">
      <w:numFmt w:val="decimal"/>
      <w:lvlText w:val=""/>
      <w:lvlJc w:val="left"/>
    </w:lvl>
  </w:abstractNum>
  <w:abstractNum w:abstractNumId="2" w15:restartNumberingAfterBreak="0">
    <w:nsid w:val="7854756A"/>
    <w:multiLevelType w:val="hybridMultilevel"/>
    <w:tmpl w:val="5EFECB70"/>
    <w:lvl w:ilvl="0" w:tplc="1A42956A">
      <w:start w:val="1"/>
      <w:numFmt w:val="decimal"/>
      <w:lvlText w:val="%1."/>
      <w:lvlJc w:val="left"/>
      <w:pPr>
        <w:ind w:left="720" w:hanging="360"/>
      </w:pPr>
    </w:lvl>
    <w:lvl w:ilvl="1" w:tplc="6B4253B8">
      <w:numFmt w:val="decimal"/>
      <w:lvlText w:val=""/>
      <w:lvlJc w:val="left"/>
    </w:lvl>
    <w:lvl w:ilvl="2" w:tplc="296096C6">
      <w:numFmt w:val="decimal"/>
      <w:lvlText w:val=""/>
      <w:lvlJc w:val="left"/>
    </w:lvl>
    <w:lvl w:ilvl="3" w:tplc="A42E2378">
      <w:numFmt w:val="decimal"/>
      <w:lvlText w:val=""/>
      <w:lvlJc w:val="left"/>
    </w:lvl>
    <w:lvl w:ilvl="4" w:tplc="0F8CD7E0">
      <w:numFmt w:val="decimal"/>
      <w:lvlText w:val=""/>
      <w:lvlJc w:val="left"/>
    </w:lvl>
    <w:lvl w:ilvl="5" w:tplc="3E2C7F24">
      <w:numFmt w:val="decimal"/>
      <w:lvlText w:val=""/>
      <w:lvlJc w:val="left"/>
    </w:lvl>
    <w:lvl w:ilvl="6" w:tplc="E578EA62">
      <w:numFmt w:val="decimal"/>
      <w:lvlText w:val=""/>
      <w:lvlJc w:val="left"/>
    </w:lvl>
    <w:lvl w:ilvl="7" w:tplc="405088E2">
      <w:numFmt w:val="decimal"/>
      <w:lvlText w:val=""/>
      <w:lvlJc w:val="left"/>
    </w:lvl>
    <w:lvl w:ilvl="8" w:tplc="D3527E0A">
      <w:numFmt w:val="decimal"/>
      <w:lvlText w:val=""/>
      <w:lvlJc w:val="left"/>
    </w:lvl>
  </w:abstractNum>
  <w:num w:numId="1" w16cid:durableId="268440245">
    <w:abstractNumId w:val="0"/>
    <w:lvlOverride w:ilvl="0">
      <w:startOverride w:val="1"/>
    </w:lvlOverride>
  </w:num>
  <w:num w:numId="2" w16cid:durableId="585966056">
    <w:abstractNumId w:val="1"/>
    <w:lvlOverride w:ilvl="0">
      <w:startOverride w:val="1"/>
    </w:lvlOverride>
  </w:num>
  <w:num w:numId="3" w16cid:durableId="11638614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6F3"/>
    <w:rsid w:val="002556F3"/>
    <w:rsid w:val="0064624B"/>
    <w:rsid w:val="00CA4AA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BB6F513"/>
  <w15:docId w15:val="{A0CAF2E4-6C48-6C4F-8796-FF24FBDF0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3D2B"/>
      <w:sz w:val="28"/>
      <w:szCs w:val="28"/>
    </w:rPr>
  </w:style>
  <w:style w:type="paragraph" w:styleId="Heading2">
    <w:name w:val="heading 2"/>
    <w:uiPriority w:val="9"/>
    <w:unhideWhenUsed/>
    <w:qFormat/>
    <w:pPr>
      <w:spacing w:before="180" w:after="80"/>
      <w:outlineLvl w:val="1"/>
    </w:pPr>
    <w:rPr>
      <w:b/>
      <w:bCs/>
      <w:color w:val="2D6A4F"/>
      <w:sz w:val="24"/>
      <w:szCs w:val="24"/>
    </w:rPr>
  </w:style>
  <w:style w:type="paragraph" w:styleId="Heading3">
    <w:name w:val="heading 3"/>
    <w:uiPriority w:val="9"/>
    <w:semiHidden/>
    <w:unhideWhenUsed/>
    <w:qFormat/>
    <w:pPr>
      <w:spacing w:before="140" w:after="60"/>
      <w:outlineLvl w:val="2"/>
    </w:pPr>
    <w:rPr>
      <w:b/>
      <w:bCs/>
      <w:color w:val="40916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Olayele Awujoola</cp:lastModifiedBy>
  <cp:revision>2</cp:revision>
  <dcterms:created xsi:type="dcterms:W3CDTF">2026-05-16T14:45:00Z</dcterms:created>
  <dcterms:modified xsi:type="dcterms:W3CDTF">2026-05-16T14:45:00Z</dcterms:modified>
</cp:coreProperties>
</file>