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bookmarkStart w:colFirst="0" w:colLast="0" w:name="_9nk7156x5bz4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Zarttech ESOP Contract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/>
      </w:pPr>
      <w:bookmarkStart w:colFirst="0" w:colLast="0" w:name="_q5exeopi40zv" w:id="1"/>
      <w:bookmarkEnd w:id="1"/>
      <w:r w:rsidDel="00000000" w:rsidR="00000000" w:rsidRPr="00000000">
        <w:rPr>
          <w:rtl w:val="0"/>
        </w:rPr>
        <w:t xml:space="preserve">The EmployeeStockOptionPlan contract consists of the following components: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Owner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 Represents the address of the Zarttech or the Administrator who has exclusive access to certain functions.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Employee struct: Defines the data structure to store employee-related information such as granted, vested, and exercised options, vesting schedule, and transfer eligibility.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Mapping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 Uses a mapping to associate employee addresses with their respective Employee struct instances.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Events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 Emits events to log important contract actions, such as granting options, setting vesting schedules, exercising options, and transferring options.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Modifiers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 Provides access control by defining modifiers to restrict function execution to the contract owner or authorized employees.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Constructor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 Initializes the contract by setting the deployer as the contract owner.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Functions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 Implements various functions to grant stock options, set vesting schedules, exercise options, retrieve vested and exercised options, and transfer options.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