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PROJECT 04 — NER + RELATION EXTRACTION</w:t>
      </w:r>
    </w:p>
    <w:p>
      <w:pPr>
        <w:jc w:val="center"/>
      </w:pPr>
      <w:r>
        <w:rPr>
          <w:b/>
          <w:sz w:val="40"/>
        </w:rPr>
        <w:t>Annotation Development Workflow</w:t>
      </w:r>
    </w:p>
    <w:p>
      <w:pPr>
        <w:jc w:val="center"/>
      </w:pPr>
      <w:r>
        <w:rPr>
          <w:i/>
        </w:rPr>
        <w:t>Initial Guidelines → Edge Cases → Clarification Log → Revised Guidelines → Final QA → Report</w:t>
      </w:r>
    </w:p>
    <w:p>
      <w:r>
        <w:t>This document reconstructs the development of Project 04 from the uploaded project documentation. It shows how the annotation specification evolved through actual annotation, ambiguity identification, clarification, guideline refinement, quality assurance, and portfolio reporting.</w:t>
      </w:r>
    </w:p>
    <w:p>
      <w:pPr>
        <w:pStyle w:val="Heading1"/>
      </w:pPr>
      <w:r>
        <w:t>1. Initial Guidelines</w:t>
      </w:r>
    </w:p>
    <w:p>
      <w:r>
        <w:t>The initial Project 04 specification defined a two-stage workflow: first identify named entities, then create relations between entities when the text supports the relationship. The initial written entity schema contained 10 labels: PERSON, ORGANIZATION, LOCATION, DATE, EVENT, PRODUCT, DISEASE, MONEY, PERCENT, and INITIATIVE. The initial relation schema contained 12 relation types.</w:t>
      </w:r>
    </w:p>
    <w:p>
      <w:r>
        <w:t>The initial rules emphasized complete entity spans, contextual interpretation, avoidance of overlapping entities, annotation of repeated qualifying mentions, evidence-based relations, correct relation direction, and a no-guessing rule. The stated quality standard was accuracy, completeness, and consistency.</w:t>
      </w:r>
    </w:p>
    <w:p>
      <w:r>
        <w:t>The Label Studio configuration used for the project subsequently included an additional SPORTS_TEAM entity and PLAYS_FOR relation. The documentation therefore shows a genuine distinction between the initial written specification and the operational schema used during the evolving project.</w:t>
      </w:r>
    </w:p>
    <w:p>
      <w:pPr>
        <w:pStyle w:val="Heading1"/>
      </w:pPr>
      <w:r>
        <w:t>2. Edge Cases Identified During Annotation</w:t>
      </w:r>
    </w:p>
    <w:p>
      <w:r>
        <w:t>The uploaded clarification and QA documents identify several situations where the initial rules required more explicit operational treatment:</w:t>
      </w:r>
    </w:p>
    <w:tbl>
      <w:tblPr>
        <w:tblStyle w:val="TableGrid"/>
        <w:tblW w:type="auto" w:w="0"/>
        <w:jc w:val="center"/>
        <w:tblLook w:firstColumn="1" w:firstRow="1" w:lastColumn="0" w:lastRow="0" w:noHBand="0" w:noVBand="1" w:val="04A0"/>
      </w:tblPr>
      <w:tblGrid>
        <w:gridCol w:w="4968"/>
        <w:gridCol w:w="4968"/>
      </w:tblGrid>
      <w:tr>
        <w:tc>
          <w:tcPr>
            <w:tcW w:type="dxa" w:w="4968"/>
          </w:tcPr>
          <w:p>
            <w:r>
              <w:t>Edge Case</w:t>
            </w:r>
          </w:p>
        </w:tc>
        <w:tc>
          <w:tcPr>
            <w:tcW w:type="dxa" w:w="4968"/>
          </w:tcPr>
          <w:p>
            <w:r>
              <w:t>Observed Decision Need</w:t>
            </w:r>
          </w:p>
        </w:tc>
      </w:tr>
      <w:tr>
        <w:tc>
          <w:tcPr>
            <w:tcW w:type="dxa" w:w="4968"/>
            <w:vAlign w:val="top"/>
          </w:tcPr>
          <w:p>
            <w:r>
              <w:t>Country name vs. sports team</w:t>
            </w:r>
          </w:p>
        </w:tc>
        <w:tc>
          <w:tcPr>
            <w:tcW w:type="dxa" w:w="4968"/>
            <w:vAlign w:val="top"/>
          </w:tcPr>
          <w:p>
            <w:r>
              <w:t>In sports context, Brazil and Argentina can function as national teams rather than geographic locations.</w:t>
            </w:r>
          </w:p>
        </w:tc>
      </w:tr>
      <w:tr>
        <w:tc>
          <w:tcPr>
            <w:tcW w:type="dxa" w:w="4968"/>
            <w:vAlign w:val="top"/>
          </w:tcPr>
          <w:p>
            <w:r>
              <w:t>Person + sports team</w:t>
            </w:r>
          </w:p>
        </w:tc>
        <w:tc>
          <w:tcPr>
            <w:tcW w:type="dxa" w:w="4968"/>
            <w:vAlign w:val="top"/>
          </w:tcPr>
          <w:p>
            <w:r>
              <w:t>A person appearing near a sports team does not automatically establish PLAYS_FOR.</w:t>
            </w:r>
          </w:p>
        </w:tc>
      </w:tr>
      <w:tr>
        <w:tc>
          <w:tcPr>
            <w:tcW w:type="dxa" w:w="4968"/>
            <w:vAlign w:val="top"/>
          </w:tcPr>
          <w:p>
            <w:r>
              <w:t>Organization names containing locations</w:t>
            </w:r>
          </w:p>
        </w:tc>
        <w:tc>
          <w:tcPr>
            <w:tcW w:type="dxa" w:w="4968"/>
            <w:vAlign w:val="top"/>
          </w:tcPr>
          <w:p>
            <w:r>
              <w:t>A geographic name inside an official organization name remains part of the ORGANIZATION span.</w:t>
            </w:r>
          </w:p>
        </w:tc>
      </w:tr>
      <w:tr>
        <w:tc>
          <w:tcPr>
            <w:tcW w:type="dxa" w:w="4968"/>
            <w:vAlign w:val="top"/>
          </w:tcPr>
          <w:p>
            <w:r>
              <w:t>INITIATIVE vs. generic activity</w:t>
            </w:r>
          </w:p>
        </w:tc>
        <w:tc>
          <w:tcPr>
            <w:tcW w:type="dxa" w:w="4968"/>
            <w:vAlign w:val="top"/>
          </w:tcPr>
          <w:p>
            <w:r>
              <w:t>Descriptive activity phrases may resemble initiatives but require evidence that they represent an identifiable program, project, campaign, or organized activity.</w:t>
            </w:r>
          </w:p>
        </w:tc>
      </w:tr>
      <w:tr>
        <w:tc>
          <w:tcPr>
            <w:tcW w:type="dxa" w:w="4968"/>
            <w:vAlign w:val="top"/>
          </w:tcPr>
          <w:p>
            <w:r>
              <w:t>PRODUCT vs. generic technology/treatment</w:t>
            </w:r>
          </w:p>
        </w:tc>
        <w:tc>
          <w:tcPr>
            <w:tcW w:type="dxa" w:w="4968"/>
            <w:vAlign w:val="top"/>
          </w:tcPr>
          <w:p>
            <w:r>
              <w:t>Generic technologies or treatment descriptions require review against the project-specific PRODUCT rule.</w:t>
            </w:r>
          </w:p>
        </w:tc>
      </w:tr>
      <w:tr>
        <w:tc>
          <w:tcPr>
            <w:tcW w:type="dxa" w:w="4968"/>
            <w:vAlign w:val="top"/>
          </w:tcPr>
          <w:p>
            <w:r>
              <w:t>Disease vs. symptom</w:t>
            </w:r>
          </w:p>
        </w:tc>
        <w:tc>
          <w:tcPr>
            <w:tcW w:type="dxa" w:w="4968"/>
            <w:vAlign w:val="top"/>
          </w:tcPr>
          <w:p>
            <w:r>
              <w:t>Named diseases qualify; ordinary symptoms do not automatically become DISEASE entities.</w:t>
            </w:r>
          </w:p>
        </w:tc>
      </w:tr>
      <w:tr>
        <w:tc>
          <w:tcPr>
            <w:tcW w:type="dxa" w:w="4968"/>
            <w:vAlign w:val="top"/>
          </w:tcPr>
          <w:p>
            <w:r>
              <w:t>Funding amount</w:t>
            </w:r>
          </w:p>
        </w:tc>
        <w:tc>
          <w:tcPr>
            <w:tcW w:type="dxa" w:w="4968"/>
            <w:vAlign w:val="top"/>
          </w:tcPr>
          <w:p>
            <w:r>
              <w:t>A MONEY expression should be linked with FUNDING_AMOUNT only when the text explicitly establishes the funding association.</w:t>
            </w:r>
          </w:p>
        </w:tc>
      </w:tr>
      <w:tr>
        <w:tc>
          <w:tcPr>
            <w:tcW w:type="dxa" w:w="4968"/>
            <w:vAlign w:val="top"/>
          </w:tcPr>
          <w:p>
            <w:r>
              <w:t>Nationality adjectives</w:t>
            </w:r>
          </w:p>
        </w:tc>
        <w:tc>
          <w:tcPr>
            <w:tcW w:type="dxa" w:w="4968"/>
            <w:vAlign w:val="top"/>
          </w:tcPr>
          <w:p>
            <w:r>
              <w:t>Words such as Kenyan and Nigerian may describe a person rather than function as LOCATION entities.</w:t>
            </w:r>
          </w:p>
        </w:tc>
      </w:tr>
      <w:tr>
        <w:tc>
          <w:tcPr>
            <w:tcW w:type="dxa" w:w="4968"/>
            <w:vAlign w:val="top"/>
          </w:tcPr>
          <w:p>
            <w:r>
              <w:t>Relation inference</w:t>
            </w:r>
          </w:p>
        </w:tc>
        <w:tc>
          <w:tcPr>
            <w:tcW w:type="dxa" w:w="4968"/>
            <w:vAlign w:val="top"/>
          </w:tcPr>
          <w:p>
            <w:r>
              <w:t>Entity proximity is insufficient; relations require textual support.</w:t>
            </w:r>
          </w:p>
        </w:tc>
      </w:tr>
      <w:tr>
        <w:tc>
          <w:tcPr>
            <w:tcW w:type="dxa" w:w="4968"/>
            <w:vAlign w:val="top"/>
          </w:tcPr>
          <w:p>
            <w:r>
              <w:t>Entity boundaries</w:t>
            </w:r>
          </w:p>
        </w:tc>
        <w:tc>
          <w:tcPr>
            <w:tcW w:type="dxa" w:w="4968"/>
            <w:vAlign w:val="top"/>
          </w:tcPr>
          <w:p>
            <w:r>
              <w:t>Whitespace and sentence punctuation were identified as important span-quality issues during QA.</w:t>
            </w:r>
          </w:p>
        </w:tc>
      </w:tr>
    </w:tbl>
    <w:p>
      <w:pPr>
        <w:pStyle w:val="Heading1"/>
      </w:pPr>
      <w:r>
        <w:t>3. Clarification Log</w:t>
      </w:r>
    </w:p>
    <w:p>
      <w:r>
        <w:t>The Clarification Log converted observed ambiguities into explicit decisions. Its purpose was to prevent inconsistent decisions across the dataset and create an auditable record of schema changes.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Issue</w:t>
            </w:r>
          </w:p>
        </w:tc>
        <w:tc>
          <w:tcPr>
            <w:tcW w:type="dxa" w:w="3312"/>
          </w:tcPr>
          <w:p>
            <w:r>
              <w:t>Clarification / Decision</w:t>
            </w:r>
          </w:p>
        </w:tc>
        <w:tc>
          <w:tcPr>
            <w:tcW w:type="dxa" w:w="3312"/>
          </w:tcPr>
          <w:p>
            <w:r>
              <w:t>Status</w:t>
            </w:r>
          </w:p>
        </w:tc>
      </w:tr>
      <w:tr>
        <w:tc>
          <w:tcPr>
            <w:tcW w:type="dxa" w:w="3312"/>
            <w:vAlign w:val="top"/>
          </w:tcPr>
          <w:p>
            <w:r>
              <w:t>SPORTS_TEAM</w:t>
            </w:r>
          </w:p>
        </w:tc>
        <w:tc>
          <w:tcPr>
            <w:tcW w:type="dxa" w:w="3312"/>
            <w:vAlign w:val="top"/>
          </w:tcPr>
          <w:p>
            <w:r>
              <w:t>Added to the operational schema for specifically identifiable sports teams.</w:t>
            </w:r>
          </w:p>
        </w:tc>
        <w:tc>
          <w:tcPr>
            <w:tcW w:type="dxa" w:w="3312"/>
            <w:vAlign w:val="top"/>
          </w:tcPr>
          <w:p>
            <w:r>
              <w:t>Schema amendment</w:t>
            </w:r>
          </w:p>
        </w:tc>
      </w:tr>
      <w:tr>
        <w:tc>
          <w:tcPr>
            <w:tcW w:type="dxa" w:w="3312"/>
            <w:vAlign w:val="top"/>
          </w:tcPr>
          <w:p>
            <w:r>
              <w:t>PLAYS_FOR</w:t>
            </w:r>
          </w:p>
        </w:tc>
        <w:tc>
          <w:tcPr>
            <w:tcW w:type="dxa" w:w="3312"/>
            <w:vAlign w:val="top"/>
          </w:tcPr>
          <w:p>
            <w:r>
              <w:t>Added for explicit person/player-to-sports-team relationships.</w:t>
            </w:r>
          </w:p>
        </w:tc>
        <w:tc>
          <w:tcPr>
            <w:tcW w:type="dxa" w:w="3312"/>
            <w:vAlign w:val="top"/>
          </w:tcPr>
          <w:p>
            <w:r>
              <w:t>Schema amendment</w:t>
            </w:r>
          </w:p>
        </w:tc>
      </w:tr>
      <w:tr>
        <w:tc>
          <w:tcPr>
            <w:tcW w:type="dxa" w:w="3312"/>
            <w:vAlign w:val="top"/>
          </w:tcPr>
          <w:p>
            <w:r>
              <w:t>Sports-team distinction</w:t>
            </w:r>
          </w:p>
        </w:tc>
        <w:tc>
          <w:tcPr>
            <w:tcW w:type="dxa" w:w="3312"/>
            <w:vAlign w:val="top"/>
          </w:tcPr>
          <w:p>
            <w:r>
              <w:t>Use SPORTS_TEAM when the text identifies a team; do not default to ORGANIZATION.</w:t>
            </w:r>
          </w:p>
        </w:tc>
        <w:tc>
          <w:tcPr>
            <w:tcW w:type="dxa" w:w="3312"/>
            <w:vAlign w:val="top"/>
          </w:tcPr>
          <w:p>
            <w:r>
              <w:t>Clarified</w:t>
            </w:r>
          </w:p>
        </w:tc>
      </w:tr>
      <w:tr>
        <w:tc>
          <w:tcPr>
            <w:tcW w:type="dxa" w:w="3312"/>
            <w:vAlign w:val="top"/>
          </w:tcPr>
          <w:p>
            <w:r>
              <w:t>PLAYS_FOR evidence</w:t>
            </w:r>
          </w:p>
        </w:tc>
        <w:tc>
          <w:tcPr>
            <w:tcW w:type="dxa" w:w="3312"/>
            <w:vAlign w:val="top"/>
          </w:tcPr>
          <w:p>
            <w:r>
              <w:t>Do not create the relation from proximity alone.</w:t>
            </w:r>
          </w:p>
        </w:tc>
        <w:tc>
          <w:tcPr>
            <w:tcW w:type="dxa" w:w="3312"/>
            <w:vAlign w:val="top"/>
          </w:tcPr>
          <w:p>
            <w:r>
              <w:t>Clarified</w:t>
            </w:r>
          </w:p>
        </w:tc>
      </w:tr>
      <w:tr>
        <w:tc>
          <w:tcPr>
            <w:tcW w:type="dxa" w:w="3312"/>
            <w:vAlign w:val="top"/>
          </w:tcPr>
          <w:p>
            <w:r>
              <w:t>Organization/location overlap</w:t>
            </w:r>
          </w:p>
        </w:tc>
        <w:tc>
          <w:tcPr>
            <w:tcW w:type="dxa" w:w="3312"/>
            <w:vAlign w:val="top"/>
          </w:tcPr>
          <w:p>
            <w:r>
              <w:t>Use the complete organization name and do not create an overlapping LOCATION span.</w:t>
            </w:r>
          </w:p>
        </w:tc>
        <w:tc>
          <w:tcPr>
            <w:tcW w:type="dxa" w:w="3312"/>
            <w:vAlign w:val="top"/>
          </w:tcPr>
          <w:p>
            <w:r>
              <w:t>Confirmed</w:t>
            </w:r>
          </w:p>
        </w:tc>
      </w:tr>
      <w:tr>
        <w:tc>
          <w:tcPr>
            <w:tcW w:type="dxa" w:w="3312"/>
            <w:vAlign w:val="top"/>
          </w:tcPr>
          <w:p>
            <w:r>
              <w:t>INITIATIVE</w:t>
            </w:r>
          </w:p>
        </w:tc>
        <w:tc>
          <w:tcPr>
            <w:tcW w:type="dxa" w:w="3312"/>
            <w:vAlign w:val="top"/>
          </w:tcPr>
          <w:p>
            <w:r>
              <w:t>Require a recognizable program, project, campaign, or organized activity.</w:t>
            </w:r>
          </w:p>
        </w:tc>
        <w:tc>
          <w:tcPr>
            <w:tcW w:type="dxa" w:w="3312"/>
            <w:vAlign w:val="top"/>
          </w:tcPr>
          <w:p>
            <w:r>
              <w:t>Confirmed</w:t>
            </w:r>
          </w:p>
        </w:tc>
      </w:tr>
      <w:tr>
        <w:tc>
          <w:tcPr>
            <w:tcW w:type="dxa" w:w="3312"/>
            <w:vAlign w:val="top"/>
          </w:tcPr>
          <w:p>
            <w:r>
              <w:t>PRODUCT</w:t>
            </w:r>
          </w:p>
        </w:tc>
        <w:tc>
          <w:tcPr>
            <w:tcW w:type="dxa" w:w="3312"/>
            <w:vAlign w:val="top"/>
          </w:tcPr>
          <w:p>
            <w:r>
              <w:t>Generic references are not PRODUCT unless the project-specific rule makes the entity identifiable as a product.</w:t>
            </w:r>
          </w:p>
        </w:tc>
        <w:tc>
          <w:tcPr>
            <w:tcW w:type="dxa" w:w="3312"/>
            <w:vAlign w:val="top"/>
          </w:tcPr>
          <w:p>
            <w:r>
              <w:t>Confirmed</w:t>
            </w:r>
          </w:p>
        </w:tc>
      </w:tr>
      <w:tr>
        <w:tc>
          <w:tcPr>
            <w:tcW w:type="dxa" w:w="3312"/>
            <w:vAlign w:val="top"/>
          </w:tcPr>
          <w:p>
            <w:r>
              <w:t>Disease/symptom</w:t>
            </w:r>
          </w:p>
        </w:tc>
        <w:tc>
          <w:tcPr>
            <w:tcW w:type="dxa" w:w="3312"/>
            <w:vAlign w:val="top"/>
          </w:tcPr>
          <w:p>
            <w:r>
              <w:t>Named diseases/conditions qualify; ordinary symptoms do not automatically qualify.</w:t>
            </w:r>
          </w:p>
        </w:tc>
        <w:tc>
          <w:tcPr>
            <w:tcW w:type="dxa" w:w="3312"/>
            <w:vAlign w:val="top"/>
          </w:tcPr>
          <w:p>
            <w:r>
              <w:t>Confirmed</w:t>
            </w:r>
          </w:p>
        </w:tc>
      </w:tr>
      <w:tr>
        <w:tc>
          <w:tcPr>
            <w:tcW w:type="dxa" w:w="3312"/>
            <w:vAlign w:val="top"/>
          </w:tcPr>
          <w:p>
            <w:r>
              <w:t>Funding amount</w:t>
            </w:r>
          </w:p>
        </w:tc>
        <w:tc>
          <w:tcPr>
            <w:tcW w:type="dxa" w:w="3312"/>
            <w:vAlign w:val="top"/>
          </w:tcPr>
          <w:p>
            <w:r>
              <w:t>FUNDING_AMOUNT requires an explicit association with an initiative/project.</w:t>
            </w:r>
          </w:p>
        </w:tc>
        <w:tc>
          <w:tcPr>
            <w:tcW w:type="dxa" w:w="3312"/>
            <w:vAlign w:val="top"/>
          </w:tcPr>
          <w:p>
            <w:r>
              <w:t>Confirmed</w:t>
            </w:r>
          </w:p>
        </w:tc>
      </w:tr>
      <w:tr>
        <w:tc>
          <w:tcPr>
            <w:tcW w:type="dxa" w:w="3312"/>
            <w:vAlign w:val="top"/>
          </w:tcPr>
          <w:p>
            <w:r>
              <w:t>No guessing</w:t>
            </w:r>
          </w:p>
        </w:tc>
        <w:tc>
          <w:tcPr>
            <w:tcW w:type="dxa" w:w="3312"/>
            <w:vAlign w:val="top"/>
          </w:tcPr>
          <w:p>
            <w:r>
              <w:t>Relations must be supported by explicit or strong textual evidence.</w:t>
            </w:r>
          </w:p>
        </w:tc>
        <w:tc>
          <w:tcPr>
            <w:tcW w:type="dxa" w:w="3312"/>
            <w:vAlign w:val="top"/>
          </w:tcPr>
          <w:p>
            <w:r>
              <w:t>Core rule</w:t>
            </w:r>
          </w:p>
        </w:tc>
      </w:tr>
    </w:tbl>
    <w:p>
      <w:pPr>
        <w:pStyle w:val="Heading1"/>
      </w:pPr>
      <w:r>
        <w:t>4. Revised Guidelines</w:t>
      </w:r>
    </w:p>
    <w:p>
      <w:r>
        <w:t>The revised guidelines incorporated the operational changes and made the relation layer more explicit. The revised document includes SPORTS_TEAM and defines PLAYS_FOR alongside the existing relations.</w:t>
      </w:r>
    </w:p>
    <w:p>
      <w:r>
        <w:t>Key revised principles include:</w:t>
      </w:r>
    </w:p>
    <w:p>
      <w:pPr>
        <w:pStyle w:val="ListBullet"/>
      </w:pPr>
      <w:r>
        <w:t>Annotate only specific or clearly identifiable entities covered by the schema.</w:t>
      </w:r>
    </w:p>
    <w:p>
      <w:pPr>
        <w:pStyle w:val="ListBullet"/>
      </w:pPr>
      <w:r>
        <w:t>Select complete entity spans and exclude unrelated surrounding text, unnecessary whitespace, and punctuation.</w:t>
      </w:r>
    </w:p>
    <w:p>
      <w:pPr>
        <w:pStyle w:val="ListBullet"/>
      </w:pPr>
      <w:r>
        <w:t>Use context to determine entity type.</w:t>
      </w:r>
    </w:p>
    <w:p>
      <w:pPr>
        <w:pStyle w:val="ListBullet"/>
      </w:pPr>
      <w:r>
        <w:t>Do not create overlapping entities.</w:t>
      </w:r>
    </w:p>
    <w:p>
      <w:pPr>
        <w:pStyle w:val="ListBullet"/>
      </w:pPr>
      <w:r>
        <w:t>Annotate every qualifying repeated occurrence.</w:t>
      </w:r>
    </w:p>
    <w:p>
      <w:pPr>
        <w:pStyle w:val="ListBullet"/>
      </w:pPr>
      <w:r>
        <w:t>Both endpoints of a relation must first exist as valid entity annotations.</w:t>
      </w:r>
    </w:p>
    <w:p>
      <w:pPr>
        <w:pStyle w:val="ListBullet"/>
      </w:pPr>
      <w:r>
        <w:t>Relation evidence must come from the text; proximity alone is not enough.</w:t>
      </w:r>
    </w:p>
    <w:p>
      <w:pPr>
        <w:pStyle w:val="ListBullet"/>
      </w:pPr>
      <w:r>
        <w:t>Follow relation direction exactly as defined.</w:t>
      </w:r>
    </w:p>
    <w:p>
      <w:pPr>
        <w:pStyle w:val="ListBullet"/>
      </w:pPr>
      <w:r>
        <w:t>Do not infer unsupported relationships.</w:t>
      </w:r>
    </w:p>
    <w:p>
      <w:pPr>
        <w:pStyle w:val="ListBullet"/>
      </w:pPr>
      <w:r>
        <w:t>Multiple relations may be created when the text independently supports each one.</w:t>
      </w:r>
    </w:p>
    <w:p>
      <w:r>
        <w:t>The revised operational schema therefore became 11 entity labels and 13 relation labels, including SPORTS_TEAM and PLAYS_FOR.</w:t>
      </w:r>
    </w:p>
    <w:p>
      <w:pPr>
        <w:pStyle w:val="Heading1"/>
      </w:pPr>
      <w:r>
        <w:t>5. Final QA</w:t>
      </w:r>
    </w:p>
    <w:p>
      <w:r>
        <w:t>The uploaded QA documents show that quality assurance was treated as a separate stage rather than assuming that exported annotations were automatically correct.</w:t>
      </w:r>
    </w:p>
    <w:tbl>
      <w:tblPr>
        <w:tblStyle w:val="TableGrid"/>
        <w:tblW w:type="auto" w:w="0"/>
        <w:jc w:val="center"/>
        <w:tblLook w:firstColumn="1" w:firstRow="1" w:lastColumn="0" w:lastRow="0" w:noHBand="0" w:noVBand="1" w:val="04A0"/>
      </w:tblPr>
      <w:tblGrid>
        <w:gridCol w:w="4968"/>
        <w:gridCol w:w="4968"/>
      </w:tblGrid>
      <w:tr>
        <w:tc>
          <w:tcPr>
            <w:tcW w:type="dxa" w:w="4968"/>
          </w:tcPr>
          <w:p>
            <w:r>
              <w:t>QA Area</w:t>
            </w:r>
          </w:p>
        </w:tc>
        <w:tc>
          <w:tcPr>
            <w:tcW w:type="dxa" w:w="4968"/>
          </w:tcPr>
          <w:p>
            <w:r>
              <w:t>Finding / Interpretation</w:t>
            </w:r>
          </w:p>
        </w:tc>
      </w:tr>
      <w:tr>
        <w:tc>
          <w:tcPr>
            <w:tcW w:type="dxa" w:w="4968"/>
          </w:tcPr>
          <w:p>
            <w:r>
              <w:t>Dataset scope</w:t>
            </w:r>
          </w:p>
        </w:tc>
        <w:tc>
          <w:tcPr>
            <w:tcW w:type="dxa" w:w="4968"/>
          </w:tcPr>
          <w:p>
            <w:r>
              <w:t>20 articles/tasks were reviewed.</w:t>
            </w:r>
          </w:p>
        </w:tc>
      </w:tr>
      <w:tr>
        <w:tc>
          <w:tcPr>
            <w:tcW w:type="dxa" w:w="4968"/>
          </w:tcPr>
          <w:p>
            <w:r>
              <w:t>Entity volume</w:t>
            </w:r>
          </w:p>
        </w:tc>
        <w:tc>
          <w:tcPr>
            <w:tcW w:type="dxa" w:w="4968"/>
          </w:tcPr>
          <w:p>
            <w:r>
              <w:t>The project documentation reports 123 entity annotations in one reviewed export; a corrected QA review reports 124 in the later export/review.</w:t>
            </w:r>
          </w:p>
        </w:tc>
      </w:tr>
      <w:tr>
        <w:tc>
          <w:tcPr>
            <w:tcW w:type="dxa" w:w="4968"/>
          </w:tcPr>
          <w:p>
            <w:r>
              <w:t>Boundary QA</w:t>
            </w:r>
          </w:p>
        </w:tc>
        <w:tc>
          <w:tcPr>
            <w:tcW w:type="dxa" w:w="4968"/>
          </w:tcPr>
          <w:p>
            <w:r>
              <w:t>Boundary-quality flags involved leading/trailing whitespace or sentence punctuation.</w:t>
            </w:r>
          </w:p>
        </w:tc>
      </w:tr>
      <w:tr>
        <w:tc>
          <w:tcPr>
            <w:tcW w:type="dxa" w:w="4968"/>
          </w:tcPr>
          <w:p>
            <w:r>
              <w:t>Semantic QA</w:t>
            </w:r>
          </w:p>
        </w:tc>
        <w:tc>
          <w:tcPr>
            <w:tcW w:type="dxa" w:w="4968"/>
          </w:tcPr>
          <w:p>
            <w:r>
              <w:t>Sports-team, INITIATIVE, PRODUCT/treatment, and related contextual cases required manual review.</w:t>
            </w:r>
          </w:p>
        </w:tc>
      </w:tr>
      <w:tr>
        <w:tc>
          <w:tcPr>
            <w:tcW w:type="dxa" w:w="4968"/>
          </w:tcPr>
          <w:p>
            <w:r>
              <w:t>Overlap QA</w:t>
            </w:r>
          </w:p>
        </w:tc>
        <w:tc>
          <w:tcPr>
            <w:tcW w:type="dxa" w:w="4968"/>
          </w:tcPr>
          <w:p>
            <w:r>
              <w:t>The QA review reported no overlapping span pairs requiring manual review.</w:t>
            </w:r>
          </w:p>
        </w:tc>
      </w:tr>
      <w:tr>
        <w:tc>
          <w:tcPr>
            <w:tcW w:type="dxa" w:w="4968"/>
          </w:tcPr>
          <w:p>
            <w:r>
              <w:t>Relation QA</w:t>
            </w:r>
          </w:p>
        </w:tc>
        <w:tc>
          <w:tcPr>
            <w:tcW w:type="dxa" w:w="4968"/>
          </w:tcPr>
          <w:p>
            <w:r>
              <w:t>The project documentation notes that relation coverage must be assessed from a relation-capable export; the uploaded JSON evidence does contain at least one WORKS_FOR relation.</w:t>
            </w:r>
          </w:p>
        </w:tc>
      </w:tr>
      <w:tr>
        <w:tc>
          <w:tcPr>
            <w:tcW w:type="dxa" w:w="4968"/>
          </w:tcPr>
          <w:p>
            <w:r>
              <w:t>Final QA principle</w:t>
            </w:r>
          </w:p>
        </w:tc>
        <w:tc>
          <w:tcPr>
            <w:tcW w:type="dxa" w:w="4968"/>
          </w:tcPr>
          <w:p>
            <w:r>
              <w:t>Boundary flags should be distinguished from classification errors, and unsupported relations should not be claimed as completed without evidence.</w:t>
            </w:r>
          </w:p>
        </w:tc>
      </w:tr>
    </w:tbl>
    <w:p>
      <w:pPr>
        <w:pStyle w:val="Heading1"/>
      </w:pPr>
      <w:r>
        <w:t>6. Report</w:t>
      </w:r>
    </w:p>
    <w:p>
      <w:r>
        <w:t>The final project report brings the workflow together as portfolio evidence. It documents the project objective, annotation schema, workflow, edge cases, schema refinement, quality-review framework, lessons learned, and professional significance.</w:t>
      </w:r>
    </w:p>
    <w:p>
      <w:r>
        <w:t>The report emphasizes that the value of the project is not simply the number of annotations. The stronger evidence is the ability to interpret a specification, identify ambiguity, document decisions, maintain consistency, apply QA, and trace changes from the original specification to the operational annotation scheme.</w:t>
      </w:r>
    </w:p>
    <w:p>
      <w:r>
        <w:t>The uploaded report specifically identifies the following professional capabilities: advanced span-based NER annotation, custom ontology interpretation, contextual entity disambiguation, annotation consistency and boundary control, edge-case identification and guideline refinement, Label Studio workflow and export handling, quality assurance, and documentation of annotation limitations.</w:t>
      </w:r>
    </w:p>
    <w:p>
      <w:pPr>
        <w:pStyle w:val="Heading1"/>
      </w:pPr>
      <w:r>
        <w:t>7. The Complete Project 04 Development Cycle</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What the Project Demonstrates</w:t>
            </w:r>
          </w:p>
        </w:tc>
      </w:tr>
      <w:tr>
        <w:tc>
          <w:tcPr>
            <w:tcW w:type="dxa" w:w="4968"/>
          </w:tcPr>
          <w:p>
            <w:r>
              <w:t>Initial Guidelines</w:t>
            </w:r>
          </w:p>
        </w:tc>
        <w:tc>
          <w:tcPr>
            <w:tcW w:type="dxa" w:w="4968"/>
          </w:tcPr>
          <w:p>
            <w:r>
              <w:t>Defined the original NER and relation framework and quality expectations.</w:t>
            </w:r>
          </w:p>
        </w:tc>
      </w:tr>
      <w:tr>
        <w:tc>
          <w:tcPr>
            <w:tcW w:type="dxa" w:w="4968"/>
          </w:tcPr>
          <w:p>
            <w:r>
              <w:t>Edge Cases</w:t>
            </w:r>
          </w:p>
        </w:tc>
        <w:tc>
          <w:tcPr>
            <w:tcW w:type="dxa" w:w="4968"/>
          </w:tcPr>
          <w:p>
            <w:r>
              <w:t>Actual annotation exposed ambiguity that the initial rules did not fully resolve.</w:t>
            </w:r>
          </w:p>
        </w:tc>
      </w:tr>
      <w:tr>
        <w:tc>
          <w:tcPr>
            <w:tcW w:type="dxa" w:w="4968"/>
          </w:tcPr>
          <w:p>
            <w:r>
              <w:t>Clarification Log</w:t>
            </w:r>
          </w:p>
        </w:tc>
        <w:tc>
          <w:tcPr>
            <w:tcW w:type="dxa" w:w="4968"/>
          </w:tcPr>
          <w:p>
            <w:r>
              <w:t>Ambiguities were converted into documented decisions and schema amendments.</w:t>
            </w:r>
          </w:p>
        </w:tc>
      </w:tr>
      <w:tr>
        <w:tc>
          <w:tcPr>
            <w:tcW w:type="dxa" w:w="4968"/>
          </w:tcPr>
          <w:p>
            <w:r>
              <w:t>Revised Guidelines</w:t>
            </w:r>
          </w:p>
        </w:tc>
        <w:tc>
          <w:tcPr>
            <w:tcW w:type="dxa" w:w="4968"/>
          </w:tcPr>
          <w:p>
            <w:r>
              <w:t>The operational rules were expanded to include SPORTS_TEAM, PLAYS_FOR, contextual distinctions, and stronger relation rules.</w:t>
            </w:r>
          </w:p>
        </w:tc>
      </w:tr>
      <w:tr>
        <w:tc>
          <w:tcPr>
            <w:tcW w:type="dxa" w:w="4968"/>
          </w:tcPr>
          <w:p>
            <w:r>
              <w:t>Final QA</w:t>
            </w:r>
          </w:p>
        </w:tc>
        <w:tc>
          <w:tcPr>
            <w:tcW w:type="dxa" w:w="4968"/>
          </w:tcPr>
          <w:p>
            <w:r>
              <w:t>The exported annotations were reviewed for boundaries, classification-sensitive cases, overlap, consistency, and relation evidence.</w:t>
            </w:r>
          </w:p>
        </w:tc>
      </w:tr>
      <w:tr>
        <w:tc>
          <w:tcPr>
            <w:tcW w:type="dxa" w:w="4968"/>
          </w:tcPr>
          <w:p>
            <w:r>
              <w:t>Report</w:t>
            </w:r>
          </w:p>
        </w:tc>
        <w:tc>
          <w:tcPr>
            <w:tcW w:type="dxa" w:w="4968"/>
          </w:tcPr>
          <w:p>
            <w:r>
              <w:t>The complete process and its limitations were documented as auditable portfolio evidence.</w:t>
            </w:r>
          </w:p>
        </w:tc>
      </w:tr>
    </w:tbl>
    <w:p>
      <w:pPr>
        <w:pStyle w:val="Heading1"/>
      </w:pPr>
      <w:r>
        <w:t>8. Portfolio Interpretation</w:t>
      </w:r>
    </w:p>
    <w:p>
      <w:r>
        <w:t>This workflow is stronger portfolio evidence than presenting only the final guidelines. It demonstrates an auditable annotation-development process: specification → observation → clarification → refinement → QA → documentation. The uploaded materials support this progression directly.</w:t>
      </w:r>
    </w:p>
    <w:p>
      <w:r>
        <w:t>Important limitation: the uploaded documents are not completely identical in their reported annotation counts and QA findings. This document preserves those differences rather than silently replacing them. The earlier report refers to 123 reviewed entity annotations, while the corrected QA review refers to 124 entity annotations. Likewise, relation status differs between exports; therefore relation completion should be described only from the relation-capable export actually used as the final project artifact.</w:t>
      </w:r>
    </w:p>
    <w:p/>
    <w:p>
      <w:pPr>
        <w:jc w:val="center"/>
      </w:pPr>
      <w:r>
        <w:rPr>
          <w:b/>
          <w:sz w:val="18"/>
        </w:rPr>
        <w:t>Project 04 — Annotation Development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