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PROJECT 02</w:t>
      </w:r>
    </w:p>
    <w:p>
      <w:pPr>
        <w:jc w:val="center"/>
      </w:pPr>
      <w:r>
        <w:rPr>
          <w:b/>
          <w:sz w:val="42"/>
        </w:rPr>
        <w:t>AIR FRYER CUSTOMER REVIEW ANNOTATION REPORT</w:t>
      </w:r>
    </w:p>
    <w:p>
      <w:pPr>
        <w:jc w:val="center"/>
      </w:pPr>
      <w:r>
        <w:rPr>
          <w:i/>
        </w:rPr>
        <w:t>Final Report Based on Label Studio Export</w:t>
      </w:r>
    </w:p>
    <w:tbl>
      <w:tblPr>
        <w:tblStyle w:val="TableGrid"/>
        <w:tblW w:type="auto" w:w="0"/>
        <w:jc w:val="center"/>
        <w:tblLook w:firstColumn="1" w:firstRow="1" w:lastColumn="0" w:lastRow="0" w:noHBand="0" w:noVBand="1" w:val="04A0"/>
      </w:tblPr>
      <w:tblGrid>
        <w:gridCol w:w="4968"/>
        <w:gridCol w:w="4968"/>
      </w:tblGrid>
      <w:tr>
        <w:tc>
          <w:tcPr>
            <w:tcW w:type="dxa" w:w="4968"/>
          </w:tcPr>
          <w:p>
            <w:r>
              <w:t>Annotation Tool</w:t>
            </w:r>
          </w:p>
        </w:tc>
        <w:tc>
          <w:tcPr>
            <w:tcW w:type="dxa" w:w="4968"/>
          </w:tcPr>
          <w:p>
            <w:r>
              <w:t>Label Studio</w:t>
            </w:r>
          </w:p>
        </w:tc>
      </w:tr>
      <w:tr>
        <w:tc>
          <w:tcPr>
            <w:tcW w:type="dxa" w:w="4968"/>
          </w:tcPr>
          <w:p>
            <w:r>
              <w:t>Dataset</w:t>
            </w:r>
          </w:p>
        </w:tc>
        <w:tc>
          <w:tcPr>
            <w:tcW w:type="dxa" w:w="4968"/>
          </w:tcPr>
          <w:p>
            <w:r>
              <w:t>Air Fryer Customer Reviews</w:t>
            </w:r>
          </w:p>
        </w:tc>
      </w:tr>
      <w:tr>
        <w:tc>
          <w:tcPr>
            <w:tcW w:type="dxa" w:w="4968"/>
          </w:tcPr>
          <w:p>
            <w:r>
              <w:t>Export reviewed</w:t>
            </w:r>
          </w:p>
        </w:tc>
        <w:tc>
          <w:tcPr>
            <w:tcW w:type="dxa" w:w="4968"/>
          </w:tcPr>
          <w:p>
            <w:r>
              <w:t>7b225d5b-75e9-4259-84fb-ad3ee0dab89d.csv</w:t>
            </w:r>
          </w:p>
        </w:tc>
      </w:tr>
      <w:tr>
        <w:tc>
          <w:tcPr>
            <w:tcW w:type="dxa" w:w="4968"/>
          </w:tcPr>
          <w:p>
            <w:r>
              <w:t>Exported records/tasks</w:t>
            </w:r>
          </w:p>
        </w:tc>
        <w:tc>
          <w:tcPr>
            <w:tcW w:type="dxa" w:w="4968"/>
          </w:tcPr>
          <w:p>
            <w:r>
              <w:t>100</w:t>
            </w:r>
          </w:p>
        </w:tc>
      </w:tr>
      <w:tr>
        <w:tc>
          <w:tcPr>
            <w:tcW w:type="dxa" w:w="4968"/>
          </w:tcPr>
          <w:p>
            <w:r>
              <w:t>Annotation framework</w:t>
            </w:r>
          </w:p>
        </w:tc>
        <w:tc>
          <w:tcPr>
            <w:tcW w:type="dxa" w:w="4968"/>
          </w:tcPr>
          <w:p>
            <w:r>
              <w:t>Product Aspect, Opinion, Aspect Sentiment, Edge Case</w:t>
            </w:r>
          </w:p>
        </w:tc>
      </w:tr>
    </w:tbl>
    <w:p>
      <w:pPr>
        <w:pStyle w:val="Heading1"/>
      </w:pPr>
      <w:r>
        <w:t>1. Executive Summary</w:t>
      </w:r>
    </w:p>
    <w:p>
      <w:r>
        <w:t>The completed Air Fryer Customer Review Annotation project was reviewed using the final Label Studio CSV export containing 100 records/tasks. The project applied a multi-layer annotation framework designed to capture product/service aspects, evaluative language, aspect-level sentiment, and difficult annotation situations.</w:t>
      </w:r>
    </w:p>
    <w:p>
      <w:r>
        <w:t>The final export was used as the basis for the quantitative section of this report. The original project guidelines were also used to interpret the annotation structure. No annotation counts were invented where the CSV structure did not expose a clean, machine-readable field for a particular layer.</w:t>
      </w:r>
    </w:p>
    <w:p>
      <w:pPr>
        <w:pStyle w:val="Heading1"/>
      </w:pPr>
      <w:r>
        <w:t>2. Project Objective</w:t>
      </w:r>
    </w:p>
    <w:p>
      <w:r>
        <w:t>The objective was to transform unstructured air-fryer customer reviews into structured annotation data suitable for analysis and machine-learning workflows. The project required the annotator to identify all relevant aspects rather than assigning one overall label to a review.</w:t>
      </w:r>
    </w:p>
    <w:p>
      <w:pPr>
        <w:pStyle w:val="Heading1"/>
      </w:pPr>
      <w:r>
        <w:t>3. Annotation Layers</w:t>
      </w:r>
    </w:p>
    <w:p>
      <w:pPr>
        <w:pStyle w:val="ListBullet"/>
      </w:pPr>
      <w:r>
        <w:t>Product Aspect — identifies what product or service feature is being discussed.</w:t>
      </w:r>
    </w:p>
    <w:p>
      <w:pPr>
        <w:pStyle w:val="ListBullet"/>
      </w:pPr>
      <w:r>
        <w:t>Opinion — identifies evaluative language associated with an aspect.</w:t>
      </w:r>
    </w:p>
    <w:p>
      <w:pPr>
        <w:pStyle w:val="ListBullet"/>
      </w:pPr>
      <w:r>
        <w:t>Aspect Sentiment — classifies the evaluation as positive, negative, or neutral.</w:t>
      </w:r>
    </w:p>
    <w:p>
      <w:pPr>
        <w:pStyle w:val="ListBullet"/>
      </w:pPr>
      <w:r>
        <w:t>Edge Case — flags situations requiring special reasoning, such as ambiguity, context dependence, implicit aspects, multiple aspects, or mixed sentiment.</w:t>
      </w:r>
    </w:p>
    <w:p>
      <w:pPr>
        <w:pStyle w:val="Heading1"/>
      </w:pPr>
      <w:r>
        <w:t>4. Product Aspect Taxonomy</w:t>
      </w:r>
    </w:p>
    <w:p>
      <w:r>
        <w:rPr>
          <w:b/>
        </w:rPr>
        <w:t xml:space="preserve">Product Quality: </w:t>
      </w:r>
      <w:r>
        <w:t>General construction, materials, workmanship, or physical quality.</w:t>
      </w:r>
    </w:p>
    <w:p>
      <w:r>
        <w:rPr>
          <w:b/>
        </w:rPr>
        <w:t xml:space="preserve">Price: </w:t>
      </w:r>
      <w:r>
        <w:t>Cost, affordability, expense, or monetary value.</w:t>
      </w:r>
    </w:p>
    <w:p>
      <w:r>
        <w:rPr>
          <w:b/>
        </w:rPr>
        <w:t xml:space="preserve">Delivery: </w:t>
      </w:r>
      <w:r>
        <w:t>Shipping, arrival, and delivery timing.</w:t>
      </w:r>
    </w:p>
    <w:p>
      <w:r>
        <w:rPr>
          <w:b/>
        </w:rPr>
        <w:t xml:space="preserve">Packaging: </w:t>
      </w:r>
      <w:r>
        <w:t>Box, wrapping, protective material, and package condition.</w:t>
      </w:r>
    </w:p>
    <w:p>
      <w:r>
        <w:rPr>
          <w:b/>
        </w:rPr>
        <w:t xml:space="preserve">Customer Service: </w:t>
      </w:r>
      <w:r>
        <w:t>Assistance from seller, manufacturer, or support team.</w:t>
      </w:r>
    </w:p>
    <w:p>
      <w:r>
        <w:rPr>
          <w:b/>
        </w:rPr>
        <w:t xml:space="preserve">Battery: </w:t>
      </w:r>
      <w:r>
        <w:t>Battery-specific references.</w:t>
      </w:r>
    </w:p>
    <w:p>
      <w:r>
        <w:rPr>
          <w:b/>
        </w:rPr>
        <w:t xml:space="preserve">Camera: </w:t>
      </w:r>
      <w:r>
        <w:t>Camera-specific references.</w:t>
      </w:r>
    </w:p>
    <w:p>
      <w:r>
        <w:rPr>
          <w:b/>
        </w:rPr>
        <w:t xml:space="preserve">Screen: </w:t>
      </w:r>
      <w:r>
        <w:t>Digital display, screen, or touchscreen.</w:t>
      </w:r>
    </w:p>
    <w:p>
      <w:r>
        <w:rPr>
          <w:b/>
        </w:rPr>
        <w:t xml:space="preserve">Performance: </w:t>
      </w:r>
      <w:r>
        <w:t>Cooking effectiveness and operating performance.</w:t>
      </w:r>
    </w:p>
    <w:p>
      <w:r>
        <w:rPr>
          <w:b/>
        </w:rPr>
        <w:t xml:space="preserve">Comfort: </w:t>
      </w:r>
      <w:r>
        <w:t>Physical comfort or ease of handling.</w:t>
      </w:r>
    </w:p>
    <w:p>
      <w:r>
        <w:rPr>
          <w:b/>
        </w:rPr>
        <w:t xml:space="preserve">Durability: </w:t>
      </w:r>
      <w:r>
        <w:t>Long-term reliability, wear, breakage, cracking, or failure over time.</w:t>
      </w:r>
    </w:p>
    <w:p>
      <w:r>
        <w:rPr>
          <w:b/>
        </w:rPr>
        <w:t xml:space="preserve">Size: </w:t>
      </w:r>
      <w:r>
        <w:t>Physical dimensions, basket size, cooking capacity, or counter space.</w:t>
      </w:r>
    </w:p>
    <w:p>
      <w:r>
        <w:rPr>
          <w:b/>
        </w:rPr>
        <w:t xml:space="preserve">Appearance: </w:t>
      </w:r>
      <w:r>
        <w:t>Design, colour, finish, and visual style.</w:t>
      </w:r>
    </w:p>
    <w:p>
      <w:pPr>
        <w:pStyle w:val="Heading1"/>
      </w:pPr>
      <w:r>
        <w:t>5. Export-Derived Results</w:t>
      </w:r>
    </w:p>
    <w:p>
      <w:r>
        <w:t>The supplied CSV contains 100 exported records/tasks.</w:t>
      </w:r>
    </w:p>
    <w:tbl>
      <w:tblPr>
        <w:tblStyle w:val="TableGrid"/>
        <w:tblW w:type="auto" w:w="0"/>
        <w:tblLook w:firstColumn="1" w:firstRow="1" w:lastColumn="0" w:lastRow="0" w:noHBand="0" w:noVBand="1" w:val="04A0"/>
      </w:tblPr>
      <w:tblGrid>
        <w:gridCol w:w="4968"/>
        <w:gridCol w:w="4968"/>
      </w:tblGrid>
      <w:tr>
        <w:tc>
          <w:tcPr>
            <w:tcW w:type="dxa" w:w="4968"/>
          </w:tcPr>
          <w:p>
            <w:r>
              <w:t>Measure</w:t>
            </w:r>
          </w:p>
        </w:tc>
        <w:tc>
          <w:tcPr>
            <w:tcW w:type="dxa" w:w="4968"/>
          </w:tcPr>
          <w:p>
            <w:r>
              <w:t>Export-derived result</w:t>
            </w:r>
          </w:p>
        </w:tc>
      </w:tr>
      <w:tr>
        <w:tc>
          <w:tcPr>
            <w:tcW w:type="dxa" w:w="4968"/>
          </w:tcPr>
          <w:p>
            <w:r>
              <w:t>Number of CSV records/tasks</w:t>
            </w:r>
          </w:p>
        </w:tc>
        <w:tc>
          <w:tcPr>
            <w:tcW w:type="dxa" w:w="4968"/>
          </w:tcPr>
          <w:p>
            <w:r>
              <w:t>100</w:t>
            </w:r>
          </w:p>
        </w:tc>
      </w:tr>
      <w:tr>
        <w:tc>
          <w:tcPr>
            <w:tcW w:type="dxa" w:w="4968"/>
          </w:tcPr>
          <w:p>
            <w:r>
              <w:t>Rows containing Product Aspect label terms</w:t>
            </w:r>
          </w:p>
        </w:tc>
        <w:tc>
          <w:tcPr>
            <w:tcW w:type="dxa" w:w="4968"/>
          </w:tcPr>
          <w:p>
            <w:r>
              <w:t>99</w:t>
            </w:r>
          </w:p>
        </w:tc>
      </w:tr>
      <w:tr>
        <w:tc>
          <w:tcPr>
            <w:tcW w:type="dxa" w:w="4968"/>
          </w:tcPr>
          <w:p>
            <w:r>
              <w:t>Rows containing Opinion label terms</w:t>
            </w:r>
          </w:p>
        </w:tc>
        <w:tc>
          <w:tcPr>
            <w:tcW w:type="dxa" w:w="4968"/>
          </w:tcPr>
          <w:p>
            <w:r>
              <w:t>98</w:t>
            </w:r>
          </w:p>
        </w:tc>
      </w:tr>
      <w:tr>
        <w:tc>
          <w:tcPr>
            <w:tcW w:type="dxa" w:w="4968"/>
          </w:tcPr>
          <w:p>
            <w:r>
              <w:t>Rows containing Edge Case label terms</w:t>
            </w:r>
          </w:p>
        </w:tc>
        <w:tc>
          <w:tcPr>
            <w:tcW w:type="dxa" w:w="4968"/>
          </w:tcPr>
          <w:p>
            <w:r>
              <w:t>99</w:t>
            </w:r>
          </w:p>
        </w:tc>
      </w:tr>
      <w:tr>
        <w:tc>
          <w:tcPr>
            <w:tcW w:type="dxa" w:w="4968"/>
          </w:tcPr>
          <w:p>
            <w:r>
              <w:t>Rows containing Positive Opinion</w:t>
            </w:r>
          </w:p>
        </w:tc>
        <w:tc>
          <w:tcPr>
            <w:tcW w:type="dxa" w:w="4968"/>
          </w:tcPr>
          <w:p>
            <w:r>
              <w:t>46</w:t>
            </w:r>
          </w:p>
        </w:tc>
      </w:tr>
      <w:tr>
        <w:tc>
          <w:tcPr>
            <w:tcW w:type="dxa" w:w="4968"/>
          </w:tcPr>
          <w:p>
            <w:r>
              <w:t>Rows containing Negative Opinion</w:t>
            </w:r>
          </w:p>
        </w:tc>
        <w:tc>
          <w:tcPr>
            <w:tcW w:type="dxa" w:w="4968"/>
          </w:tcPr>
          <w:p>
            <w:r>
              <w:t>62</w:t>
            </w:r>
          </w:p>
        </w:tc>
      </w:tr>
      <w:tr>
        <w:tc>
          <w:tcPr>
            <w:tcW w:type="dxa" w:w="4968"/>
          </w:tcPr>
          <w:p>
            <w:r>
              <w:t>Rows containing Neutral Opinion</w:t>
            </w:r>
          </w:p>
        </w:tc>
        <w:tc>
          <w:tcPr>
            <w:tcW w:type="dxa" w:w="4968"/>
          </w:tcPr>
          <w:p>
            <w:r>
              <w:t>8</w:t>
            </w:r>
          </w:p>
        </w:tc>
      </w:tr>
    </w:tbl>
    <w:p>
      <w:r>
        <w:t>Note: These row-level counts indicate records in which the corresponding label text appears in the export. They should not be interpreted as the exact number of span annotations when multiple annotations are stored inside a single serialized field.</w:t>
      </w:r>
    </w:p>
    <w:p>
      <w:pPr>
        <w:pStyle w:val="Heading1"/>
      </w:pPr>
      <w:r>
        <w:t>6. Aspect Label Occurrences in the Export</w:t>
      </w:r>
    </w:p>
    <w:tbl>
      <w:tblPr>
        <w:tblStyle w:val="TableGrid"/>
        <w:tblW w:type="auto" w:w="0"/>
        <w:tblLook w:firstColumn="1" w:firstRow="1" w:lastColumn="0" w:lastRow="0" w:noHBand="0" w:noVBand="1" w:val="04A0"/>
      </w:tblPr>
      <w:tblGrid>
        <w:gridCol w:w="4968"/>
        <w:gridCol w:w="4968"/>
      </w:tblGrid>
      <w:tr>
        <w:tc>
          <w:tcPr>
            <w:tcW w:type="dxa" w:w="4968"/>
          </w:tcPr>
          <w:p>
            <w:r>
              <w:t>Product Aspect</w:t>
            </w:r>
          </w:p>
        </w:tc>
        <w:tc>
          <w:tcPr>
            <w:tcW w:type="dxa" w:w="4968"/>
          </w:tcPr>
          <w:p>
            <w:r>
              <w:t>Label-term occurrences in export</w:t>
            </w:r>
          </w:p>
        </w:tc>
      </w:tr>
      <w:tr>
        <w:tc>
          <w:tcPr>
            <w:tcW w:type="dxa" w:w="4968"/>
          </w:tcPr>
          <w:p>
            <w:r>
              <w:t>Product Quality</w:t>
            </w:r>
          </w:p>
        </w:tc>
        <w:tc>
          <w:tcPr>
            <w:tcW w:type="dxa" w:w="4968"/>
          </w:tcPr>
          <w:p>
            <w:r>
              <w:t>61</w:t>
            </w:r>
          </w:p>
        </w:tc>
      </w:tr>
      <w:tr>
        <w:tc>
          <w:tcPr>
            <w:tcW w:type="dxa" w:w="4968"/>
          </w:tcPr>
          <w:p>
            <w:r>
              <w:t>Price</w:t>
            </w:r>
          </w:p>
        </w:tc>
        <w:tc>
          <w:tcPr>
            <w:tcW w:type="dxa" w:w="4968"/>
          </w:tcPr>
          <w:p>
            <w:r>
              <w:t>19</w:t>
            </w:r>
          </w:p>
        </w:tc>
      </w:tr>
      <w:tr>
        <w:tc>
          <w:tcPr>
            <w:tcW w:type="dxa" w:w="4968"/>
          </w:tcPr>
          <w:p>
            <w:r>
              <w:t>Delivery</w:t>
            </w:r>
          </w:p>
        </w:tc>
        <w:tc>
          <w:tcPr>
            <w:tcW w:type="dxa" w:w="4968"/>
          </w:tcPr>
          <w:p>
            <w:r>
              <w:t>13</w:t>
            </w:r>
          </w:p>
        </w:tc>
      </w:tr>
      <w:tr>
        <w:tc>
          <w:tcPr>
            <w:tcW w:type="dxa" w:w="4968"/>
          </w:tcPr>
          <w:p>
            <w:r>
              <w:t>Packaging</w:t>
            </w:r>
          </w:p>
        </w:tc>
        <w:tc>
          <w:tcPr>
            <w:tcW w:type="dxa" w:w="4968"/>
          </w:tcPr>
          <w:p>
            <w:r>
              <w:t>7</w:t>
            </w:r>
          </w:p>
        </w:tc>
      </w:tr>
      <w:tr>
        <w:tc>
          <w:tcPr>
            <w:tcW w:type="dxa" w:w="4968"/>
          </w:tcPr>
          <w:p>
            <w:r>
              <w:t>Customer Service</w:t>
            </w:r>
          </w:p>
        </w:tc>
        <w:tc>
          <w:tcPr>
            <w:tcW w:type="dxa" w:w="4968"/>
          </w:tcPr>
          <w:p>
            <w:r>
              <w:t>21</w:t>
            </w:r>
          </w:p>
        </w:tc>
      </w:tr>
      <w:tr>
        <w:tc>
          <w:tcPr>
            <w:tcW w:type="dxa" w:w="4968"/>
          </w:tcPr>
          <w:p>
            <w:r>
              <w:t>Battery</w:t>
            </w:r>
          </w:p>
        </w:tc>
        <w:tc>
          <w:tcPr>
            <w:tcW w:type="dxa" w:w="4968"/>
          </w:tcPr>
          <w:p>
            <w:r>
              <w:t>0</w:t>
            </w:r>
          </w:p>
        </w:tc>
      </w:tr>
      <w:tr>
        <w:tc>
          <w:tcPr>
            <w:tcW w:type="dxa" w:w="4968"/>
          </w:tcPr>
          <w:p>
            <w:r>
              <w:t>Camera</w:t>
            </w:r>
          </w:p>
        </w:tc>
        <w:tc>
          <w:tcPr>
            <w:tcW w:type="dxa" w:w="4968"/>
          </w:tcPr>
          <w:p>
            <w:r>
              <w:t>0</w:t>
            </w:r>
          </w:p>
        </w:tc>
      </w:tr>
      <w:tr>
        <w:tc>
          <w:tcPr>
            <w:tcW w:type="dxa" w:w="4968"/>
          </w:tcPr>
          <w:p>
            <w:r>
              <w:t>Screen</w:t>
            </w:r>
          </w:p>
        </w:tc>
        <w:tc>
          <w:tcPr>
            <w:tcW w:type="dxa" w:w="4968"/>
          </w:tcPr>
          <w:p>
            <w:r>
              <w:t>13</w:t>
            </w:r>
          </w:p>
        </w:tc>
      </w:tr>
      <w:tr>
        <w:tc>
          <w:tcPr>
            <w:tcW w:type="dxa" w:w="4968"/>
          </w:tcPr>
          <w:p>
            <w:r>
              <w:t>Performance</w:t>
            </w:r>
          </w:p>
        </w:tc>
        <w:tc>
          <w:tcPr>
            <w:tcW w:type="dxa" w:w="4968"/>
          </w:tcPr>
          <w:p>
            <w:r>
              <w:t>43</w:t>
            </w:r>
          </w:p>
        </w:tc>
      </w:tr>
      <w:tr>
        <w:tc>
          <w:tcPr>
            <w:tcW w:type="dxa" w:w="4968"/>
          </w:tcPr>
          <w:p>
            <w:r>
              <w:t>Comfort</w:t>
            </w:r>
          </w:p>
        </w:tc>
        <w:tc>
          <w:tcPr>
            <w:tcW w:type="dxa" w:w="4968"/>
          </w:tcPr>
          <w:p>
            <w:r>
              <w:t>15</w:t>
            </w:r>
          </w:p>
        </w:tc>
      </w:tr>
      <w:tr>
        <w:tc>
          <w:tcPr>
            <w:tcW w:type="dxa" w:w="4968"/>
          </w:tcPr>
          <w:p>
            <w:r>
              <w:t>Durability</w:t>
            </w:r>
          </w:p>
        </w:tc>
        <w:tc>
          <w:tcPr>
            <w:tcW w:type="dxa" w:w="4968"/>
          </w:tcPr>
          <w:p>
            <w:r>
              <w:t>6</w:t>
            </w:r>
          </w:p>
        </w:tc>
      </w:tr>
      <w:tr>
        <w:tc>
          <w:tcPr>
            <w:tcW w:type="dxa" w:w="4968"/>
          </w:tcPr>
          <w:p>
            <w:r>
              <w:t>Size</w:t>
            </w:r>
          </w:p>
        </w:tc>
        <w:tc>
          <w:tcPr>
            <w:tcW w:type="dxa" w:w="4968"/>
          </w:tcPr>
          <w:p>
            <w:r>
              <w:t>8</w:t>
            </w:r>
          </w:p>
        </w:tc>
      </w:tr>
      <w:tr>
        <w:tc>
          <w:tcPr>
            <w:tcW w:type="dxa" w:w="4968"/>
          </w:tcPr>
          <w:p>
            <w:r>
              <w:t>Appearance</w:t>
            </w:r>
          </w:p>
        </w:tc>
        <w:tc>
          <w:tcPr>
            <w:tcW w:type="dxa" w:w="4968"/>
          </w:tcPr>
          <w:p>
            <w:r>
              <w:t>9</w:t>
            </w:r>
          </w:p>
        </w:tc>
      </w:tr>
    </w:tbl>
    <w:p>
      <w:r>
        <w:t>These figures are occurrences of the label names in the exported CSV. They are provided as an audit indicator rather than a claim that each occurrence represents a unique annotation span.</w:t>
      </w:r>
    </w:p>
    <w:p>
      <w:pPr>
        <w:pStyle w:val="Heading1"/>
      </w:pPr>
      <w:r>
        <w:t>7. Edge Cases Identified in the Project Guidelines and Review</w:t>
      </w:r>
    </w:p>
    <w:p>
      <w:r>
        <w:rPr>
          <w:b/>
        </w:rPr>
        <w:t xml:space="preserve">Multiple Aspects: </w:t>
      </w:r>
      <w:r>
        <w:t>A review can contain several aspects, and every relevant aspect should be annotated.</w:t>
      </w:r>
    </w:p>
    <w:p>
      <w:r>
        <w:rPr>
          <w:b/>
        </w:rPr>
        <w:t xml:space="preserve">Mixed Sentiment: </w:t>
      </w:r>
      <w:r>
        <w:t>Different aspects within the same review can have different sentiments; sentiment is assigned at aspect level.</w:t>
      </w:r>
    </w:p>
    <w:p>
      <w:r>
        <w:rPr>
          <w:b/>
        </w:rPr>
        <w:t xml:space="preserve">Context Dependent: </w:t>
      </w:r>
      <w:r>
        <w:t>Words such as 'fast', 'cheap', 'small', and 'good' can map to different aspects depending on context.</w:t>
      </w:r>
    </w:p>
    <w:p>
      <w:r>
        <w:rPr>
          <w:b/>
        </w:rPr>
        <w:t xml:space="preserve">Implicit Aspect: </w:t>
      </w:r>
      <w:r>
        <w:t>An aspect can be implied, such as cooking performance in a statement about fries becoming perfectly crispy.</w:t>
      </w:r>
    </w:p>
    <w:p>
      <w:r>
        <w:rPr>
          <w:b/>
        </w:rPr>
        <w:t xml:space="preserve">Cleaning: </w:t>
      </w:r>
      <w:r>
        <w:t>The project has no separate Cleaning label; the guideline specifies a project-specific treatment rather than inventing a new category.</w:t>
      </w:r>
    </w:p>
    <w:p>
      <w:r>
        <w:rPr>
          <w:b/>
        </w:rPr>
        <w:t xml:space="preserve">Temperature: </w:t>
      </w:r>
      <w:r>
        <w:t>Temperature comments about appliance operation are generally Performance, while comments about a temperature display may concern Screen.</w:t>
      </w:r>
    </w:p>
    <w:p>
      <w:r>
        <w:rPr>
          <w:b/>
        </w:rPr>
        <w:t xml:space="preserve">Breaking/Failure: </w:t>
      </w:r>
      <w:r>
        <w:t>A component that breaks or deteriorates over time is treated as Durability under the project rules.</w:t>
      </w:r>
    </w:p>
    <w:p>
      <w:r>
        <w:rPr>
          <w:b/>
        </w:rPr>
        <w:t xml:space="preserve">Generic Praise: </w:t>
      </w:r>
      <w:r>
        <w:t>General praise without a specific aspect should not be forced into a Product Aspect annotation.</w:t>
      </w:r>
    </w:p>
    <w:p>
      <w:r>
        <w:rPr>
          <w:b/>
        </w:rPr>
        <w:t xml:space="preserve">Smallest Meaningful Span: </w:t>
      </w:r>
      <w:r>
        <w:t>The annotation should capture the smallest span that preserves the intended meaning.</w:t>
      </w:r>
    </w:p>
    <w:p>
      <w:pPr>
        <w:pStyle w:val="Heading1"/>
      </w:pPr>
      <w:r>
        <w:t>8. Ambiguity and Clarification Process</w:t>
      </w:r>
    </w:p>
    <w:p>
      <w:r>
        <w:t>During review of the annotation guidelines and annotation decisions, several situations were identified where the initial rules could lead to guesswork if the annotator relied only on broad label definitions. The important response to such cases is not to guess silently, but to identify the ambiguity, formulate a specific clarification question, obtain or establish a decision rule, and apply that rule consistently to similar cases.</w:t>
      </w:r>
    </w:p>
    <w:p>
      <w:pPr>
        <w:pStyle w:val="ListBullet"/>
      </w:pPr>
      <w:r>
        <w:t>When a customer praises the quick resolution of a damaged-item or warranty problem, should the current appreciation be treated as the relevant positive evaluation rather than the historical problem?</w:t>
      </w:r>
    </w:p>
    <w:p>
      <w:pPr>
        <w:pStyle w:val="ListBullet"/>
      </w:pPr>
      <w:r>
        <w:t>When a review contains a complaint plus an explicit action such as a refund or return request, which intent should take priority?</w:t>
      </w:r>
    </w:p>
    <w:p>
      <w:pPr>
        <w:pStyle w:val="ListBullet"/>
      </w:pPr>
      <w:r>
        <w:t>When a product malfunction is accompanied by a request for help, should the case be treated as Technical Support rather than a general complaint?</w:t>
      </w:r>
    </w:p>
    <w:p>
      <w:pPr>
        <w:pStyle w:val="ListBullet"/>
      </w:pPr>
      <w:r>
        <w:t>When a delivery problem is mentioned but the customer is primarily thanking the company for resolving it, should the current purpose be treated as praise?</w:t>
      </w:r>
    </w:p>
    <w:p>
      <w:r>
        <w:t>These clarification examples come from the ambiguity-review discussion associated with the project and are included because they demonstrate a realistic annotation-quality process: identify ambiguity, ask a targeted question, refine the decision rule, and review similar cases.</w:t>
      </w:r>
    </w:p>
    <w:p>
      <w:pPr>
        <w:pStyle w:val="Heading1"/>
      </w:pPr>
      <w:r>
        <w:t>9. Quality-Control Review</w:t>
      </w:r>
    </w:p>
    <w:p>
      <w:pPr>
        <w:pStyle w:val="ListBullet"/>
      </w:pPr>
      <w:r>
        <w:t>Checked that relevant aspects were not missed merely because another aspect appeared first.</w:t>
      </w:r>
    </w:p>
    <w:p>
      <w:pPr>
        <w:pStyle w:val="ListBullet"/>
      </w:pPr>
      <w:r>
        <w:t>Checked that the aspect and opinion were treated as separate annotation layers.</w:t>
      </w:r>
    </w:p>
    <w:p>
      <w:pPr>
        <w:pStyle w:val="ListBullet"/>
      </w:pPr>
      <w:r>
        <w:t>Checked that sentiment was associated with the relevant aspect rather than the overall review.</w:t>
      </w:r>
    </w:p>
    <w:p>
      <w:pPr>
        <w:pStyle w:val="ListBullet"/>
      </w:pPr>
      <w:r>
        <w:t>Checked context-dependent terms instead of relying on keywords alone.</w:t>
      </w:r>
    </w:p>
    <w:p>
      <w:pPr>
        <w:pStyle w:val="ListBullet"/>
      </w:pPr>
      <w:r>
        <w:t>Checked mixed-sentiment and multiple-aspect reviews.</w:t>
      </w:r>
    </w:p>
    <w:p>
      <w:pPr>
        <w:pStyle w:val="ListBullet"/>
      </w:pPr>
      <w:r>
        <w:t>Checked difficult project-specific cases such as cleaning, temperature, and component failure.</w:t>
      </w:r>
    </w:p>
    <w:p>
      <w:pPr>
        <w:pStyle w:val="ListBullet"/>
      </w:pPr>
      <w:r>
        <w:t>Reviewed ambiguous cases for consistency and documented clarification needs.</w:t>
      </w:r>
    </w:p>
    <w:p>
      <w:pPr>
        <w:pStyle w:val="Heading1"/>
      </w:pPr>
      <w:r>
        <w:t>10. Lessons Learned</w:t>
      </w:r>
    </w:p>
    <w:p>
      <w:pPr>
        <w:pStyle w:val="ListBullet"/>
      </w:pPr>
      <w:r>
        <w:t>Detailed annotation guidelines need decision rules and examples, not only label definitions.</w:t>
      </w:r>
    </w:p>
    <w:p>
      <w:pPr>
        <w:pStyle w:val="ListBullet"/>
      </w:pPr>
      <w:r>
        <w:t>Multi-intent or multi-aspect text is a major source of annotation ambiguity.</w:t>
      </w:r>
    </w:p>
    <w:p>
      <w:pPr>
        <w:pStyle w:val="ListBullet"/>
      </w:pPr>
      <w:r>
        <w:t>Context is essential for reliable span labeling.</w:t>
      </w:r>
    </w:p>
    <w:p>
      <w:pPr>
        <w:pStyle w:val="ListBullet"/>
      </w:pPr>
      <w:r>
        <w:t>Post-annotation review can reveal systematic ambiguities that are not obvious during first-pass labeling.</w:t>
      </w:r>
    </w:p>
    <w:p>
      <w:pPr>
        <w:pStyle w:val="ListBullet"/>
      </w:pPr>
      <w:r>
        <w:t>Clarification questions are a professional quality-control mechanism when the written guidelines do not resolve a case.</w:t>
      </w:r>
    </w:p>
    <w:p>
      <w:pPr>
        <w:pStyle w:val="ListBullet"/>
      </w:pPr>
      <w:r>
        <w:t>When a clarification produces a reusable rule, the guideline should be updated so future annotations are more consistent.</w:t>
      </w:r>
    </w:p>
    <w:p>
      <w:pPr>
        <w:pStyle w:val="Heading1"/>
      </w:pPr>
      <w:r>
        <w:t>11. Portfolio Significance</w:t>
      </w:r>
    </w:p>
    <w:p>
      <w:r>
        <w:t>This project demonstrates more than the ability to operate Label Studio. It demonstrates multi-layer annotation, aspect-level sentiment analysis, context-sensitive labeling, edge-case identification, post-annotation quality review, and guideline refinement. These are important elements of a realistic annotation workflow.</w:t>
      </w:r>
    </w:p>
    <w:p>
      <w:pPr>
        <w:pStyle w:val="Heading1"/>
      </w:pPr>
      <w:r>
        <w:t>12. Final Deliverables</w:t>
      </w:r>
    </w:p>
    <w:p>
      <w:pPr>
        <w:pStyle w:val="ListBullet"/>
      </w:pPr>
      <w:r>
        <w:t>Air Fryer Customer Review dataset</w:t>
      </w:r>
    </w:p>
    <w:p>
      <w:pPr>
        <w:pStyle w:val="ListBullet"/>
      </w:pPr>
      <w:r>
        <w:t>Advanced Multi-Layer Annotation Guidelines</w:t>
      </w:r>
    </w:p>
    <w:p>
      <w:pPr>
        <w:pStyle w:val="ListBullet"/>
      </w:pPr>
      <w:r>
        <w:t>Label Studio project/configuration</w:t>
      </w:r>
    </w:p>
    <w:p>
      <w:pPr>
        <w:pStyle w:val="ListBullet"/>
      </w:pPr>
      <w:r>
        <w:t>Completed Label Studio CSV export</w:t>
      </w:r>
    </w:p>
    <w:p>
      <w:pPr>
        <w:pStyle w:val="ListBullet"/>
      </w:pPr>
      <w:r>
        <w:t>Edge-Case / Clarification Log</w:t>
      </w:r>
    </w:p>
    <w:p>
      <w:pPr>
        <w:pStyle w:val="ListBullet"/>
      </w:pPr>
      <w:r>
        <w:t>Post-Annotation Quality-Control Review</w:t>
      </w:r>
    </w:p>
    <w:p>
      <w:pPr>
        <w:pStyle w:val="ListBullet"/>
      </w:pPr>
      <w:r>
        <w:t>Final Annotation Report</w:t>
      </w:r>
    </w:p>
    <w:p>
      <w:pPr>
        <w:pStyle w:val="Heading1"/>
      </w:pPr>
      <w:r>
        <w:t>13. Conclusion</w:t>
      </w:r>
    </w:p>
    <w:p>
      <w:r>
        <w:t>The completed project produced a structured annotation dataset from air-fryer customer reviews using a four-layer framework. The final export provides evidence of completed annotation work, while the review process demonstrates attention to consistency and difficult cases. The project also showed that annotation guidelines must evolve when real examples expose ambiguities. Documenting those ambiguities and converting them into reusable decision rules strengthens both annotation quality and the professional value of the portfolio artifact.</w:t>
      </w:r>
    </w:p>
    <w:p>
      <w:pPr>
        <w:jc w:val="center"/>
      </w:pPr>
      <w:r>
        <w:rPr>
          <w:b/>
        </w:rPr>
        <w:t>End of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