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05 — Toxic Comment Detection</w:t>
      </w:r>
    </w:p>
    <w:p>
      <w:pPr>
        <w:jc w:val="center"/>
      </w:pPr>
      <w:r>
        <w:rPr>
          <w:b/>
          <w:sz w:val="26"/>
        </w:rPr>
        <w:t>Multi-Label Content Moderation Annotation — Portfolio Report</w:t>
      </w:r>
    </w:p>
    <w:p>
      <w:pPr>
        <w:jc w:val="center"/>
      </w:pPr>
      <w:r>
        <w:rPr>
          <w:i/>
        </w:rPr>
        <w:t>Label Studio • 100-comment annotation project</w:t>
      </w:r>
    </w:p>
    <w:p>
      <w:pPr>
        <w:pStyle w:val="Heading1"/>
      </w:pPr>
      <w:r>
        <w:t>Executive Summary</w:t>
      </w:r>
    </w:p>
    <w:p>
      <w:r>
        <w:t>This case study documents a structured toxic-comment annotation project completed in Label Studio. The task used a multi-label taxonomy covering TOXIC, INSULT, THREAT, HARASSMENT, HATE_SPEECH, PROFANITY, and NON_TOXIC, with separate confidence and reasoning fields. The project was designed to test contextual judgment rather than keyword matching, with particular emphasis on distinguishing legitimate criticism from personal abuse, separating profanity from toxicity, recognizing threats, and handling ambiguous or context-dependent language.</w:t>
      </w:r>
    </w:p>
    <w:p>
      <w:r>
        <w:t>The supplied Label Studio export confirms a 100-record task set (TC001–TC100) and records manual confidence decisions, with reasoning captured for selected ambiguous cases. The report therefore focuses on demonstrated annotation methodology and observed examples from the export. Exact label-frequency totals and a formal re-annotation agreement score are intentionally not invented where the supplied export evidence does not expose those aggregate calculations.</w:t>
      </w:r>
    </w:p>
    <w:p>
      <w:pPr>
        <w:pStyle w:val="Heading1"/>
      </w:pPr>
      <w:r>
        <w:t>1. Project Overview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Project specification</w:t>
            </w:r>
          </w:p>
        </w:tc>
      </w:tr>
      <w:tr>
        <w:tc>
          <w:tcPr>
            <w:tcW w:type="dxa" w:w="4968"/>
            <w:vAlign w:val="top"/>
          </w:tcPr>
          <w:p>
            <w:r>
              <w:t>Project type</w:t>
            </w:r>
          </w:p>
        </w:tc>
        <w:tc>
          <w:tcPr>
            <w:tcW w:type="dxa" w:w="4968"/>
            <w:vAlign w:val="top"/>
          </w:tcPr>
          <w:p>
            <w:r>
              <w:t>Text Classification / Multi-Label Annotation</w:t>
            </w:r>
          </w:p>
        </w:tc>
      </w:tr>
      <w:tr>
        <w:tc>
          <w:tcPr>
            <w:tcW w:type="dxa" w:w="4968"/>
            <w:vAlign w:val="top"/>
          </w:tcPr>
          <w:p>
            <w:r>
              <w:t>Primary skill</w:t>
            </w:r>
          </w:p>
        </w:tc>
        <w:tc>
          <w:tcPr>
            <w:tcW w:type="dxa" w:w="4968"/>
            <w:vAlign w:val="top"/>
          </w:tcPr>
          <w:p>
            <w:r>
              <w:t>Toxic Content Detection</w:t>
            </w:r>
          </w:p>
        </w:tc>
      </w:tr>
      <w:tr>
        <w:tc>
          <w:tcPr>
            <w:tcW w:type="dxa" w:w="4968"/>
            <w:vAlign w:val="top"/>
          </w:tcPr>
          <w:p>
            <w:r>
              <w:t>Annotation tool</w:t>
            </w:r>
          </w:p>
        </w:tc>
        <w:tc>
          <w:tcPr>
            <w:tcW w:type="dxa" w:w="4968"/>
            <w:vAlign w:val="top"/>
          </w:tcPr>
          <w:p>
            <w:r>
              <w:t>Label Studio</w:t>
            </w:r>
          </w:p>
        </w:tc>
      </w:tr>
      <w:tr>
        <w:tc>
          <w:tcPr>
            <w:tcW w:type="dxa" w:w="4968"/>
            <w:vAlign w:val="top"/>
          </w:tcPr>
          <w:p>
            <w:r>
              <w:t>Dataset size</w:t>
            </w:r>
          </w:p>
        </w:tc>
        <w:tc>
          <w:tcPr>
            <w:tcW w:type="dxa" w:w="4968"/>
            <w:vAlign w:val="top"/>
          </w:tcPr>
          <w:p>
            <w:r>
              <w:t>100 comments</w:t>
            </w:r>
          </w:p>
        </w:tc>
      </w:tr>
      <w:tr>
        <w:tc>
          <w:tcPr>
            <w:tcW w:type="dxa" w:w="4968"/>
            <w:vAlign w:val="top"/>
          </w:tcPr>
          <w:p>
            <w:r>
              <w:t>Annotation approach</w:t>
            </w:r>
          </w:p>
        </w:tc>
        <w:tc>
          <w:tcPr>
            <w:tcW w:type="dxa" w:w="4968"/>
            <w:vAlign w:val="top"/>
          </w:tcPr>
          <w:p>
            <w:r>
              <w:t>Multi-label classification with confidence rating</w:t>
            </w:r>
          </w:p>
        </w:tc>
      </w:tr>
      <w:tr>
        <w:tc>
          <w:tcPr>
            <w:tcW w:type="dxa" w:w="4968"/>
            <w:vAlign w:val="top"/>
          </w:tcPr>
          <w:p>
            <w:r>
              <w:t>Portfolio emphasis</w:t>
            </w:r>
          </w:p>
        </w:tc>
        <w:tc>
          <w:tcPr>
            <w:tcW w:type="dxa" w:w="4968"/>
            <w:vAlign w:val="top"/>
          </w:tcPr>
          <w:p>
            <w:r>
              <w:t>Contextual judgment, edge cases, QA and consistency</w:t>
            </w:r>
          </w:p>
        </w:tc>
      </w:tr>
    </w:tbl>
    <w:p>
      <w:pPr>
        <w:pStyle w:val="Heading1"/>
      </w:pPr>
      <w:r>
        <w:t>2. Project Objective</w:t>
      </w:r>
    </w:p>
    <w:p>
      <w:r>
        <w:t>The objective was to identify and classify harmful or toxic language in user-generated comments while minimizing false positives. The guidelines explicitly require annotators to read the entire comment, identify whether harmful content is present, determine its target, evaluate applicable subtypes, consider alternative interpretations, and assign all supported labels.</w:t>
      </w:r>
    </w:p>
    <w:p>
      <w:r>
        <w:t>The annotation workflow was intentionally designed to demonstrate professional moderation judgment rather than simple word spotting. The guidelines specifically caution against treating disagreement as toxicity, every swear word as toxic, or criticism of an idea as a personal attack. fileciteturn5file18L1-L15</w:t>
      </w:r>
    </w:p>
    <w:p>
      <w:pPr>
        <w:pStyle w:val="Heading1"/>
      </w:pPr>
      <w:r>
        <w:t>3. Annotation Taxonomy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Label</w:t>
            </w:r>
          </w:p>
        </w:tc>
        <w:tc>
          <w:tcPr>
            <w:tcW w:type="dxa" w:w="4968"/>
            <w:shd w:fill="D9EAF7"/>
          </w:tcPr>
          <w:p>
            <w:r>
              <w:t>Operational interpretation</w:t>
            </w:r>
          </w:p>
        </w:tc>
      </w:tr>
      <w:tr>
        <w:tc>
          <w:tcPr>
            <w:tcW w:type="dxa" w:w="4968"/>
            <w:vAlign w:val="top"/>
          </w:tcPr>
          <w:p>
            <w:r>
              <w:t>TOXIC</w:t>
            </w:r>
          </w:p>
        </w:tc>
        <w:tc>
          <w:tcPr>
            <w:tcW w:type="dxa" w:w="4968"/>
            <w:vAlign w:val="top"/>
          </w:tcPr>
          <w:p>
            <w:r>
              <w:t>General hostile, abusive, threatening or harmful communication directed at a person or group.</w:t>
            </w:r>
          </w:p>
        </w:tc>
      </w:tr>
      <w:tr>
        <w:tc>
          <w:tcPr>
            <w:tcW w:type="dxa" w:w="4968"/>
            <w:vAlign w:val="top"/>
          </w:tcPr>
          <w:p>
            <w:r>
              <w:t>INSULT</w:t>
            </w:r>
          </w:p>
        </w:tc>
        <w:tc>
          <w:tcPr>
            <w:tcW w:type="dxa" w:w="4968"/>
            <w:vAlign w:val="top"/>
          </w:tcPr>
          <w:p>
            <w:r>
              <w:t>Direct name-calling, degrading language or personal attacks.</w:t>
            </w:r>
          </w:p>
        </w:tc>
      </w:tr>
      <w:tr>
        <w:tc>
          <w:tcPr>
            <w:tcW w:type="dxa" w:w="4968"/>
            <w:vAlign w:val="top"/>
          </w:tcPr>
          <w:p>
            <w:r>
              <w:t>THREAT</w:t>
            </w:r>
          </w:p>
        </w:tc>
        <w:tc>
          <w:tcPr>
            <w:tcW w:type="dxa" w:w="4968"/>
            <w:vAlign w:val="top"/>
          </w:tcPr>
          <w:p>
            <w:r>
              <w:t>Language expressing an intention to harm, intimidate or threaten.</w:t>
            </w:r>
          </w:p>
        </w:tc>
      </w:tr>
      <w:tr>
        <w:tc>
          <w:tcPr>
            <w:tcW w:type="dxa" w:w="4968"/>
            <w:vAlign w:val="top"/>
          </w:tcPr>
          <w:p>
            <w:r>
              <w:t>HARASSMENT</w:t>
            </w:r>
          </w:p>
        </w:tc>
        <w:tc>
          <w:tcPr>
            <w:tcW w:type="dxa" w:w="4968"/>
            <w:vAlign w:val="top"/>
          </w:tcPr>
          <w:p>
            <w:r>
              <w:t>Repeated, targeted or aggressive unwanted behavior toward a person or group.</w:t>
            </w:r>
          </w:p>
        </w:tc>
      </w:tr>
      <w:tr>
        <w:tc>
          <w:tcPr>
            <w:tcW w:type="dxa" w:w="4968"/>
            <w:vAlign w:val="top"/>
          </w:tcPr>
          <w:p>
            <w:r>
              <w:t>HATE_SPEECH</w:t>
            </w:r>
          </w:p>
        </w:tc>
        <w:tc>
          <w:tcPr>
            <w:tcW w:type="dxa" w:w="4968"/>
            <w:vAlign w:val="top"/>
          </w:tcPr>
          <w:p>
            <w:r>
              <w:t>Hostility or degradation toward a person/group because of a protected characteristic.</w:t>
            </w:r>
          </w:p>
        </w:tc>
      </w:tr>
      <w:tr>
        <w:tc>
          <w:tcPr>
            <w:tcW w:type="dxa" w:w="4968"/>
            <w:vAlign w:val="top"/>
          </w:tcPr>
          <w:p>
            <w:r>
              <w:t>PROFANITY</w:t>
            </w:r>
          </w:p>
        </w:tc>
        <w:tc>
          <w:tcPr>
            <w:tcW w:type="dxa" w:w="4968"/>
            <w:vAlign w:val="top"/>
          </w:tcPr>
          <w:p>
            <w:r>
              <w:t>Vulgar, obscene or swear-word usage; independent of whether toxicity is present.</w:t>
            </w:r>
          </w:p>
        </w:tc>
      </w:tr>
      <w:tr>
        <w:tc>
          <w:tcPr>
            <w:tcW w:type="dxa" w:w="4968"/>
            <w:vAlign w:val="top"/>
          </w:tcPr>
          <w:p>
            <w:r>
              <w:t>NON_TOXIC</w:t>
            </w:r>
          </w:p>
        </w:tc>
        <w:tc>
          <w:tcPr>
            <w:tcW w:type="dxa" w:w="4968"/>
            <w:vAlign w:val="top"/>
          </w:tcPr>
          <w:p>
            <w:r>
              <w:t>No meaningful toxic or abusive content.</w:t>
            </w:r>
          </w:p>
        </w:tc>
      </w:tr>
    </w:tbl>
    <w:p>
      <w:r>
        <w:t>The guidelines state that multiple labels may be assigned and that TOXIC is an independent label; specific subtype labels are added when the evidence supports them. fileciteturn2file10L1-L8</w:t>
      </w:r>
    </w:p>
    <w:p>
      <w:pPr>
        <w:pStyle w:val="Heading1"/>
      </w:pPr>
      <w:r>
        <w:t>4. Annotation Methodology</w:t>
      </w:r>
    </w:p>
    <w:p>
      <w:pPr>
        <w:pStyle w:val="ListNumber"/>
      </w:pPr>
      <w:r>
        <w:t>Read the complete comment before deciding.</w:t>
      </w:r>
    </w:p>
    <w:p>
      <w:pPr>
        <w:pStyle w:val="ListNumber"/>
      </w:pPr>
      <w:r>
        <w:t>Determine whether harmful, abusive, threatening or degrading content is present.</w:t>
      </w:r>
    </w:p>
    <w:p>
      <w:pPr>
        <w:pStyle w:val="ListNumber"/>
      </w:pPr>
      <w:r>
        <w:t>Identify the target of the statement: person, group, idea, product, event or unclear target.</w:t>
      </w:r>
    </w:p>
    <w:p>
      <w:pPr>
        <w:pStyle w:val="ListNumber"/>
      </w:pPr>
      <w:r>
        <w:t>Evaluate each subtype independently rather than stopping at the first applicable label.</w:t>
      </w:r>
    </w:p>
    <w:p>
      <w:pPr>
        <w:pStyle w:val="ListNumber"/>
      </w:pPr>
      <w:r>
        <w:t>Use context to distinguish criticism, sarcasm, quotation, discussion of toxicity and genuine abuse.</w:t>
      </w:r>
    </w:p>
    <w:p>
      <w:pPr>
        <w:pStyle w:val="ListNumber"/>
      </w:pPr>
      <w:r>
        <w:t>Assign confidence as High, Medium or Low.</w:t>
      </w:r>
    </w:p>
    <w:p>
      <w:pPr>
        <w:pStyle w:val="ListNumber"/>
      </w:pPr>
      <w:r>
        <w:t>Use the reasoning field primarily for Medium- and Low-confidence cases or unusual edge cases.</w:t>
      </w:r>
    </w:p>
    <w:p>
      <w:pPr>
        <w:pStyle w:val="Heading1"/>
      </w:pPr>
      <w:r>
        <w:t>5. Evidence from the Annotation Export</w:t>
      </w:r>
    </w:p>
    <w:p>
      <w:r>
        <w:t>The exported Label Studio JSON contains task identifiers through TC100, confirming that the project contains 100 task records. Examples in the export show manual confidence annotations and, where appropriate, concise reasoning fields. For example, TC025 records High confidence for a disagreement statement, while TC026 is followed by a Medium-confidence decision with a written reason. fileciteturn5file1L1-L4</w:t>
      </w:r>
    </w:p>
    <w:p>
      <w:r>
        <w:t>The export also contains examples covering neutral statements, criticism, personal insults, threat-related language, group-directed language and contextual ambiguity. This supports the intended mixture of clear and borderline cases described in the guidelines.</w:t>
      </w:r>
    </w:p>
    <w:p>
      <w:pPr>
        <w:pStyle w:val="Heading1"/>
      </w:pPr>
      <w:r>
        <w:t>6. Demonstrated Annotation Decisions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Record</w:t>
            </w:r>
          </w:p>
        </w:tc>
        <w:tc>
          <w:tcPr>
            <w:tcW w:type="dxa" w:w="2484"/>
            <w:shd w:fill="D9EAF7"/>
          </w:tcPr>
          <w:p>
            <w:r>
              <w:t>Comment / case</w:t>
            </w:r>
          </w:p>
        </w:tc>
        <w:tc>
          <w:tcPr>
            <w:tcW w:type="dxa" w:w="2484"/>
            <w:shd w:fill="D9EAF7"/>
          </w:tcPr>
          <w:p>
            <w:r>
              <w:t>Observed annotation evidence</w:t>
            </w:r>
          </w:p>
        </w:tc>
        <w:tc>
          <w:tcPr>
            <w:tcW w:type="dxa" w:w="2484"/>
            <w:shd w:fill="D9EAF7"/>
          </w:tcPr>
          <w:p>
            <w:r>
              <w:t>Portfolio significance</w:t>
            </w:r>
          </w:p>
        </w:tc>
      </w:tr>
      <w:tr>
        <w:tc>
          <w:tcPr>
            <w:tcW w:type="dxa" w:w="2484"/>
            <w:vAlign w:val="top"/>
          </w:tcPr>
          <w:p>
            <w:r>
              <w:t>TC010</w:t>
            </w:r>
          </w:p>
        </w:tc>
        <w:tc>
          <w:tcPr>
            <w:tcW w:type="dxa" w:w="2484"/>
            <w:vAlign w:val="top"/>
          </w:tcPr>
          <w:p>
            <w:r>
              <w:t>“This is a damn difficult assignment.”</w:t>
            </w:r>
          </w:p>
        </w:tc>
        <w:tc>
          <w:tcPr>
            <w:tcW w:type="dxa" w:w="2484"/>
            <w:vAlign w:val="top"/>
          </w:tcPr>
          <w:p>
            <w:r>
              <w:t>High-confidence decision recorded in the export.</w:t>
            </w:r>
          </w:p>
        </w:tc>
        <w:tc>
          <w:tcPr>
            <w:tcW w:type="dxa" w:w="2484"/>
            <w:vAlign w:val="top"/>
          </w:tcPr>
          <w:p>
            <w:r>
              <w:t>Demonstrates that profanity can occur in non-abusive criticism.</w:t>
            </w:r>
          </w:p>
        </w:tc>
      </w:tr>
      <w:tr>
        <w:tc>
          <w:tcPr>
            <w:tcW w:type="dxa" w:w="2484"/>
            <w:vAlign w:val="top"/>
          </w:tcPr>
          <w:p>
            <w:r>
              <w:t>TC014</w:t>
            </w:r>
          </w:p>
        </w:tc>
        <w:tc>
          <w:tcPr>
            <w:tcW w:type="dxa" w:w="2484"/>
            <w:vAlign w:val="top"/>
          </w:tcPr>
          <w:p>
            <w:r>
              <w:t>“I strongly disagree with the decision made by the committee.”</w:t>
            </w:r>
          </w:p>
        </w:tc>
        <w:tc>
          <w:tcPr>
            <w:tcW w:type="dxa" w:w="2484"/>
            <w:vAlign w:val="top"/>
          </w:tcPr>
          <w:p>
            <w:r>
              <w:t>High-confidence decision recorded.</w:t>
            </w:r>
          </w:p>
        </w:tc>
        <w:tc>
          <w:tcPr>
            <w:tcW w:type="dxa" w:w="2484"/>
            <w:vAlign w:val="top"/>
          </w:tcPr>
          <w:p>
            <w:r>
              <w:t>Demonstrates disagreement is not automatically toxic.</w:t>
            </w:r>
          </w:p>
        </w:tc>
      </w:tr>
      <w:tr>
        <w:tc>
          <w:tcPr>
            <w:tcW w:type="dxa" w:w="2484"/>
            <w:vAlign w:val="top"/>
          </w:tcPr>
          <w:p>
            <w:r>
              <w:t>TC015</w:t>
            </w:r>
          </w:p>
        </w:tc>
        <w:tc>
          <w:tcPr>
            <w:tcW w:type="dxa" w:w="2484"/>
            <w:vAlign w:val="top"/>
          </w:tcPr>
          <w:p>
            <w:r>
              <w:t>“You are useless. Why do you even bother contributing?”</w:t>
            </w:r>
          </w:p>
        </w:tc>
        <w:tc>
          <w:tcPr>
            <w:tcW w:type="dxa" w:w="2484"/>
            <w:vAlign w:val="top"/>
          </w:tcPr>
          <w:p>
            <w:r>
              <w:t>High-confidence decision recorded.</w:t>
            </w:r>
          </w:p>
        </w:tc>
        <w:tc>
          <w:tcPr>
            <w:tcW w:type="dxa" w:w="2484"/>
            <w:vAlign w:val="top"/>
          </w:tcPr>
          <w:p>
            <w:r>
              <w:t>Clear personal attack / insult case.</w:t>
            </w:r>
          </w:p>
        </w:tc>
      </w:tr>
      <w:tr>
        <w:tc>
          <w:tcPr>
            <w:tcW w:type="dxa" w:w="2484"/>
            <w:vAlign w:val="top"/>
          </w:tcPr>
          <w:p>
            <w:r>
              <w:t>TC018</w:t>
            </w:r>
          </w:p>
        </w:tc>
        <w:tc>
          <w:tcPr>
            <w:tcW w:type="dxa" w:w="2484"/>
            <w:vAlign w:val="top"/>
          </w:tcPr>
          <w:p>
            <w:r>
              <w:t>Sarcastic “brilliant job” statement</w:t>
            </w:r>
          </w:p>
        </w:tc>
        <w:tc>
          <w:tcPr>
            <w:tcW w:type="dxa" w:w="2484"/>
            <w:vAlign w:val="top"/>
          </w:tcPr>
          <w:p>
            <w:r>
              <w:t>Reasoning identifies sarcasm with intent to insult/degrade.</w:t>
            </w:r>
          </w:p>
        </w:tc>
        <w:tc>
          <w:tcPr>
            <w:tcW w:type="dxa" w:w="2484"/>
            <w:vAlign w:val="top"/>
          </w:tcPr>
          <w:p>
            <w:r>
              <w:t>Demonstrates contextual sarcasm analysis.</w:t>
            </w:r>
          </w:p>
        </w:tc>
      </w:tr>
      <w:tr>
        <w:tc>
          <w:tcPr>
            <w:tcW w:type="dxa" w:w="2484"/>
            <w:vAlign w:val="top"/>
          </w:tcPr>
          <w:p>
            <w:r>
              <w:t>TC026</w:t>
            </w:r>
          </w:p>
        </w:tc>
        <w:tc>
          <w:tcPr>
            <w:tcW w:type="dxa" w:w="2484"/>
            <w:vAlign w:val="top"/>
          </w:tcPr>
          <w:p>
            <w:r>
              <w:t>“Keep talking and I'll make you sorry you ever posted this.”</w:t>
            </w:r>
          </w:p>
        </w:tc>
        <w:tc>
          <w:tcPr>
            <w:tcW w:type="dxa" w:w="2484"/>
            <w:vAlign w:val="top"/>
          </w:tcPr>
          <w:p>
            <w:r>
              <w:t>Medium confidence with written reasoning.</w:t>
            </w:r>
          </w:p>
        </w:tc>
        <w:tc>
          <w:tcPr>
            <w:tcW w:type="dxa" w:w="2484"/>
            <w:vAlign w:val="top"/>
          </w:tcPr>
          <w:p>
            <w:r>
              <w:t>Demonstrates ambiguity and confidence-aware annotation.</w:t>
            </w:r>
          </w:p>
        </w:tc>
      </w:tr>
      <w:tr>
        <w:tc>
          <w:tcPr>
            <w:tcW w:type="dxa" w:w="2484"/>
            <w:vAlign w:val="top"/>
          </w:tcPr>
          <w:p>
            <w:r>
              <w:t>TC037</w:t>
            </w:r>
          </w:p>
        </w:tc>
        <w:tc>
          <w:tcPr>
            <w:tcW w:type="dxa" w:w="2484"/>
            <w:vAlign w:val="top"/>
          </w:tcPr>
          <w:p>
            <w:r>
              <w:t>Neutral meeting-time statement</w:t>
            </w:r>
          </w:p>
        </w:tc>
        <w:tc>
          <w:tcPr>
            <w:tcW w:type="dxa" w:w="2484"/>
            <w:vAlign w:val="top"/>
          </w:tcPr>
          <w:p>
            <w:r>
              <w:t>High-confidence decision recorded.</w:t>
            </w:r>
          </w:p>
        </w:tc>
        <w:tc>
          <w:tcPr>
            <w:tcW w:type="dxa" w:w="2484"/>
            <w:vAlign w:val="top"/>
          </w:tcPr>
          <w:p>
            <w:r>
              <w:t>Shows inclusion of clear non-toxic controls.</w:t>
            </w:r>
          </w:p>
        </w:tc>
      </w:tr>
      <w:tr>
        <w:tc>
          <w:tcPr>
            <w:tcW w:type="dxa" w:w="2484"/>
            <w:vAlign w:val="top"/>
          </w:tcPr>
          <w:p>
            <w:r>
              <w:t>TC039</w:t>
            </w:r>
          </w:p>
        </w:tc>
        <w:tc>
          <w:tcPr>
            <w:tcW w:type="dxa" w:w="2484"/>
            <w:vAlign w:val="top"/>
          </w:tcPr>
          <w:p>
            <w:r>
              <w:t>Direct degrading statement toward a person</w:t>
            </w:r>
          </w:p>
        </w:tc>
        <w:tc>
          <w:tcPr>
            <w:tcW w:type="dxa" w:w="2484"/>
            <w:vAlign w:val="top"/>
          </w:tcPr>
          <w:p>
            <w:r>
              <w:t>High-confidence decision recorded.</w:t>
            </w:r>
          </w:p>
        </w:tc>
        <w:tc>
          <w:tcPr>
            <w:tcW w:type="dxa" w:w="2484"/>
            <w:vAlign w:val="top"/>
          </w:tcPr>
          <w:p>
            <w:r>
              <w:t>Clear personal-insult case.</w:t>
            </w:r>
          </w:p>
        </w:tc>
      </w:tr>
      <w:tr>
        <w:tc>
          <w:tcPr>
            <w:tcW w:type="dxa" w:w="2484"/>
            <w:vAlign w:val="top"/>
          </w:tcPr>
          <w:p>
            <w:r>
              <w:t>TC040</w:t>
            </w:r>
          </w:p>
        </w:tc>
        <w:tc>
          <w:tcPr>
            <w:tcW w:type="dxa" w:w="2484"/>
            <w:vAlign w:val="top"/>
          </w:tcPr>
          <w:p>
            <w:r>
              <w:t>Customer-support criticism</w:t>
            </w:r>
          </w:p>
        </w:tc>
        <w:tc>
          <w:tcPr>
            <w:tcW w:type="dxa" w:w="2484"/>
            <w:vAlign w:val="top"/>
          </w:tcPr>
          <w:p>
            <w:r>
              <w:t>High-confidence decision recorded.</w:t>
            </w:r>
          </w:p>
        </w:tc>
        <w:tc>
          <w:tcPr>
            <w:tcW w:type="dxa" w:w="2484"/>
            <w:vAlign w:val="top"/>
          </w:tcPr>
          <w:p>
            <w:r>
              <w:t>Shows distinction between negative feedback and toxicity.</w:t>
            </w:r>
          </w:p>
        </w:tc>
      </w:tr>
      <w:tr>
        <w:tc>
          <w:tcPr>
            <w:tcW w:type="dxa" w:w="2484"/>
            <w:vAlign w:val="top"/>
          </w:tcPr>
          <w:p>
            <w:r>
              <w:t>TC041</w:t>
            </w:r>
          </w:p>
        </w:tc>
        <w:tc>
          <w:tcPr>
            <w:tcW w:type="dxa" w:w="2484"/>
            <w:vAlign w:val="top"/>
          </w:tcPr>
          <w:p>
            <w:r>
              <w:t>Threat-like statement</w:t>
            </w:r>
          </w:p>
        </w:tc>
        <w:tc>
          <w:tcPr>
            <w:tcW w:type="dxa" w:w="2484"/>
            <w:vAlign w:val="top"/>
          </w:tcPr>
          <w:p>
            <w:r>
              <w:t>Medium confidence and contextual reasoning.</w:t>
            </w:r>
          </w:p>
        </w:tc>
        <w:tc>
          <w:tcPr>
            <w:tcW w:type="dxa" w:w="2484"/>
            <w:vAlign w:val="top"/>
          </w:tcPr>
          <w:p>
            <w:r>
              <w:t>Demonstrates threat interpretation under ambiguity.</w:t>
            </w:r>
          </w:p>
        </w:tc>
      </w:tr>
      <w:tr>
        <w:tc>
          <w:tcPr>
            <w:tcW w:type="dxa" w:w="2484"/>
            <w:vAlign w:val="top"/>
          </w:tcPr>
          <w:p>
            <w:r>
              <w:t>TC047</w:t>
            </w:r>
          </w:p>
        </w:tc>
        <w:tc>
          <w:tcPr>
            <w:tcW w:type="dxa" w:w="2484"/>
            <w:vAlign w:val="top"/>
          </w:tcPr>
          <w:p>
            <w:r>
              <w:t>“This idea is terrible, but I think it can be improved.”</w:t>
            </w:r>
          </w:p>
        </w:tc>
        <w:tc>
          <w:tcPr>
            <w:tcW w:type="dxa" w:w="2484"/>
            <w:vAlign w:val="top"/>
          </w:tcPr>
          <w:p>
            <w:r>
              <w:t>High-confidence decision recorded.</w:t>
            </w:r>
          </w:p>
        </w:tc>
        <w:tc>
          <w:tcPr>
            <w:tcW w:type="dxa" w:w="2484"/>
            <w:vAlign w:val="top"/>
          </w:tcPr>
          <w:p>
            <w:r>
              <w:t>Strong example of criticism without personal abuse.</w:t>
            </w:r>
          </w:p>
        </w:tc>
      </w:tr>
      <w:tr>
        <w:tc>
          <w:tcPr>
            <w:tcW w:type="dxa" w:w="2484"/>
            <w:vAlign w:val="top"/>
          </w:tcPr>
          <w:p>
            <w:r>
              <w:t>TC058</w:t>
            </w:r>
          </w:p>
        </w:tc>
        <w:tc>
          <w:tcPr>
            <w:tcW w:type="dxa" w:w="2484"/>
            <w:vAlign w:val="top"/>
          </w:tcPr>
          <w:p>
            <w:r>
              <w:t>Report of repeated insults</w:t>
            </w:r>
          </w:p>
        </w:tc>
        <w:tc>
          <w:tcPr>
            <w:tcW w:type="dxa" w:w="2484"/>
            <w:vAlign w:val="top"/>
          </w:tcPr>
          <w:p>
            <w:r>
              <w:t>Medium-confidence decision recorded.</w:t>
            </w:r>
          </w:p>
        </w:tc>
        <w:tc>
          <w:tcPr>
            <w:tcW w:type="dxa" w:w="2484"/>
            <w:vAlign w:val="top"/>
          </w:tcPr>
          <w:p>
            <w:r>
              <w:t>Tests harassment/repetition and reported-language context.</w:t>
            </w:r>
          </w:p>
        </w:tc>
      </w:tr>
      <w:tr>
        <w:tc>
          <w:tcPr>
            <w:tcW w:type="dxa" w:w="2484"/>
            <w:vAlign w:val="top"/>
          </w:tcPr>
          <w:p>
            <w:r>
              <w:t>TC060</w:t>
            </w:r>
          </w:p>
        </w:tc>
        <w:tc>
          <w:tcPr>
            <w:tcW w:type="dxa" w:w="2484"/>
            <w:vAlign w:val="top"/>
          </w:tcPr>
          <w:p>
            <w:r>
              <w:t>Group-directed degrading statement</w:t>
            </w:r>
          </w:p>
        </w:tc>
        <w:tc>
          <w:tcPr>
            <w:tcW w:type="dxa" w:w="2484"/>
            <w:vAlign w:val="top"/>
          </w:tcPr>
          <w:p>
            <w:r>
              <w:t>High-confidence decision recorded.</w:t>
            </w:r>
          </w:p>
        </w:tc>
        <w:tc>
          <w:tcPr>
            <w:tcW w:type="dxa" w:w="2484"/>
            <w:vAlign w:val="top"/>
          </w:tcPr>
          <w:p>
            <w:r>
              <w:t>Tests group targeting and hate-speech reasoning.</w:t>
            </w:r>
          </w:p>
        </w:tc>
      </w:tr>
      <w:tr>
        <w:tc>
          <w:tcPr>
            <w:tcW w:type="dxa" w:w="2484"/>
            <w:vAlign w:val="top"/>
          </w:tcPr>
          <w:p>
            <w:r>
              <w:t>TC084</w:t>
            </w:r>
          </w:p>
        </w:tc>
        <w:tc>
          <w:tcPr>
            <w:tcW w:type="dxa" w:w="2484"/>
            <w:vAlign w:val="top"/>
          </w:tcPr>
          <w:p>
            <w:r>
              <w:t>“People from that community are disgusting.”</w:t>
            </w:r>
          </w:p>
        </w:tc>
        <w:tc>
          <w:tcPr>
            <w:tcW w:type="dxa" w:w="2484"/>
            <w:vAlign w:val="top"/>
          </w:tcPr>
          <w:p>
            <w:r>
              <w:t>High-confidence decision recorded.</w:t>
            </w:r>
          </w:p>
        </w:tc>
        <w:tc>
          <w:tcPr>
            <w:tcW w:type="dxa" w:w="2484"/>
            <w:vAlign w:val="top"/>
          </w:tcPr>
          <w:p>
            <w:r>
              <w:t>Demonstrates group-directed hostility requiring contextual protected-characteristic analysis.</w:t>
            </w:r>
          </w:p>
        </w:tc>
      </w:tr>
      <w:tr>
        <w:tc>
          <w:tcPr>
            <w:tcW w:type="dxa" w:w="2484"/>
            <w:vAlign w:val="top"/>
          </w:tcPr>
          <w:p>
            <w:r>
              <w:t>TC099</w:t>
            </w:r>
          </w:p>
        </w:tc>
        <w:tc>
          <w:tcPr>
            <w:tcW w:type="dxa" w:w="2484"/>
            <w:vAlign w:val="top"/>
          </w:tcPr>
          <w:p>
            <w:r>
              <w:t>Negative review explicitly focused on product rather than employee</w:t>
            </w:r>
          </w:p>
        </w:tc>
        <w:tc>
          <w:tcPr>
            <w:tcW w:type="dxa" w:w="2484"/>
            <w:vAlign w:val="top"/>
          </w:tcPr>
          <w:p>
            <w:r>
              <w:t>High-confidence decision recorded.</w:t>
            </w:r>
          </w:p>
        </w:tc>
        <w:tc>
          <w:tcPr>
            <w:tcW w:type="dxa" w:w="2484"/>
            <w:vAlign w:val="top"/>
          </w:tcPr>
          <w:p>
            <w:r>
              <w:t>Excellent criticism-versus-personal-attack control.</w:t>
            </w:r>
          </w:p>
        </w:tc>
      </w:tr>
      <w:tr>
        <w:tc>
          <w:tcPr>
            <w:tcW w:type="dxa" w:w="2484"/>
            <w:vAlign w:val="top"/>
          </w:tcPr>
          <w:p>
            <w:r>
              <w:t>TC100</w:t>
            </w:r>
          </w:p>
        </w:tc>
        <w:tc>
          <w:tcPr>
            <w:tcW w:type="dxa" w:w="2484"/>
            <w:vAlign w:val="top"/>
          </w:tcPr>
          <w:p>
            <w:r>
              <w:t>“You people should disappear from this community.”</w:t>
            </w:r>
          </w:p>
        </w:tc>
        <w:tc>
          <w:tcPr>
            <w:tcW w:type="dxa" w:w="2484"/>
            <w:vAlign w:val="top"/>
          </w:tcPr>
          <w:p>
            <w:r>
              <w:t>High-confidence decision recorded.</w:t>
            </w:r>
          </w:p>
        </w:tc>
        <w:tc>
          <w:tcPr>
            <w:tcW w:type="dxa" w:w="2484"/>
            <w:vAlign w:val="top"/>
          </w:tcPr>
          <w:p>
            <w:r>
              <w:t>Borderline group-targeting example for contextual review.</w:t>
            </w:r>
          </w:p>
        </w:tc>
      </w:tr>
    </w:tbl>
    <w:p>
      <w:r>
        <w:t>These examples are drawn from the uploaded annotation export. The guidelines emphasize that context and target are central to these decisions. fileciteturn3file3L1-L3</w:t>
      </w:r>
    </w:p>
    <w:p>
      <w:pPr>
        <w:pStyle w:val="Heading1"/>
      </w:pPr>
      <w:r>
        <w:t>7. Edge-Case Analysis</w:t>
      </w:r>
    </w:p>
    <w:p>
      <w:pPr>
        <w:pStyle w:val="Heading2"/>
      </w:pPr>
      <w:r>
        <w:t>7.1 Criticism vs. Personal Attack</w:t>
      </w:r>
    </w:p>
    <w:p>
      <w:r>
        <w:t>One of the strongest features of the project is the deliberate separation of criticism from insult. For example, the export includes comments criticizing ideas, decisions, reports and services without automatically treating them as toxic. TC047 criticizes an idea while explicitly leaving room for improvement, and TC099 distinguishes a negative product review from an attack on an employee. This is consistent with the guideline requirement to identify the target before assigning toxicity or INSULT.</w:t>
      </w:r>
    </w:p>
    <w:p>
      <w:pPr>
        <w:pStyle w:val="Heading2"/>
      </w:pPr>
      <w:r>
        <w:t>7.2 Profanity</w:t>
      </w:r>
    </w:p>
    <w:p>
      <w:r>
        <w:t>The project treats PROFANITY as an independent category. TC010 provides a useful control case: the comment contains a swear word but is about the difficulty of an assignment. The guidelines explicitly warn annotators not to classify every swear word as toxic. fileciteturn3file0L1-L5</w:t>
      </w:r>
    </w:p>
    <w:p>
      <w:pPr>
        <w:pStyle w:val="Heading2"/>
      </w:pPr>
      <w:r>
        <w:t>7.3 Sarcasm</w:t>
      </w:r>
    </w:p>
    <w:p>
      <w:r>
        <w:t>TC018 is a strong example of contextual interpretation. The export records reasoning that the statement is sarcastic and intended to insult or degrade a person, demonstrating that the decision was based on meaning and intent rather than on isolated keywords. fileciteturn5file3L1-L3</w:t>
      </w:r>
    </w:p>
    <w:p>
      <w:pPr>
        <w:pStyle w:val="Heading2"/>
      </w:pPr>
      <w:r>
        <w:t>7.4 Threats and Ambiguous Threat Language</w:t>
      </w:r>
    </w:p>
    <w:p>
      <w:r>
        <w:t>The project contains several threat-like statements. TC041 was assigned Medium confidence with a reason noting that the wording could depend on context. This is exactly the type of case for which the guidelines require confidence and reasoning rather than forcing an unjustifiably certain decision. fileciteturn4file8L1-L4</w:t>
      </w:r>
    </w:p>
    <w:p>
      <w:pPr>
        <w:pStyle w:val="Heading2"/>
      </w:pPr>
      <w:r>
        <w:t>7.5 Group-Directed Language</w:t>
      </w:r>
    </w:p>
    <w:p>
      <w:r>
        <w:t>TC060, TC084 and TC100 provide group-directed cases. These demonstrate why HATE_SPEECH should not be assigned merely because a statement says 'you people' or refers to a community. The guidelines require evidence that hostility is connected to a protected characteristic. fileciteturn3file7L1-L4</w:t>
      </w:r>
    </w:p>
    <w:p>
      <w:pPr>
        <w:pStyle w:val="Heading1"/>
      </w:pPr>
      <w:r>
        <w:t>8. Confidence and Reasoning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Level</w:t>
            </w:r>
          </w:p>
        </w:tc>
        <w:tc>
          <w:tcPr>
            <w:tcW w:type="dxa" w:w="3312"/>
            <w:shd w:fill="D9EAF7"/>
          </w:tcPr>
          <w:p>
            <w:r>
              <w:t>Purpose</w:t>
            </w:r>
          </w:p>
        </w:tc>
        <w:tc>
          <w:tcPr>
            <w:tcW w:type="dxa" w:w="3312"/>
            <w:shd w:fill="D9EAF7"/>
          </w:tcPr>
          <w:p>
            <w:r>
              <w:t>Observed use</w:t>
            </w:r>
          </w:p>
        </w:tc>
      </w:tr>
      <w:tr>
        <w:tc>
          <w:tcPr>
            <w:tcW w:type="dxa" w:w="3312"/>
            <w:vAlign w:val="top"/>
          </w:tcPr>
          <w:p>
            <w:r>
              <w:t>High</w:t>
            </w:r>
          </w:p>
        </w:tc>
        <w:tc>
          <w:tcPr>
            <w:tcW w:type="dxa" w:w="3312"/>
            <w:vAlign w:val="top"/>
          </w:tcPr>
          <w:p>
            <w:r>
              <w:t>Clear decision with little reasonable ambiguity.</w:t>
            </w:r>
          </w:p>
        </w:tc>
        <w:tc>
          <w:tcPr>
            <w:tcW w:type="dxa" w:w="3312"/>
            <w:vAlign w:val="top"/>
          </w:tcPr>
          <w:p>
            <w:r>
              <w:t>Used for straightforward neutral, criticism, insult and other clear cases.</w:t>
            </w:r>
          </w:p>
        </w:tc>
      </w:tr>
      <w:tr>
        <w:tc>
          <w:tcPr>
            <w:tcW w:type="dxa" w:w="3312"/>
            <w:vAlign w:val="top"/>
          </w:tcPr>
          <w:p>
            <w:r>
              <w:t>Medium</w:t>
            </w:r>
          </w:p>
        </w:tc>
        <w:tc>
          <w:tcPr>
            <w:tcW w:type="dxa" w:w="3312"/>
            <w:vAlign w:val="top"/>
          </w:tcPr>
          <w:p>
            <w:r>
              <w:t>Defensible decision with meaningful contextual uncertainty.</w:t>
            </w:r>
          </w:p>
        </w:tc>
        <w:tc>
          <w:tcPr>
            <w:tcW w:type="dxa" w:w="3312"/>
            <w:vAlign w:val="top"/>
          </w:tcPr>
          <w:p>
            <w:r>
              <w:t>Used for sarcasm, threat-like or context-sensitive statements.</w:t>
            </w:r>
          </w:p>
        </w:tc>
      </w:tr>
      <w:tr>
        <w:tc>
          <w:tcPr>
            <w:tcW w:type="dxa" w:w="3312"/>
            <w:vAlign w:val="top"/>
          </w:tcPr>
          <w:p>
            <w:r>
              <w:t>Low</w:t>
            </w:r>
          </w:p>
        </w:tc>
        <w:tc>
          <w:tcPr>
            <w:tcW w:type="dxa" w:w="3312"/>
            <w:vAlign w:val="top"/>
          </w:tcPr>
          <w:p>
            <w:r>
              <w:t>Insufficient context for a confident interpretation.</w:t>
            </w:r>
          </w:p>
        </w:tc>
        <w:tc>
          <w:tcPr>
            <w:tcW w:type="dxa" w:w="3312"/>
            <w:vAlign w:val="top"/>
          </w:tcPr>
          <w:p>
            <w:r>
              <w:t>Reserved for cases where the meaning cannot reasonably be established.</w:t>
            </w:r>
          </w:p>
        </w:tc>
      </w:tr>
    </w:tbl>
    <w:p>
      <w:r>
        <w:t>The guidelines explicitly state that confidence measures certainty in the annotation decision, not how toxic the comment is. The reasoning field is intended primarily for Medium- and Low-confidence cases. fileciteturn5file5L1-L8</w:t>
      </w:r>
    </w:p>
    <w:p>
      <w:pPr>
        <w:pStyle w:val="Heading1"/>
      </w:pPr>
      <w:r>
        <w:t>9. Quality Assurance Assessment</w:t>
      </w:r>
    </w:p>
    <w:p>
      <w:r>
        <w:t>The project guidelines require review of at least 20% of the dataset and specify checks for missed labels, unnecessary labels, criticism-versus-insult errors, profanity errors, threat identification, hate-speech context and consistency of ambiguous cases. fileciteturn4file0L1-L14</w:t>
      </w:r>
    </w:p>
    <w:p>
      <w:r>
        <w:t>The supplied export provides evidence of completed manual annotation decisions and confidence/reasoning metadata. However, the export provided here does not contain a separate documented QA sample log showing which 20 or more records were independently reviewed and what corrections were made. Therefore, this report does not claim a completed 20% QA pass rate. The appropriate portfolio action is to retain a separate QA review sheet as evidence.</w:t>
      </w:r>
    </w:p>
    <w:p>
      <w:pPr>
        <w:pStyle w:val="Heading1"/>
      </w:pPr>
      <w:r>
        <w:t>10. Self-Consistency Assessment</w:t>
      </w:r>
    </w:p>
    <w:p>
      <w:r>
        <w:t>The project specification requires 20 randomly selected comments to be re-annotated after completion, followed by calculation of agreements, disagreements and agreement percentage. fileciteturn4file0L1-L8</w:t>
      </w:r>
    </w:p>
    <w:p>
      <w:r>
        <w:t>A formal self-consistency score is not reported here because the supplied export does not expose a distinct second-pass annotation set. Reporting a numerical agreement score without that evidence would weaken the credibility of the portfolio. The recommended next artifact is a 20-record blind re-annotation table.</w:t>
      </w:r>
    </w:p>
    <w:p>
      <w:pPr>
        <w:pStyle w:val="Heading1"/>
      </w:pPr>
      <w:r>
        <w:t>11. Key Findings</w:t>
      </w:r>
    </w:p>
    <w:p>
      <w:pPr>
        <w:pStyle w:val="ListBullet"/>
      </w:pPr>
      <w:r>
        <w:t>The annotation workflow was contextual rather than keyword-based.</w:t>
      </w:r>
    </w:p>
    <w:p>
      <w:pPr>
        <w:pStyle w:val="ListBullet"/>
      </w:pPr>
      <w:r>
        <w:t>The dataset includes both clearly non-toxic controls and difficult borderline cases.</w:t>
      </w:r>
    </w:p>
    <w:p>
      <w:pPr>
        <w:pStyle w:val="ListBullet"/>
      </w:pPr>
      <w:r>
        <w:t>Confidence ratings were integrated into the workflow and used to flag ambiguity.</w:t>
      </w:r>
    </w:p>
    <w:p>
      <w:pPr>
        <w:pStyle w:val="ListBullet"/>
      </w:pPr>
      <w:r>
        <w:t>Reasoning was recorded for selected difficult cases, particularly sarcasm and threat-like language.</w:t>
      </w:r>
    </w:p>
    <w:p>
      <w:pPr>
        <w:pStyle w:val="ListBullet"/>
      </w:pPr>
      <w:r>
        <w:t>The project deliberately tests criticism versus personal attack, an important source of false positives in toxicity annotation.</w:t>
      </w:r>
    </w:p>
    <w:p>
      <w:pPr>
        <w:pStyle w:val="ListBullet"/>
      </w:pPr>
      <w:r>
        <w:t>Group-directed examples demonstrate the need for evidence before applying HATE_SPEECH.</w:t>
      </w:r>
    </w:p>
    <w:p>
      <w:pPr>
        <w:pStyle w:val="ListBullet"/>
      </w:pPr>
      <w:r>
        <w:t>The export provides useful portfolio evidence of annotation judgment, but QA and second-pass consistency should be documented as separate artifacts.</w:t>
      </w:r>
    </w:p>
    <w:p>
      <w:pPr>
        <w:pStyle w:val="Heading1"/>
      </w:pPr>
      <w:r>
        <w:t>12. Recommendations for Guideline Improvement</w:t>
      </w:r>
    </w:p>
    <w:p>
      <w:pPr>
        <w:pStyle w:val="ListNumber"/>
      </w:pPr>
      <w:r>
        <w:t>Add a dedicated decision rule for criticism of ideas/products versus personal attacks, with several paired examples.</w:t>
      </w:r>
    </w:p>
    <w:p>
      <w:pPr>
        <w:pStyle w:val="ListNumber"/>
      </w:pPr>
      <w:r>
        <w:t>Define clearer criteria for when a threat-like phrase crosses the project's THREAT threshold.</w:t>
      </w:r>
    </w:p>
    <w:p>
      <w:pPr>
        <w:pStyle w:val="ListNumber"/>
      </w:pPr>
      <w:r>
        <w:t>Add explicit examples distinguishing reported/quoted harassment from first-person harassment.</w:t>
      </w:r>
    </w:p>
    <w:p>
      <w:pPr>
        <w:pStyle w:val="ListNumber"/>
      </w:pPr>
      <w:r>
        <w:t>Require a reason for every Medium/Low decision and permit short optional notes for unusual High-confidence cases.</w:t>
      </w:r>
    </w:p>
    <w:p>
      <w:pPr>
        <w:pStyle w:val="ListNumber"/>
      </w:pPr>
      <w:r>
        <w:t>Maintain a living difficult-case log and use recurring cases to update the guideline.</w:t>
      </w:r>
    </w:p>
    <w:p>
      <w:pPr>
        <w:pStyle w:val="ListNumber"/>
      </w:pPr>
      <w:r>
        <w:t>Create a formal QA worksheet covering a minimum 20% sample.</w:t>
      </w:r>
    </w:p>
    <w:p>
      <w:pPr>
        <w:pStyle w:val="ListNumber"/>
      </w:pPr>
      <w:r>
        <w:t>Perform a blind 20-comment second pass and calculate exact-match label agreement.</w:t>
      </w:r>
    </w:p>
    <w:p>
      <w:pPr>
        <w:pStyle w:val="Heading1"/>
      </w:pPr>
      <w:r>
        <w:t>13. Portfolio Deliverables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Artifact</w:t>
            </w:r>
          </w:p>
        </w:tc>
        <w:tc>
          <w:tcPr>
            <w:tcW w:type="dxa" w:w="4968"/>
            <w:shd w:fill="D9EAF7"/>
          </w:tcPr>
          <w:p>
            <w:r>
              <w:t>Status / evidence</w:t>
            </w:r>
          </w:p>
        </w:tc>
      </w:tr>
      <w:tr>
        <w:tc>
          <w:tcPr>
            <w:tcW w:type="dxa" w:w="4968"/>
            <w:vAlign w:val="top"/>
          </w:tcPr>
          <w:p>
            <w:r>
              <w:t>Annotation guidelines</w:t>
            </w:r>
          </w:p>
        </w:tc>
        <w:tc>
          <w:tcPr>
            <w:tcW w:type="dxa" w:w="4968"/>
            <w:vAlign w:val="top"/>
          </w:tcPr>
          <w:p>
            <w:r>
              <w:t>Completed and used as the decision framework.</w:t>
            </w:r>
          </w:p>
        </w:tc>
      </w:tr>
      <w:tr>
        <w:tc>
          <w:tcPr>
            <w:tcW w:type="dxa" w:w="4968"/>
            <w:vAlign w:val="top"/>
          </w:tcPr>
          <w:p>
            <w:r>
              <w:t>100-comment Label Studio task</w:t>
            </w:r>
          </w:p>
        </w:tc>
        <w:tc>
          <w:tcPr>
            <w:tcW w:type="dxa" w:w="4968"/>
            <w:vAlign w:val="top"/>
          </w:tcPr>
          <w:p>
            <w:r>
              <w:t>Export evidence reaches TC100.</w:t>
            </w:r>
          </w:p>
        </w:tc>
      </w:tr>
      <w:tr>
        <w:tc>
          <w:tcPr>
            <w:tcW w:type="dxa" w:w="4968"/>
            <w:vAlign w:val="top"/>
          </w:tcPr>
          <w:p>
            <w:r>
              <w:t>Annotation export</w:t>
            </w:r>
          </w:p>
        </w:tc>
        <w:tc>
          <w:tcPr>
            <w:tcW w:type="dxa" w:w="4968"/>
            <w:vAlign w:val="top"/>
          </w:tcPr>
          <w:p>
            <w:r>
              <w:t>Available as Label Studio JSON.</w:t>
            </w:r>
          </w:p>
        </w:tc>
      </w:tr>
      <w:tr>
        <w:tc>
          <w:tcPr>
            <w:tcW w:type="dxa" w:w="4968"/>
            <w:vAlign w:val="top"/>
          </w:tcPr>
          <w:p>
            <w:r>
              <w:t>Confidence field</w:t>
            </w:r>
          </w:p>
        </w:tc>
        <w:tc>
          <w:tcPr>
            <w:tcW w:type="dxa" w:w="4968"/>
            <w:vAlign w:val="top"/>
          </w:tcPr>
          <w:p>
            <w:r>
              <w:t>Present in exported annotations.</w:t>
            </w:r>
          </w:p>
        </w:tc>
      </w:tr>
      <w:tr>
        <w:tc>
          <w:tcPr>
            <w:tcW w:type="dxa" w:w="4968"/>
            <w:vAlign w:val="top"/>
          </w:tcPr>
          <w:p>
            <w:r>
              <w:t>Reasoning field</w:t>
            </w:r>
          </w:p>
        </w:tc>
        <w:tc>
          <w:tcPr>
            <w:tcW w:type="dxa" w:w="4968"/>
            <w:vAlign w:val="top"/>
          </w:tcPr>
          <w:p>
            <w:r>
              <w:t>Present for selected ambiguous cases.</w:t>
            </w:r>
          </w:p>
        </w:tc>
      </w:tr>
      <w:tr>
        <w:tc>
          <w:tcPr>
            <w:tcW w:type="dxa" w:w="4968"/>
            <w:vAlign w:val="top"/>
          </w:tcPr>
          <w:p>
            <w:r>
              <w:t>Difficult-case evidence</w:t>
            </w:r>
          </w:p>
        </w:tc>
        <w:tc>
          <w:tcPr>
            <w:tcW w:type="dxa" w:w="4968"/>
            <w:vAlign w:val="top"/>
          </w:tcPr>
          <w:p>
            <w:r>
              <w:t>Present through Medium-confidence and reasoning examples.</w:t>
            </w:r>
          </w:p>
        </w:tc>
      </w:tr>
      <w:tr>
        <w:tc>
          <w:tcPr>
            <w:tcW w:type="dxa" w:w="4968"/>
            <w:vAlign w:val="top"/>
          </w:tcPr>
          <w:p>
            <w:r>
              <w:t>20% QA review</w:t>
            </w:r>
          </w:p>
        </w:tc>
        <w:tc>
          <w:tcPr>
            <w:tcW w:type="dxa" w:w="4968"/>
            <w:vAlign w:val="top"/>
          </w:tcPr>
          <w:p>
            <w:r>
              <w:t>Should be documented separately before claiming completion.</w:t>
            </w:r>
          </w:p>
        </w:tc>
      </w:tr>
      <w:tr>
        <w:tc>
          <w:tcPr>
            <w:tcW w:type="dxa" w:w="4968"/>
            <w:vAlign w:val="top"/>
          </w:tcPr>
          <w:p>
            <w:r>
              <w:t>20-comment consistency review</w:t>
            </w:r>
          </w:p>
        </w:tc>
        <w:tc>
          <w:tcPr>
            <w:tcW w:type="dxa" w:w="4968"/>
            <w:vAlign w:val="top"/>
          </w:tcPr>
          <w:p>
            <w:r>
              <w:t>Should be completed/documented separately before claiming a score.</w:t>
            </w:r>
          </w:p>
        </w:tc>
      </w:tr>
      <w:tr>
        <w:tc>
          <w:tcPr>
            <w:tcW w:type="dxa" w:w="4968"/>
            <w:vAlign w:val="top"/>
          </w:tcPr>
          <w:p>
            <w:r>
              <w:t>Final report</w:t>
            </w:r>
          </w:p>
        </w:tc>
        <w:tc>
          <w:tcPr>
            <w:tcW w:type="dxa" w:w="4968"/>
            <w:vAlign w:val="top"/>
          </w:tcPr>
          <w:p>
            <w:r>
              <w:t>This document.</w:t>
            </w:r>
          </w:p>
        </w:tc>
      </w:tr>
    </w:tbl>
    <w:p>
      <w:pPr>
        <w:pStyle w:val="Heading1"/>
      </w:pPr>
      <w:r>
        <w:t>14. Conclusion</w:t>
      </w:r>
    </w:p>
    <w:p>
      <w:r>
        <w:t>Project 05 demonstrates a practical content-moderation annotation workflow in which the central task is not simply to detect offensive words, but to interpret meaning, target, context and intent consistently. The strongest evidence in the export is the treatment of borderline cases: criticism is separated from personal abuse, profanity is considered independently, sarcasm is interpreted contextually, and ambiguous threat-like language is assigned an appropriate confidence level with reasoning.</w:t>
      </w:r>
    </w:p>
    <w:p>
      <w:r>
        <w:t>Taken together, the guidelines and annotation export demonstrate competencies in text classification, multi-label annotation, content moderation, edge-case reasoning, confidence assessment and Label Studio workflow management. To make the case study fully audit-ready, the final portfolio should additionally include the completed 20% QA log and 20-comment self-consistency comparison rather than reporting results that are not directly evidenced in the export.</w:t>
      </w:r>
    </w:p>
    <w:p>
      <w:pPr>
        <w:pStyle w:val="Heading1"/>
      </w:pPr>
      <w:r>
        <w:t>Appendix A — Representative Export Evidence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ID</w:t>
            </w:r>
          </w:p>
        </w:tc>
        <w:tc>
          <w:tcPr>
            <w:tcW w:type="dxa" w:w="4968"/>
            <w:shd w:fill="D9EAF7"/>
          </w:tcPr>
          <w:p>
            <w:r>
              <w:t>Evidence demonstrated</w:t>
            </w:r>
          </w:p>
        </w:tc>
      </w:tr>
      <w:tr>
        <w:tc>
          <w:tcPr>
            <w:tcW w:type="dxa" w:w="4968"/>
            <w:vAlign w:val="top"/>
          </w:tcPr>
          <w:p>
            <w:r>
              <w:t>TC010</w:t>
            </w:r>
          </w:p>
        </w:tc>
        <w:tc>
          <w:tcPr>
            <w:tcW w:type="dxa" w:w="4968"/>
            <w:vAlign w:val="top"/>
          </w:tcPr>
          <w:p>
            <w:r>
              <w:t>Profanity in a non-abusive statement; High confidence.</w:t>
            </w:r>
          </w:p>
        </w:tc>
      </w:tr>
      <w:tr>
        <w:tc>
          <w:tcPr>
            <w:tcW w:type="dxa" w:w="4968"/>
            <w:vAlign w:val="top"/>
          </w:tcPr>
          <w:p>
            <w:r>
              <w:t>TC018</w:t>
            </w:r>
          </w:p>
        </w:tc>
        <w:tc>
          <w:tcPr>
            <w:tcW w:type="dxa" w:w="4968"/>
            <w:vAlign w:val="top"/>
          </w:tcPr>
          <w:p>
            <w:r>
              <w:t>Sarcasm with explicit reasoning; High confidence.</w:t>
            </w:r>
          </w:p>
        </w:tc>
      </w:tr>
      <w:tr>
        <w:tc>
          <w:tcPr>
            <w:tcW w:type="dxa" w:w="4968"/>
            <w:vAlign w:val="top"/>
          </w:tcPr>
          <w:p>
            <w:r>
              <w:t>TC026</w:t>
            </w:r>
          </w:p>
        </w:tc>
        <w:tc>
          <w:tcPr>
            <w:tcW w:type="dxa" w:w="4968"/>
            <w:vAlign w:val="top"/>
          </w:tcPr>
          <w:p>
            <w:r>
              <w:t>Ambiguous threat-like statement; Medium confidence and reason.</w:t>
            </w:r>
          </w:p>
        </w:tc>
      </w:tr>
      <w:tr>
        <w:tc>
          <w:tcPr>
            <w:tcW w:type="dxa" w:w="4968"/>
            <w:vAlign w:val="top"/>
          </w:tcPr>
          <w:p>
            <w:r>
              <w:t>TC040</w:t>
            </w:r>
          </w:p>
        </w:tc>
        <w:tc>
          <w:tcPr>
            <w:tcW w:type="dxa" w:w="4968"/>
            <w:vAlign w:val="top"/>
          </w:tcPr>
          <w:p>
            <w:r>
              <w:t>Negative service feedback without personal abuse.</w:t>
            </w:r>
          </w:p>
        </w:tc>
      </w:tr>
      <w:tr>
        <w:tc>
          <w:tcPr>
            <w:tcW w:type="dxa" w:w="4968"/>
            <w:vAlign w:val="top"/>
          </w:tcPr>
          <w:p>
            <w:r>
              <w:t>TC041</w:t>
            </w:r>
          </w:p>
        </w:tc>
        <w:tc>
          <w:tcPr>
            <w:tcW w:type="dxa" w:w="4968"/>
            <w:vAlign w:val="top"/>
          </w:tcPr>
          <w:p>
            <w:r>
              <w:t>Context-sensitive threat-like wording; Medium confidence.</w:t>
            </w:r>
          </w:p>
        </w:tc>
      </w:tr>
      <w:tr>
        <w:tc>
          <w:tcPr>
            <w:tcW w:type="dxa" w:w="4968"/>
            <w:vAlign w:val="top"/>
          </w:tcPr>
          <w:p>
            <w:r>
              <w:t>TC047</w:t>
            </w:r>
          </w:p>
        </w:tc>
        <w:tc>
          <w:tcPr>
            <w:tcW w:type="dxa" w:w="4968"/>
            <w:vAlign w:val="top"/>
          </w:tcPr>
          <w:p>
            <w:r>
              <w:t>Criticism of an idea rather than a person.</w:t>
            </w:r>
          </w:p>
        </w:tc>
      </w:tr>
      <w:tr>
        <w:tc>
          <w:tcPr>
            <w:tcW w:type="dxa" w:w="4968"/>
            <w:vAlign w:val="top"/>
          </w:tcPr>
          <w:p>
            <w:r>
              <w:t>TC058</w:t>
            </w:r>
          </w:p>
        </w:tc>
        <w:tc>
          <w:tcPr>
            <w:tcW w:type="dxa" w:w="4968"/>
            <w:vAlign w:val="top"/>
          </w:tcPr>
          <w:p>
            <w:r>
              <w:t>Repeated-insult/harassment context; Medium confidence.</w:t>
            </w:r>
          </w:p>
        </w:tc>
      </w:tr>
      <w:tr>
        <w:tc>
          <w:tcPr>
            <w:tcW w:type="dxa" w:w="4968"/>
            <w:vAlign w:val="top"/>
          </w:tcPr>
          <w:p>
            <w:r>
              <w:t>TC060</w:t>
            </w:r>
          </w:p>
        </w:tc>
        <w:tc>
          <w:tcPr>
            <w:tcW w:type="dxa" w:w="4968"/>
            <w:vAlign w:val="top"/>
          </w:tcPr>
          <w:p>
            <w:r>
              <w:t>Group-directed degrading language.</w:t>
            </w:r>
          </w:p>
        </w:tc>
      </w:tr>
      <w:tr>
        <w:tc>
          <w:tcPr>
            <w:tcW w:type="dxa" w:w="4968"/>
            <w:vAlign w:val="top"/>
          </w:tcPr>
          <w:p>
            <w:r>
              <w:t>TC084</w:t>
            </w:r>
          </w:p>
        </w:tc>
        <w:tc>
          <w:tcPr>
            <w:tcW w:type="dxa" w:w="4968"/>
            <w:vAlign w:val="top"/>
          </w:tcPr>
          <w:p>
            <w:r>
              <w:t>Group-directed hostility requiring contextual interpretation.</w:t>
            </w:r>
          </w:p>
        </w:tc>
      </w:tr>
      <w:tr>
        <w:tc>
          <w:tcPr>
            <w:tcW w:type="dxa" w:w="4968"/>
            <w:vAlign w:val="top"/>
          </w:tcPr>
          <w:p>
            <w:r>
              <w:t>TC099</w:t>
            </w:r>
          </w:p>
        </w:tc>
        <w:tc>
          <w:tcPr>
            <w:tcW w:type="dxa" w:w="4968"/>
            <w:vAlign w:val="top"/>
          </w:tcPr>
          <w:p>
            <w:r>
              <w:t>Negative product review explicitly distinguished from employee attack.</w:t>
            </w:r>
          </w:p>
        </w:tc>
      </w:tr>
      <w:tr>
        <w:tc>
          <w:tcPr>
            <w:tcW w:type="dxa" w:w="4968"/>
            <w:vAlign w:val="top"/>
          </w:tcPr>
          <w:p>
            <w:r>
              <w:t>TC100</w:t>
            </w:r>
          </w:p>
        </w:tc>
        <w:tc>
          <w:tcPr>
            <w:tcW w:type="dxa" w:w="4968"/>
            <w:vAlign w:val="top"/>
          </w:tcPr>
          <w:p>
            <w:r>
              <w:t>Group-directed exclusionary language requiring contextual review.</w:t>
            </w:r>
          </w:p>
        </w:tc>
      </w:tr>
    </w:tbl>
    <w:p>
      <w:r>
        <w:t>Source note: Findings in this report were grounded in the uploaded Project 05 annotation export and the accompanying annotation guidelines. fileciteturn5file1L1-L4 fileciteturn5file18L1-L15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