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7D" w:rsidRPr="005A3C6A" w:rsidRDefault="000F0E7D" w:rsidP="00F2437F">
      <w:pPr>
        <w:rPr>
          <w:b/>
        </w:rPr>
      </w:pPr>
      <w:r w:rsidRPr="005A3C6A">
        <w:rPr>
          <w:b/>
        </w:rPr>
        <w:t>Kelvin</w:t>
      </w:r>
    </w:p>
    <w:p w:rsidR="000F0E7D" w:rsidRDefault="000F0E7D" w:rsidP="00F2437F">
      <w:pPr>
        <w:rPr>
          <w:b/>
        </w:rPr>
      </w:pPr>
      <w:r w:rsidRPr="000F0E7D">
        <w:rPr>
          <w:b/>
        </w:rPr>
        <w:t>Design</w:t>
      </w:r>
    </w:p>
    <w:p w:rsidR="00560289" w:rsidRDefault="000F0E7D" w:rsidP="00560289">
      <w:pPr>
        <w:jc w:val="both"/>
      </w:pPr>
      <w:r w:rsidRPr="000F0E7D">
        <w:t>This experiment was done in vitro on a petri dish.</w:t>
      </w:r>
      <w:r w:rsidR="00560289">
        <w:t xml:space="preserve"> </w:t>
      </w:r>
    </w:p>
    <w:p w:rsidR="000F0E7D" w:rsidRPr="000F0E7D" w:rsidRDefault="00560289" w:rsidP="00560289">
      <w:pPr>
        <w:jc w:val="both"/>
      </w:pPr>
      <w:r>
        <w:t xml:space="preserve">Dose and treatment was </w:t>
      </w:r>
      <w:r w:rsidRPr="00560289">
        <w:t>incorporated it into the media; (what we called Poisoned food), because it has to be homogenous and mimic field conditions.</w:t>
      </w:r>
    </w:p>
    <w:p w:rsidR="000F0E7D" w:rsidRDefault="000F0E7D" w:rsidP="00F243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DF" w:rsidRDefault="00ED1FDF" w:rsidP="00F243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0289" w:rsidTr="00560289">
        <w:tc>
          <w:tcPr>
            <w:tcW w:w="2337" w:type="dxa"/>
          </w:tcPr>
          <w:p w:rsidR="00560289" w:rsidRDefault="00560289" w:rsidP="00F2437F">
            <w:pPr>
              <w:rPr>
                <w:b/>
              </w:rPr>
            </w:pPr>
            <w:r>
              <w:rPr>
                <w:b/>
              </w:rPr>
              <w:t>Treatment 2</w:t>
            </w:r>
          </w:p>
        </w:tc>
        <w:tc>
          <w:tcPr>
            <w:tcW w:w="2337" w:type="dxa"/>
          </w:tcPr>
          <w:p w:rsidR="00560289" w:rsidRDefault="00560289" w:rsidP="00F2437F">
            <w:pPr>
              <w:rPr>
                <w:b/>
              </w:rPr>
            </w:pPr>
            <w:r>
              <w:rPr>
                <w:b/>
              </w:rPr>
              <w:t>Treatment 3</w:t>
            </w:r>
          </w:p>
        </w:tc>
        <w:tc>
          <w:tcPr>
            <w:tcW w:w="2338" w:type="dxa"/>
          </w:tcPr>
          <w:p w:rsidR="00560289" w:rsidRDefault="00560289" w:rsidP="00F2437F">
            <w:pPr>
              <w:rPr>
                <w:b/>
              </w:rPr>
            </w:pPr>
            <w:r>
              <w:rPr>
                <w:b/>
              </w:rPr>
              <w:t>Treatment 4</w:t>
            </w:r>
          </w:p>
        </w:tc>
        <w:tc>
          <w:tcPr>
            <w:tcW w:w="2338" w:type="dxa"/>
          </w:tcPr>
          <w:p w:rsidR="00560289" w:rsidRDefault="00560289" w:rsidP="00F2437F">
            <w:pPr>
              <w:rPr>
                <w:b/>
              </w:rPr>
            </w:pPr>
            <w:r>
              <w:rPr>
                <w:b/>
              </w:rPr>
              <w:t>Treatment 5</w:t>
            </w:r>
          </w:p>
        </w:tc>
      </w:tr>
      <w:tr w:rsidR="00560289" w:rsidTr="00560289">
        <w:tc>
          <w:tcPr>
            <w:tcW w:w="2337" w:type="dxa"/>
          </w:tcPr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4.9128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0.49128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0.049128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</w:t>
            </w:r>
          </w:p>
        </w:tc>
        <w:tc>
          <w:tcPr>
            <w:tcW w:w="2337" w:type="dxa"/>
          </w:tcPr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4.011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0.4011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0.04011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</w:t>
            </w:r>
          </w:p>
        </w:tc>
        <w:tc>
          <w:tcPr>
            <w:tcW w:w="2338" w:type="dxa"/>
          </w:tcPr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5.7975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0.57975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0.057975</w:t>
            </w:r>
          </w:p>
          <w:p w:rsidR="00560289" w:rsidRPr="00560289" w:rsidRDefault="00560289" w:rsidP="00560289">
            <w:pPr>
              <w:pStyle w:val="ListParagraph"/>
              <w:numPr>
                <w:ilvl w:val="0"/>
                <w:numId w:val="3"/>
              </w:numPr>
            </w:pPr>
            <w:r w:rsidRPr="00560289">
              <w:t>0</w:t>
            </w:r>
          </w:p>
          <w:p w:rsidR="00560289" w:rsidRPr="00560289" w:rsidRDefault="00560289" w:rsidP="00F2437F"/>
        </w:tc>
        <w:tc>
          <w:tcPr>
            <w:tcW w:w="2338" w:type="dxa"/>
          </w:tcPr>
          <w:p w:rsidR="00560289" w:rsidRDefault="00560289" w:rsidP="00F2437F">
            <w:pPr>
              <w:pStyle w:val="ListParagraph"/>
              <w:numPr>
                <w:ilvl w:val="0"/>
                <w:numId w:val="3"/>
              </w:numPr>
            </w:pPr>
            <w:r w:rsidRPr="00560289">
              <w:t>6.1036</w:t>
            </w:r>
          </w:p>
          <w:p w:rsidR="00560289" w:rsidRDefault="00560289" w:rsidP="00F2437F">
            <w:pPr>
              <w:pStyle w:val="ListParagraph"/>
              <w:numPr>
                <w:ilvl w:val="0"/>
                <w:numId w:val="3"/>
              </w:numPr>
            </w:pPr>
            <w:r w:rsidRPr="00560289">
              <w:t>0.61036</w:t>
            </w:r>
          </w:p>
          <w:p w:rsidR="00560289" w:rsidRDefault="00560289" w:rsidP="00F2437F">
            <w:pPr>
              <w:pStyle w:val="ListParagraph"/>
              <w:numPr>
                <w:ilvl w:val="0"/>
                <w:numId w:val="3"/>
              </w:numPr>
            </w:pPr>
            <w:r w:rsidRPr="00560289">
              <w:t>0.0161036</w:t>
            </w:r>
          </w:p>
          <w:p w:rsidR="00560289" w:rsidRPr="00560289" w:rsidRDefault="00560289" w:rsidP="00F2437F">
            <w:pPr>
              <w:pStyle w:val="ListParagraph"/>
              <w:numPr>
                <w:ilvl w:val="0"/>
                <w:numId w:val="3"/>
              </w:numPr>
            </w:pPr>
            <w:r w:rsidRPr="00560289">
              <w:t>0</w:t>
            </w:r>
          </w:p>
        </w:tc>
      </w:tr>
    </w:tbl>
    <w:p w:rsidR="00560289" w:rsidRDefault="00560289" w:rsidP="00F2437F">
      <w:pPr>
        <w:rPr>
          <w:b/>
        </w:rPr>
      </w:pPr>
    </w:p>
    <w:p w:rsidR="005A3C6A" w:rsidRDefault="005A3C6A" w:rsidP="005A3C6A">
      <w:pPr>
        <w:pStyle w:val="ListParagraph"/>
        <w:numPr>
          <w:ilvl w:val="0"/>
          <w:numId w:val="3"/>
        </w:numPr>
      </w:pPr>
      <w:r w:rsidRPr="005A3C6A">
        <w:t>4 Measurements per replicate (growth is not a perfect circle, so they measured the spread from the center to the top, bottom, left and right)</w:t>
      </w:r>
    </w:p>
    <w:p w:rsidR="005A3C6A" w:rsidRDefault="005A3C6A" w:rsidP="005A3C6A">
      <w:pPr>
        <w:pStyle w:val="ListParagraph"/>
        <w:numPr>
          <w:ilvl w:val="0"/>
          <w:numId w:val="3"/>
        </w:numPr>
      </w:pPr>
      <w:r>
        <w:t>Response Variable</w:t>
      </w:r>
      <w:r w:rsidR="002526F0">
        <w:t xml:space="preserve"> (growth)</w:t>
      </w:r>
      <w:r>
        <w:t xml:space="preserve"> contains 16.25% of Zero’s</w:t>
      </w:r>
    </w:p>
    <w:p w:rsidR="005A3C6A" w:rsidRPr="005A3C6A" w:rsidRDefault="005A3C6A" w:rsidP="005A3C6A">
      <w:pPr>
        <w:pStyle w:val="ListParagraph"/>
      </w:pPr>
    </w:p>
    <w:p w:rsidR="000F0E7D" w:rsidRDefault="000F0E7D" w:rsidP="00F2437F">
      <w:r>
        <w:t>Interested in seeing</w:t>
      </w:r>
    </w:p>
    <w:p w:rsidR="000F0E7D" w:rsidRDefault="000F0E7D" w:rsidP="00F2437F">
      <w:pPr>
        <w:pStyle w:val="ListParagraph"/>
        <w:numPr>
          <w:ilvl w:val="0"/>
          <w:numId w:val="2"/>
        </w:numPr>
      </w:pPr>
      <w:r w:rsidRPr="000F0E7D">
        <w:t>How different species respond to chemical treatments</w:t>
      </w:r>
    </w:p>
    <w:p w:rsidR="002526F0" w:rsidRDefault="000F0E7D" w:rsidP="002526F0">
      <w:pPr>
        <w:pStyle w:val="ListParagraph"/>
        <w:numPr>
          <w:ilvl w:val="0"/>
          <w:numId w:val="2"/>
        </w:numPr>
      </w:pPr>
      <w:r w:rsidRPr="000F0E7D">
        <w:t>How different doses of the chemical affect this response</w:t>
      </w:r>
    </w:p>
    <w:p w:rsidR="002526F0" w:rsidRPr="00516D93" w:rsidRDefault="002526F0" w:rsidP="002526F0">
      <w:pPr>
        <w:rPr>
          <w:b/>
        </w:rPr>
      </w:pPr>
      <w:r w:rsidRPr="00516D93">
        <w:rPr>
          <w:b/>
        </w:rPr>
        <w:t>Skeleton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2842"/>
      </w:tblGrid>
      <w:tr w:rsidR="002526F0" w:rsidTr="002526F0">
        <w:trPr>
          <w:trHeight w:val="286"/>
        </w:trPr>
        <w:tc>
          <w:tcPr>
            <w:tcW w:w="4530" w:type="dxa"/>
          </w:tcPr>
          <w:p w:rsidR="002526F0" w:rsidRPr="002526F0" w:rsidRDefault="002526F0" w:rsidP="002526F0">
            <w:pPr>
              <w:rPr>
                <w:b/>
              </w:rPr>
            </w:pPr>
            <w:r w:rsidRPr="002526F0">
              <w:rPr>
                <w:b/>
              </w:rPr>
              <w:t>SV</w:t>
            </w:r>
          </w:p>
        </w:tc>
        <w:tc>
          <w:tcPr>
            <w:tcW w:w="2842" w:type="dxa"/>
          </w:tcPr>
          <w:p w:rsidR="002526F0" w:rsidRPr="002526F0" w:rsidRDefault="002526F0" w:rsidP="002526F0">
            <w:pPr>
              <w:rPr>
                <w:b/>
              </w:rPr>
            </w:pPr>
            <w:r w:rsidRPr="002526F0">
              <w:rPr>
                <w:b/>
              </w:rPr>
              <w:t>239</w:t>
            </w:r>
          </w:p>
        </w:tc>
      </w:tr>
      <w:tr w:rsidR="00111286" w:rsidTr="002526F0">
        <w:trPr>
          <w:trHeight w:val="270"/>
        </w:trPr>
        <w:tc>
          <w:tcPr>
            <w:tcW w:w="4530" w:type="dxa"/>
          </w:tcPr>
          <w:p w:rsidR="00111286" w:rsidRDefault="00111286" w:rsidP="00111286">
            <w:r>
              <w:t xml:space="preserve">Treatment </w:t>
            </w:r>
          </w:p>
        </w:tc>
        <w:tc>
          <w:tcPr>
            <w:tcW w:w="2842" w:type="dxa"/>
          </w:tcPr>
          <w:p w:rsidR="00111286" w:rsidRDefault="00111286" w:rsidP="00111286">
            <w:r>
              <w:t>(5-1) = 4</w:t>
            </w:r>
          </w:p>
        </w:tc>
      </w:tr>
      <w:tr w:rsidR="00111286" w:rsidTr="002526F0">
        <w:trPr>
          <w:trHeight w:val="270"/>
        </w:trPr>
        <w:tc>
          <w:tcPr>
            <w:tcW w:w="4530" w:type="dxa"/>
          </w:tcPr>
          <w:p w:rsidR="00111286" w:rsidRDefault="00111286" w:rsidP="00111286">
            <w:r>
              <w:t xml:space="preserve">Dose(Treatment) </w:t>
            </w:r>
          </w:p>
        </w:tc>
        <w:tc>
          <w:tcPr>
            <w:tcW w:w="2842" w:type="dxa"/>
          </w:tcPr>
          <w:p w:rsidR="00111286" w:rsidRDefault="00111286" w:rsidP="00111286">
            <w:r>
              <w:t>(4-1)*5 = 15</w:t>
            </w:r>
          </w:p>
        </w:tc>
      </w:tr>
      <w:tr w:rsidR="00111286" w:rsidTr="002526F0">
        <w:trPr>
          <w:trHeight w:val="270"/>
        </w:trPr>
        <w:tc>
          <w:tcPr>
            <w:tcW w:w="4530" w:type="dxa"/>
          </w:tcPr>
          <w:p w:rsidR="00111286" w:rsidRDefault="00111286" w:rsidP="00111286">
            <w:r>
              <w:t>Species</w:t>
            </w:r>
          </w:p>
        </w:tc>
        <w:tc>
          <w:tcPr>
            <w:tcW w:w="2842" w:type="dxa"/>
          </w:tcPr>
          <w:p w:rsidR="00111286" w:rsidRDefault="00111286" w:rsidP="00111286">
            <w:r>
              <w:t>(4-1) = 3</w:t>
            </w:r>
          </w:p>
        </w:tc>
      </w:tr>
      <w:tr w:rsidR="00111286" w:rsidTr="002526F0">
        <w:trPr>
          <w:trHeight w:val="286"/>
        </w:trPr>
        <w:tc>
          <w:tcPr>
            <w:tcW w:w="4530" w:type="dxa"/>
          </w:tcPr>
          <w:p w:rsidR="00111286" w:rsidRDefault="00111286" w:rsidP="00111286">
            <w:r>
              <w:t>Treatment*Species</w:t>
            </w:r>
          </w:p>
        </w:tc>
        <w:tc>
          <w:tcPr>
            <w:tcW w:w="2842" w:type="dxa"/>
          </w:tcPr>
          <w:p w:rsidR="00111286" w:rsidRDefault="00111286" w:rsidP="00111286">
            <w:r>
              <w:t>(5-1)*(4-1) = 12</w:t>
            </w:r>
          </w:p>
        </w:tc>
      </w:tr>
      <w:tr w:rsidR="00111286" w:rsidTr="002526F0">
        <w:trPr>
          <w:trHeight w:val="270"/>
        </w:trPr>
        <w:tc>
          <w:tcPr>
            <w:tcW w:w="4530" w:type="dxa"/>
          </w:tcPr>
          <w:p w:rsidR="00111286" w:rsidRDefault="00111286" w:rsidP="00111286">
            <w:r>
              <w:t xml:space="preserve">Species*Dose(Treatment) </w:t>
            </w:r>
          </w:p>
        </w:tc>
        <w:tc>
          <w:tcPr>
            <w:tcW w:w="2842" w:type="dxa"/>
          </w:tcPr>
          <w:p w:rsidR="00111286" w:rsidRDefault="00111286" w:rsidP="00111286">
            <w:r>
              <w:t>3*15 = 45</w:t>
            </w:r>
          </w:p>
        </w:tc>
      </w:tr>
      <w:tr w:rsidR="00111286" w:rsidTr="002526F0">
        <w:trPr>
          <w:trHeight w:val="286"/>
        </w:trPr>
        <w:tc>
          <w:tcPr>
            <w:tcW w:w="4530" w:type="dxa"/>
          </w:tcPr>
          <w:p w:rsidR="00111286" w:rsidRDefault="00111286" w:rsidP="00111286">
            <w:r>
              <w:t>Error(Dish(Dose*Species*Treatment) (Random)</w:t>
            </w:r>
          </w:p>
        </w:tc>
        <w:tc>
          <w:tcPr>
            <w:tcW w:w="2842" w:type="dxa"/>
          </w:tcPr>
          <w:p w:rsidR="00111286" w:rsidRDefault="00111286" w:rsidP="00111286">
            <w:r>
              <w:t>(3-1)*(4*4*5) = 160</w:t>
            </w:r>
          </w:p>
        </w:tc>
      </w:tr>
    </w:tbl>
    <w:p w:rsidR="002526F0" w:rsidRDefault="002526F0" w:rsidP="002526F0"/>
    <w:p w:rsidR="004D46E4" w:rsidRPr="00184780" w:rsidRDefault="004D46E4" w:rsidP="004D46E4">
      <w:pPr>
        <w:jc w:val="both"/>
        <w:rPr>
          <w:b/>
        </w:rPr>
      </w:pPr>
      <w:r w:rsidRPr="00184780">
        <w:rPr>
          <w:b/>
        </w:rPr>
        <w:t>Data Type: Semi continuous</w:t>
      </w:r>
    </w:p>
    <w:p w:rsidR="00184780" w:rsidRPr="00184780" w:rsidRDefault="00184780" w:rsidP="004D46E4">
      <w:pPr>
        <w:jc w:val="both"/>
        <w:rPr>
          <w:b/>
        </w:rPr>
      </w:pPr>
      <w:r w:rsidRPr="00184780">
        <w:rPr>
          <w:b/>
        </w:rPr>
        <w:t>Model: Zero-Inflated Gamma</w:t>
      </w:r>
      <w:bookmarkStart w:id="0" w:name="_GoBack"/>
      <w:bookmarkEnd w:id="0"/>
    </w:p>
    <w:p w:rsidR="00720A45" w:rsidRPr="004D46E4" w:rsidRDefault="004D46E4" w:rsidP="004D46E4">
      <w:pPr>
        <w:jc w:val="both"/>
      </w:pPr>
      <w:r>
        <w:t>The zero-inflated model used R “</w:t>
      </w:r>
      <w:proofErr w:type="spellStart"/>
      <w:r>
        <w:t>glmmTMB</w:t>
      </w:r>
      <w:proofErr w:type="spellEnd"/>
      <w:r>
        <w:t xml:space="preserve">” to perform logistic regression modelling the probability of a fungus surviving, </w:t>
      </w:r>
      <w:r w:rsidRPr="004D46E4">
        <w:t xml:space="preserve">gamma regression modelling </w:t>
      </w:r>
      <w:r>
        <w:t>mean growth within fungus that survived</w:t>
      </w:r>
      <w:r w:rsidRPr="004D46E4">
        <w:t xml:space="preserve">, and combining the two models to analyze </w:t>
      </w:r>
      <w:r>
        <w:t>differences in overall mean growth</w:t>
      </w:r>
      <w:r w:rsidRPr="004D46E4">
        <w:t>.</w:t>
      </w:r>
      <w:r>
        <w:t xml:space="preserve"> For this model</w:t>
      </w:r>
      <w:r>
        <w:t xml:space="preserve">, </w:t>
      </w:r>
      <w:r>
        <w:t xml:space="preserve">the probability that the pathogens grows outcome </w:t>
      </w:r>
      <w:r>
        <w:t>is modeled via logistic regression. Then the distribution of</w:t>
      </w:r>
      <w:r>
        <w:t xml:space="preserve"> the non-zero </w:t>
      </w:r>
      <w:r>
        <w:t>outcomes</w:t>
      </w:r>
      <w:r>
        <w:t xml:space="preserve"> i.e. average growth</w:t>
      </w:r>
      <w:r>
        <w:t xml:space="preserve"> is modeled via gamma regression with a log-link for ZIG regression</w:t>
      </w:r>
      <w:r>
        <w:t>.</w:t>
      </w:r>
    </w:p>
    <w:p w:rsidR="004D46E4" w:rsidRDefault="004D46E4" w:rsidP="004D46E4">
      <w:pPr>
        <w:rPr>
          <w:b/>
        </w:rPr>
      </w:pPr>
      <w:r w:rsidRPr="004D46E4">
        <w:rPr>
          <w:b/>
        </w:rPr>
        <w:t>Random Effects</w:t>
      </w:r>
    </w:p>
    <w:p w:rsidR="004D46E4" w:rsidRDefault="004D46E4" w:rsidP="004D46E4">
      <w:pPr>
        <w:jc w:val="center"/>
        <w:rPr>
          <w:b/>
        </w:rPr>
      </w:pPr>
      <w:r>
        <w:rPr>
          <w:noProof/>
        </w:rPr>
        <w:drawing>
          <wp:inline distT="0" distB="0" distL="0" distR="0" wp14:anchorId="78D47666" wp14:editId="6044E499">
            <wp:extent cx="55911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4" w:rsidRPr="004D46E4" w:rsidRDefault="004D46E4" w:rsidP="004D46E4">
      <w:r w:rsidRPr="004D46E4">
        <w:t>Conditional Model</w:t>
      </w:r>
    </w:p>
    <w:p w:rsidR="004D46E4" w:rsidRDefault="004D46E4" w:rsidP="004D46E4">
      <w:pPr>
        <w:jc w:val="both"/>
      </w:pPr>
      <w:r w:rsidRPr="004D46E4">
        <w:t>In the conditional model, we included the random effect of dose nested in treatments (</w:t>
      </w:r>
      <w:proofErr w:type="spellStart"/>
      <w:r w:rsidRPr="004D46E4">
        <w:t>Dose</w:t>
      </w:r>
      <w:proofErr w:type="gramStart"/>
      <w:r w:rsidRPr="004D46E4">
        <w:t>:Treatments</w:t>
      </w:r>
      <w:proofErr w:type="spellEnd"/>
      <w:proofErr w:type="gramEnd"/>
      <w:r w:rsidRPr="004D46E4">
        <w:t>) and species crossed with treatments nested in dose (</w:t>
      </w:r>
      <w:proofErr w:type="spellStart"/>
      <w:r w:rsidRPr="004D46E4">
        <w:t>Species:Dose:Treatments</w:t>
      </w:r>
      <w:proofErr w:type="spellEnd"/>
      <w:r w:rsidRPr="004D46E4">
        <w:t>) to capture their variability.</w:t>
      </w:r>
      <w:r>
        <w:t xml:space="preserve"> The </w:t>
      </w:r>
      <w:r>
        <w:t>variation in the growth of the pathogens due to the random effect of dose nested within treatments is 0.3776</w:t>
      </w:r>
      <w:r>
        <w:t xml:space="preserve"> and</w:t>
      </w:r>
      <w:r w:rsidRPr="004D46E4">
        <w:t xml:space="preserve"> </w:t>
      </w:r>
      <w:r>
        <w:t xml:space="preserve">the variation in the growth of the pathogens due to the random effect of </w:t>
      </w:r>
      <w:r w:rsidRPr="004D46E4">
        <w:t>species c</w:t>
      </w:r>
      <w:r>
        <w:t>rossed with treatments nested within</w:t>
      </w:r>
      <w:r w:rsidRPr="004D46E4">
        <w:t xml:space="preserve"> dose</w:t>
      </w:r>
      <w:r>
        <w:t xml:space="preserve"> is 0.0914. </w:t>
      </w:r>
    </w:p>
    <w:p w:rsidR="004D46E4" w:rsidRDefault="004D46E4" w:rsidP="004D46E4">
      <w:pPr>
        <w:jc w:val="both"/>
      </w:pPr>
      <w:r>
        <w:t>Zero-inflated Model</w:t>
      </w:r>
    </w:p>
    <w:p w:rsidR="004D46E4" w:rsidRDefault="004D46E4" w:rsidP="004D46E4">
      <w:pPr>
        <w:jc w:val="both"/>
      </w:pPr>
      <w:r>
        <w:lastRenderedPageBreak/>
        <w:t>For this model i.e. the</w:t>
      </w:r>
      <w:r>
        <w:t xml:space="preserve"> logistic regression modelling the probability of a fungus surviving</w:t>
      </w:r>
      <w:r>
        <w:t>, we included the random effect of dose nested within treatment, t</w:t>
      </w:r>
      <w:r>
        <w:t xml:space="preserve">he variation in the growth of the pathogens due to </w:t>
      </w:r>
      <w:r>
        <w:t xml:space="preserve">this </w:t>
      </w:r>
      <w:r w:rsidRPr="004D46E4">
        <w:rPr>
          <w:highlight w:val="yellow"/>
        </w:rPr>
        <w:t xml:space="preserve">random effect </w:t>
      </w:r>
      <w:r w:rsidRPr="004D46E4">
        <w:rPr>
          <w:highlight w:val="yellow"/>
        </w:rPr>
        <w:t>was 96.64 which is quite large. This however suggests a large variability in the probability of observing no growth.</w:t>
      </w:r>
    </w:p>
    <w:p w:rsidR="00720A45" w:rsidRDefault="004D46E4" w:rsidP="00480420">
      <w:pPr>
        <w:rPr>
          <w:b/>
        </w:rPr>
      </w:pPr>
      <w:r>
        <w:rPr>
          <w:b/>
        </w:rPr>
        <w:t>Fixed Effects</w:t>
      </w:r>
    </w:p>
    <w:p w:rsidR="004D46E4" w:rsidRDefault="004D46E4" w:rsidP="004D46E4">
      <w:pPr>
        <w:rPr>
          <w:b/>
        </w:rPr>
      </w:pPr>
      <w:r w:rsidRPr="004D46E4">
        <w:rPr>
          <w:b/>
        </w:rPr>
        <w:t>Conditional Model</w:t>
      </w:r>
    </w:p>
    <w:p w:rsidR="004D46E4" w:rsidRDefault="004D46E4" w:rsidP="004D46E4">
      <w:pPr>
        <w:rPr>
          <w:b/>
        </w:rPr>
      </w:pPr>
      <w:r>
        <w:rPr>
          <w:noProof/>
        </w:rPr>
        <w:drawing>
          <wp:inline distT="0" distB="0" distL="0" distR="0" wp14:anchorId="0459BE9E" wp14:editId="1E86FD89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4" w:rsidRDefault="004D46E4" w:rsidP="004D46E4">
      <w:pPr>
        <w:jc w:val="both"/>
        <w:rPr>
          <w:b/>
        </w:rPr>
      </w:pPr>
      <w:r w:rsidRPr="004D46E4">
        <w:rPr>
          <w:b/>
          <w:highlight w:val="yellow"/>
        </w:rPr>
        <w:t>Exponential of the above</w:t>
      </w:r>
    </w:p>
    <w:p w:rsidR="004D46E4" w:rsidRPr="004D46E4" w:rsidRDefault="004D46E4" w:rsidP="004D46E4">
      <w:pPr>
        <w:rPr>
          <w:b/>
        </w:rPr>
      </w:pPr>
      <w:r>
        <w:rPr>
          <w:noProof/>
        </w:rPr>
        <w:drawing>
          <wp:inline distT="0" distB="0" distL="0" distR="0" wp14:anchorId="37B31CAF" wp14:editId="19A00569">
            <wp:extent cx="5943600" cy="1929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4" w:rsidRDefault="004D46E4" w:rsidP="004D46E4">
      <w:pPr>
        <w:jc w:val="both"/>
      </w:pPr>
      <w:r>
        <w:t>The fixed effect model included the main effect of species, treatments and their interactions on the mean fungal growth of surviving pathogens. We observed a significant interaction between the treatments and species, indicating that the fungicide effectiveness varies based on the species of the pathogen (fungus). There was a significant interaction between species “</w:t>
      </w:r>
      <w:proofErr w:type="spellStart"/>
      <w:r>
        <w:t>Fusarim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>” and treatment “</w:t>
      </w:r>
      <w:proofErr w:type="spellStart"/>
      <w:r w:rsidRPr="004D46E4">
        <w:t>Topguard</w:t>
      </w:r>
      <w:proofErr w:type="spellEnd"/>
      <w:r w:rsidRPr="004D46E4">
        <w:t xml:space="preserve"> 1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Flutriafol</w:t>
      </w:r>
      <w:proofErr w:type="spellEnd"/>
      <w:r w:rsidRPr="004D46E4">
        <w:t>)</w:t>
      </w:r>
      <w:r>
        <w:t xml:space="preserve">”. The result showed that species 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 xml:space="preserve"> significantly has a higher growth when treated with </w:t>
      </w:r>
      <w:proofErr w:type="spellStart"/>
      <w:r w:rsidRPr="004D46E4">
        <w:t>Topguard</w:t>
      </w:r>
      <w:proofErr w:type="spellEnd"/>
      <w:r w:rsidRPr="004D46E4">
        <w:t xml:space="preserve"> 1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Flutriafol</w:t>
      </w:r>
      <w:proofErr w:type="spellEnd"/>
      <w:r w:rsidRPr="004D46E4">
        <w:t>)</w:t>
      </w:r>
      <w:r>
        <w:t xml:space="preserve"> compared to </w:t>
      </w:r>
      <w:proofErr w:type="spellStart"/>
      <w:r w:rsidRPr="004D46E4">
        <w:t>DelaroComplete</w:t>
      </w:r>
      <w:proofErr w:type="spellEnd"/>
      <w:r w:rsidRPr="004D46E4">
        <w:t xml:space="preserve"> 3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Proth+Trif+Fluop</w:t>
      </w:r>
      <w:proofErr w:type="spellEnd"/>
      <w:r w:rsidRPr="004D46E4">
        <w:t>)</w:t>
      </w:r>
      <w:r>
        <w:t xml:space="preserve"> </w:t>
      </w:r>
      <w:r w:rsidRPr="004D46E4">
        <w:t>(β = 5.68</w:t>
      </w:r>
      <w:r>
        <w:t>, p = 0.006).</w:t>
      </w:r>
    </w:p>
    <w:p w:rsidR="004D46E4" w:rsidRDefault="004D46E4" w:rsidP="004D46E4">
      <w:pPr>
        <w:jc w:val="both"/>
      </w:pPr>
      <w:r>
        <w:t>Also, there was a significant interaction between Species “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>” and</w:t>
      </w:r>
      <w:r w:rsidRPr="004D46E4">
        <w:t xml:space="preserve"> Treatmen</w:t>
      </w:r>
      <w:r>
        <w:t>ts “</w:t>
      </w:r>
      <w:proofErr w:type="spellStart"/>
      <w:r w:rsidRPr="004D46E4">
        <w:t>Topguard</w:t>
      </w:r>
      <w:proofErr w:type="spellEnd"/>
      <w:r>
        <w:t xml:space="preserve"> EQ 2 active </w:t>
      </w:r>
      <w:proofErr w:type="spellStart"/>
      <w:r>
        <w:t>ingr</w:t>
      </w:r>
      <w:proofErr w:type="spellEnd"/>
      <w:r>
        <w:t xml:space="preserve"> (</w:t>
      </w:r>
      <w:proofErr w:type="spellStart"/>
      <w:r>
        <w:t>Flut+Azoxys</w:t>
      </w:r>
      <w:proofErr w:type="spellEnd"/>
      <w:r>
        <w:t xml:space="preserve">)”. The </w:t>
      </w:r>
      <w:r>
        <w:t xml:space="preserve">result showed that species 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oxysporum</w:t>
      </w:r>
      <w:proofErr w:type="spellEnd"/>
      <w:r>
        <w:t xml:space="preserve"> </w:t>
      </w:r>
      <w:r>
        <w:lastRenderedPageBreak/>
        <w:t>significantly has a higher growth when treated</w:t>
      </w:r>
      <w:r>
        <w:t xml:space="preserve"> </w:t>
      </w:r>
      <w:proofErr w:type="spellStart"/>
      <w:r w:rsidRPr="004D46E4">
        <w:t>Topguard</w:t>
      </w:r>
      <w:proofErr w:type="spellEnd"/>
      <w:r>
        <w:t xml:space="preserve"> EQ 2 active </w:t>
      </w:r>
      <w:proofErr w:type="spellStart"/>
      <w:r>
        <w:t>ingr</w:t>
      </w:r>
      <w:proofErr w:type="spellEnd"/>
      <w:r>
        <w:t xml:space="preserve"> (</w:t>
      </w:r>
      <w:proofErr w:type="spellStart"/>
      <w:r>
        <w:t>Flut+Azoxys</w:t>
      </w:r>
      <w:proofErr w:type="spellEnd"/>
      <w:r>
        <w:t>)</w:t>
      </w:r>
      <w:r>
        <w:t xml:space="preserve"> compared to </w:t>
      </w:r>
      <w:proofErr w:type="spellStart"/>
      <w:r w:rsidRPr="004D46E4">
        <w:t>DelaroComplete</w:t>
      </w:r>
      <w:proofErr w:type="spellEnd"/>
      <w:r w:rsidRPr="004D46E4">
        <w:t xml:space="preserve"> 3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Proth+Trif+Fluop</w:t>
      </w:r>
      <w:proofErr w:type="spellEnd"/>
      <w:r w:rsidRPr="004D46E4">
        <w:t>)</w:t>
      </w:r>
      <w:r>
        <w:t xml:space="preserve"> </w:t>
      </w:r>
      <w:r>
        <w:t>(β = 3.71, p = 0.018</w:t>
      </w:r>
      <w:r>
        <w:t>).</w:t>
      </w:r>
    </w:p>
    <w:p w:rsidR="004D46E4" w:rsidRPr="004D46E4" w:rsidRDefault="004D46E4" w:rsidP="004D46E4">
      <w:pPr>
        <w:jc w:val="both"/>
      </w:pPr>
      <w:r>
        <w:t>We observed no significant effects of treatments on the fungal growth of others as they all have a significance value greater than 0.05.</w:t>
      </w:r>
    </w:p>
    <w:p w:rsidR="004D46E4" w:rsidRDefault="004D46E4" w:rsidP="004D46E4">
      <w:pPr>
        <w:rPr>
          <w:b/>
        </w:rPr>
      </w:pPr>
      <w:r w:rsidRPr="004D46E4">
        <w:rPr>
          <w:b/>
        </w:rPr>
        <w:t>Zero-Inflation Mo</w:t>
      </w:r>
      <w:r>
        <w:rPr>
          <w:b/>
        </w:rPr>
        <w:t xml:space="preserve">del </w:t>
      </w:r>
    </w:p>
    <w:p w:rsidR="004D46E4" w:rsidRDefault="004D46E4" w:rsidP="004D46E4">
      <w:pPr>
        <w:rPr>
          <w:b/>
        </w:rPr>
      </w:pPr>
      <w:r>
        <w:rPr>
          <w:noProof/>
        </w:rPr>
        <w:drawing>
          <wp:inline distT="0" distB="0" distL="0" distR="0" wp14:anchorId="6EEAF2A5" wp14:editId="63768DE2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4" w:rsidRDefault="004D46E4" w:rsidP="004D46E4">
      <w:pPr>
        <w:rPr>
          <w:b/>
        </w:rPr>
      </w:pPr>
      <w:r>
        <w:rPr>
          <w:noProof/>
        </w:rPr>
        <w:drawing>
          <wp:inline distT="0" distB="0" distL="0" distR="0" wp14:anchorId="55D2F4BD" wp14:editId="4DA12F64">
            <wp:extent cx="59436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4" w:rsidRPr="004D46E4" w:rsidRDefault="004D46E4" w:rsidP="004D46E4">
      <w:r w:rsidRPr="004D46E4">
        <w:rPr>
          <w:highlight w:val="yellow"/>
        </w:rPr>
        <w:t>Should I be concerned about the confidence interval which starts from 0 to infinity?</w:t>
      </w:r>
    </w:p>
    <w:p w:rsidR="004D46E4" w:rsidRDefault="004D46E4" w:rsidP="004D46E4">
      <w:pPr>
        <w:jc w:val="both"/>
      </w:pPr>
      <w:r w:rsidRPr="004D46E4">
        <w:t xml:space="preserve">This </w:t>
      </w:r>
      <w:r>
        <w:t>zero-inflated</w:t>
      </w:r>
      <w:r w:rsidRPr="004D46E4">
        <w:t xml:space="preserve"> model </w:t>
      </w:r>
      <w:r>
        <w:t xml:space="preserve">examined the likelihood of zero growth across different species and fungicide </w:t>
      </w:r>
      <w:proofErr w:type="gramStart"/>
      <w:r>
        <w:t>treatment</w:t>
      </w:r>
      <w:proofErr w:type="gramEnd"/>
      <w:r>
        <w:t xml:space="preserve">. The reference treatment was </w:t>
      </w:r>
      <w:proofErr w:type="spellStart"/>
      <w:r>
        <w:t>Diaporthe</w:t>
      </w:r>
      <w:proofErr w:type="spellEnd"/>
      <w:r>
        <w:t xml:space="preserve"> </w:t>
      </w:r>
      <w:proofErr w:type="spellStart"/>
      <w:r>
        <w:t>longicolla</w:t>
      </w:r>
      <w:proofErr w:type="spellEnd"/>
      <w:r>
        <w:t>. The result showed that two species (</w:t>
      </w:r>
      <w:proofErr w:type="spellStart"/>
      <w:r w:rsidRPr="004D46E4">
        <w:t>Fusarium</w:t>
      </w:r>
      <w:proofErr w:type="spellEnd"/>
      <w:r w:rsidRPr="004D46E4">
        <w:t xml:space="preserve"> </w:t>
      </w:r>
      <w:proofErr w:type="spellStart"/>
      <w:r w:rsidRPr="004D46E4">
        <w:t>solani</w:t>
      </w:r>
      <w:proofErr w:type="spellEnd"/>
      <w:r w:rsidRPr="004D46E4">
        <w:t xml:space="preserve"> and </w:t>
      </w:r>
      <w:proofErr w:type="spellStart"/>
      <w:r w:rsidRPr="004D46E4">
        <w:t>Rhizoctonia</w:t>
      </w:r>
      <w:proofErr w:type="spellEnd"/>
      <w:r w:rsidRPr="004D46E4">
        <w:t xml:space="preserve"> </w:t>
      </w:r>
      <w:proofErr w:type="spellStart"/>
      <w:r w:rsidRPr="004D46E4">
        <w:t>solani</w:t>
      </w:r>
      <w:proofErr w:type="spellEnd"/>
      <w:r w:rsidRPr="004D46E4">
        <w:t xml:space="preserve"> </w:t>
      </w:r>
      <w:r>
        <w:t xml:space="preserve">species) showed </w:t>
      </w:r>
      <w:r w:rsidRPr="004D46E4">
        <w:t>s</w:t>
      </w:r>
      <w:r>
        <w:t>ignificantly lower chances</w:t>
      </w:r>
      <w:r w:rsidRPr="004D46E4">
        <w:t xml:space="preserve"> of zero growth compared to the reference species</w:t>
      </w:r>
      <w:r>
        <w:t xml:space="preserve">; </w:t>
      </w:r>
      <w:proofErr w:type="spellStart"/>
      <w:r>
        <w:t>Fusarium</w:t>
      </w:r>
      <w:proofErr w:type="spellEnd"/>
      <w:r>
        <w:t xml:space="preserve"> </w:t>
      </w:r>
      <w:proofErr w:type="spellStart"/>
      <w:r>
        <w:t>solani</w:t>
      </w:r>
      <w:proofErr w:type="spellEnd"/>
      <w:r>
        <w:t>: β = -13.697, SE = 6.201, z = -2.838, p = .005</w:t>
      </w:r>
      <w:r>
        <w:t xml:space="preserve">; </w:t>
      </w:r>
      <w:proofErr w:type="spellStart"/>
      <w:r>
        <w:t>Rhizoctonia</w:t>
      </w:r>
      <w:proofErr w:type="spellEnd"/>
      <w:r>
        <w:t xml:space="preserve"> </w:t>
      </w:r>
      <w:proofErr w:type="spellStart"/>
      <w:r>
        <w:t>solani</w:t>
      </w:r>
      <w:proofErr w:type="spellEnd"/>
      <w:r>
        <w:t>: β = -17.600, SE = 6.201, z = -2.838, p = .005</w:t>
      </w:r>
      <w:r>
        <w:t xml:space="preserve">. </w:t>
      </w:r>
      <w:r>
        <w:t>The fungicide treatments did not signific</w:t>
      </w:r>
      <w:r>
        <w:t xml:space="preserve">antly influence the likelihood </w:t>
      </w:r>
      <w:r>
        <w:t>of zero growth (all p values &gt; .05).</w:t>
      </w:r>
      <w:r>
        <w:t xml:space="preserve"> This </w:t>
      </w:r>
      <w:r>
        <w:t>suggest</w:t>
      </w:r>
      <w:r>
        <w:t>s</w:t>
      </w:r>
      <w:r>
        <w:t xml:space="preserve"> t</w:t>
      </w:r>
      <w:r>
        <w:t>hat while species of the pathogens</w:t>
      </w:r>
      <w:r>
        <w:t xml:space="preserve"> significantly affects the likeli</w:t>
      </w:r>
      <w:r>
        <w:t>hood of zero growth, the type of</w:t>
      </w:r>
      <w:r>
        <w:t xml:space="preserve"> fungicide treatments do not show a statistically significant i</w:t>
      </w:r>
      <w:r>
        <w:t>mpact on zero growth of fungus</w:t>
      </w:r>
      <w:r>
        <w:t>.</w:t>
      </w:r>
    </w:p>
    <w:p w:rsidR="004D46E4" w:rsidRDefault="004D46E4" w:rsidP="004D46E4">
      <w:pPr>
        <w:jc w:val="both"/>
        <w:rPr>
          <w:b/>
        </w:rPr>
      </w:pPr>
      <w:r w:rsidRPr="004D46E4">
        <w:rPr>
          <w:b/>
        </w:rPr>
        <w:t>Dispersion Model</w:t>
      </w:r>
    </w:p>
    <w:p w:rsidR="004D46E4" w:rsidRPr="004D46E4" w:rsidRDefault="004D46E4" w:rsidP="004D46E4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1DB8251" wp14:editId="798F22F7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45" w:rsidRPr="004D46E4" w:rsidRDefault="004D46E4" w:rsidP="004D46E4">
      <w:pPr>
        <w:jc w:val="both"/>
      </w:pPr>
      <w:r>
        <w:t>The dispersion model looks at the variability in the non-zero in the non-zero counts</w:t>
      </w:r>
      <w:r w:rsidR="00997BBB">
        <w:t xml:space="preserve"> i.e. how different treatment combination introduces heterogeneity in the response</w:t>
      </w:r>
      <w:r>
        <w:t xml:space="preserve">. This contains the main and interaction effect of species and treatment. </w:t>
      </w:r>
      <w:proofErr w:type="spellStart"/>
      <w:r w:rsidRPr="004D46E4">
        <w:t>Fusarium</w:t>
      </w:r>
      <w:proofErr w:type="spellEnd"/>
      <w:r w:rsidRPr="004D46E4">
        <w:t xml:space="preserve"> </w:t>
      </w:r>
      <w:proofErr w:type="spellStart"/>
      <w:r w:rsidRPr="004D46E4">
        <w:t>solani</w:t>
      </w:r>
      <w:proofErr w:type="spellEnd"/>
      <w:r w:rsidRPr="004D46E4">
        <w:t xml:space="preserve"> exhibited significantly higher dispersion</w:t>
      </w:r>
      <w:r w:rsidRPr="004D46E4">
        <w:t xml:space="preserve"> compared to </w:t>
      </w:r>
      <w:proofErr w:type="spellStart"/>
      <w:r w:rsidRPr="004D46E4">
        <w:t>Diaporthe</w:t>
      </w:r>
      <w:proofErr w:type="spellEnd"/>
      <w:r w:rsidRPr="004D46E4">
        <w:t xml:space="preserve"> </w:t>
      </w:r>
      <w:proofErr w:type="spellStart"/>
      <w:r w:rsidRPr="004D46E4">
        <w:t>longicolla</w:t>
      </w:r>
      <w:proofErr w:type="spellEnd"/>
      <w:r w:rsidRPr="004D46E4">
        <w:t xml:space="preserve"> (β = 2.770, p = 0.034), indicating greater variability in its growth across t</w:t>
      </w:r>
      <w:r w:rsidRPr="004D46E4">
        <w:t xml:space="preserve">reatments. </w:t>
      </w:r>
      <w:proofErr w:type="spellStart"/>
      <w:r w:rsidRPr="004D46E4">
        <w:t>Quadris</w:t>
      </w:r>
      <w:proofErr w:type="spellEnd"/>
      <w:r w:rsidRPr="004D46E4">
        <w:t xml:space="preserve"> (</w:t>
      </w:r>
      <w:proofErr w:type="spellStart"/>
      <w:r w:rsidRPr="004D46E4">
        <w:t>Azoxystrobin</w:t>
      </w:r>
      <w:proofErr w:type="spellEnd"/>
      <w:r w:rsidRPr="004D46E4">
        <w:t>) had a significant positive effect on dispersion</w:t>
      </w:r>
      <w:r w:rsidRPr="004D46E4">
        <w:t xml:space="preserve"> </w:t>
      </w:r>
      <w:r w:rsidRPr="004D46E4">
        <w:t xml:space="preserve">compared to </w:t>
      </w:r>
      <w:proofErr w:type="spellStart"/>
      <w:r w:rsidRPr="004D46E4">
        <w:t>Diaporthe</w:t>
      </w:r>
      <w:proofErr w:type="spellEnd"/>
      <w:r w:rsidRPr="004D46E4">
        <w:t xml:space="preserve"> </w:t>
      </w:r>
      <w:proofErr w:type="spellStart"/>
      <w:r w:rsidRPr="004D46E4">
        <w:t>longicolla</w:t>
      </w:r>
      <w:proofErr w:type="spellEnd"/>
      <w:r w:rsidRPr="004D46E4">
        <w:t xml:space="preserve"> (β = 1.968, p = 0.047), suggesting more variability in fung</w:t>
      </w:r>
      <w:r w:rsidRPr="004D46E4">
        <w:t xml:space="preserve">al growth under this treatment. </w:t>
      </w:r>
      <w:r w:rsidRPr="004D46E4">
        <w:t xml:space="preserve">The </w:t>
      </w:r>
      <w:r w:rsidRPr="004D46E4">
        <w:t xml:space="preserve">treatment </w:t>
      </w:r>
      <w:proofErr w:type="spellStart"/>
      <w:r w:rsidRPr="004D46E4">
        <w:t>Quadris</w:t>
      </w:r>
      <w:proofErr w:type="spellEnd"/>
      <w:r w:rsidRPr="004D46E4">
        <w:t xml:space="preserve"> 1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Azoxystrobin</w:t>
      </w:r>
      <w:proofErr w:type="spellEnd"/>
      <w:r w:rsidRPr="004D46E4">
        <w:t xml:space="preserve">) </w:t>
      </w:r>
      <w:r w:rsidRPr="004D46E4">
        <w:t xml:space="preserve">showed </w:t>
      </w:r>
      <w:r w:rsidRPr="004D46E4">
        <w:t xml:space="preserve">higher dispersion compared to </w:t>
      </w:r>
      <w:proofErr w:type="spellStart"/>
      <w:r w:rsidRPr="004D46E4">
        <w:t>DelaroComplete</w:t>
      </w:r>
      <w:proofErr w:type="spellEnd"/>
      <w:r w:rsidRPr="004D46E4">
        <w:t xml:space="preserve"> 3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Proth+Trif+Fluop</w:t>
      </w:r>
      <w:proofErr w:type="spellEnd"/>
      <w:proofErr w:type="gramStart"/>
      <w:r w:rsidRPr="004D46E4">
        <w:t>)</w:t>
      </w:r>
      <w:r w:rsidRPr="004D46E4">
        <w:t xml:space="preserve">  </w:t>
      </w:r>
      <w:r w:rsidRPr="004D46E4">
        <w:t>(</w:t>
      </w:r>
      <w:proofErr w:type="gramEnd"/>
      <w:r w:rsidRPr="004D46E4">
        <w:t>β = 2.436, p = 0.070), indicating that this treatment contribute to variability in growth responses.</w:t>
      </w:r>
      <w:r w:rsidRPr="004D46E4">
        <w:t xml:space="preserve"> Additionally, the interaction between species “</w:t>
      </w:r>
      <w:proofErr w:type="spellStart"/>
      <w:r w:rsidRPr="004D46E4">
        <w:t>Fusarim</w:t>
      </w:r>
      <w:proofErr w:type="spellEnd"/>
      <w:r w:rsidRPr="004D46E4">
        <w:t xml:space="preserve"> </w:t>
      </w:r>
      <w:proofErr w:type="spellStart"/>
      <w:r w:rsidRPr="004D46E4">
        <w:t>oxysporum</w:t>
      </w:r>
      <w:proofErr w:type="spellEnd"/>
      <w:r w:rsidRPr="004D46E4">
        <w:t>” and treatment “</w:t>
      </w:r>
      <w:proofErr w:type="spellStart"/>
      <w:r w:rsidRPr="004D46E4">
        <w:t>Quadris</w:t>
      </w:r>
      <w:proofErr w:type="spellEnd"/>
      <w:r w:rsidRPr="004D46E4">
        <w:t xml:space="preserve"> 1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Azoxystrobin</w:t>
      </w:r>
      <w:proofErr w:type="spellEnd"/>
      <w:r w:rsidRPr="004D46E4">
        <w:t>)</w:t>
      </w:r>
      <w:r w:rsidRPr="004D46E4">
        <w:t xml:space="preserve">”, ” </w:t>
      </w:r>
      <w:proofErr w:type="spellStart"/>
      <w:r w:rsidRPr="004D46E4">
        <w:t>Rhizoctonia</w:t>
      </w:r>
      <w:proofErr w:type="spellEnd"/>
      <w:r w:rsidRPr="004D46E4">
        <w:t xml:space="preserve"> </w:t>
      </w:r>
      <w:proofErr w:type="spellStart"/>
      <w:r w:rsidRPr="004D46E4">
        <w:t>solani</w:t>
      </w:r>
      <w:proofErr w:type="spellEnd"/>
      <w:r w:rsidRPr="004D46E4">
        <w:t xml:space="preserve">” and </w:t>
      </w:r>
      <w:r w:rsidRPr="004D46E4">
        <w:t>“</w:t>
      </w:r>
      <w:proofErr w:type="spellStart"/>
      <w:r w:rsidRPr="004D46E4">
        <w:t>Quadris</w:t>
      </w:r>
      <w:proofErr w:type="spellEnd"/>
      <w:r w:rsidRPr="004D46E4">
        <w:t xml:space="preserve"> 1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Azoxystrobin</w:t>
      </w:r>
      <w:proofErr w:type="spellEnd"/>
      <w:r w:rsidRPr="004D46E4">
        <w:t>)”</w:t>
      </w:r>
      <w:r w:rsidRPr="004D46E4">
        <w:t xml:space="preserve">  &amp;  “</w:t>
      </w:r>
      <w:proofErr w:type="spellStart"/>
      <w:r w:rsidRPr="004D46E4">
        <w:t>Fusarium</w:t>
      </w:r>
      <w:proofErr w:type="spellEnd"/>
      <w:r w:rsidRPr="004D46E4">
        <w:t xml:space="preserve"> </w:t>
      </w:r>
      <w:proofErr w:type="spellStart"/>
      <w:r w:rsidRPr="004D46E4">
        <w:t>solani</w:t>
      </w:r>
      <w:proofErr w:type="spellEnd"/>
      <w:r w:rsidRPr="004D46E4">
        <w:t>” and “</w:t>
      </w:r>
      <w:proofErr w:type="spellStart"/>
      <w:r w:rsidRPr="004D46E4">
        <w:t>Topguard</w:t>
      </w:r>
      <w:proofErr w:type="spellEnd"/>
      <w:r w:rsidRPr="004D46E4">
        <w:t xml:space="preserve"> EQ 2 active </w:t>
      </w:r>
      <w:proofErr w:type="spellStart"/>
      <w:r w:rsidRPr="004D46E4">
        <w:t>ingr</w:t>
      </w:r>
      <w:proofErr w:type="spellEnd"/>
      <w:r w:rsidRPr="004D46E4">
        <w:t xml:space="preserve"> (</w:t>
      </w:r>
      <w:proofErr w:type="spellStart"/>
      <w:r w:rsidRPr="004D46E4">
        <w:t>Flut+Azoxys</w:t>
      </w:r>
      <w:proofErr w:type="spellEnd"/>
      <w:r w:rsidRPr="004D46E4">
        <w:t>)” showed that they contribute to the variability in growth responses among the pathogens.</w:t>
      </w:r>
    </w:p>
    <w:p w:rsidR="00720A45" w:rsidRDefault="00720A45" w:rsidP="00480420">
      <w:pPr>
        <w:rPr>
          <w:b/>
        </w:rPr>
      </w:pPr>
    </w:p>
    <w:p w:rsidR="00720A45" w:rsidRDefault="00720A45" w:rsidP="00480420">
      <w:pPr>
        <w:rPr>
          <w:b/>
        </w:rPr>
      </w:pPr>
    </w:p>
    <w:p w:rsidR="003D3025" w:rsidRDefault="003D3025" w:rsidP="004D46E4">
      <w:pPr>
        <w:jc w:val="both"/>
      </w:pPr>
    </w:p>
    <w:sectPr w:rsidR="003D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39EF"/>
    <w:multiLevelType w:val="hybridMultilevel"/>
    <w:tmpl w:val="A474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B27EE"/>
    <w:multiLevelType w:val="hybridMultilevel"/>
    <w:tmpl w:val="F5C0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8415E"/>
    <w:multiLevelType w:val="hybridMultilevel"/>
    <w:tmpl w:val="F20091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22E4D"/>
    <w:multiLevelType w:val="multilevel"/>
    <w:tmpl w:val="D60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484EA5"/>
    <w:multiLevelType w:val="hybridMultilevel"/>
    <w:tmpl w:val="F114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43136"/>
    <w:multiLevelType w:val="hybridMultilevel"/>
    <w:tmpl w:val="311C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674BC"/>
    <w:multiLevelType w:val="hybridMultilevel"/>
    <w:tmpl w:val="C6A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0124C"/>
    <w:multiLevelType w:val="multilevel"/>
    <w:tmpl w:val="2176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EwsbQ0MbE0MzIzN7dU0lEKTi0uzszPAykwrgUARF3j6SwAAAA="/>
  </w:docVars>
  <w:rsids>
    <w:rsidRoot w:val="00F2437F"/>
    <w:rsid w:val="000F0E7D"/>
    <w:rsid w:val="00111286"/>
    <w:rsid w:val="00184780"/>
    <w:rsid w:val="002526F0"/>
    <w:rsid w:val="003D3025"/>
    <w:rsid w:val="00480420"/>
    <w:rsid w:val="004D46E4"/>
    <w:rsid w:val="00516D93"/>
    <w:rsid w:val="00560289"/>
    <w:rsid w:val="005A3C6A"/>
    <w:rsid w:val="00720A45"/>
    <w:rsid w:val="00795A81"/>
    <w:rsid w:val="00815139"/>
    <w:rsid w:val="008B13BB"/>
    <w:rsid w:val="00997BBB"/>
    <w:rsid w:val="009E22E7"/>
    <w:rsid w:val="00A400A9"/>
    <w:rsid w:val="00AB6ED5"/>
    <w:rsid w:val="00B557F3"/>
    <w:rsid w:val="00CA11AE"/>
    <w:rsid w:val="00E40351"/>
    <w:rsid w:val="00E81155"/>
    <w:rsid w:val="00E81917"/>
    <w:rsid w:val="00EC3CE0"/>
    <w:rsid w:val="00ED1FDF"/>
    <w:rsid w:val="00F2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E319-5582-49F3-88D1-827C1AF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7F"/>
    <w:pPr>
      <w:ind w:left="720"/>
      <w:contextualSpacing/>
    </w:pPr>
  </w:style>
  <w:style w:type="table" w:styleId="TableGrid">
    <w:name w:val="Table Grid"/>
    <w:basedOn w:val="TableNormal"/>
    <w:uiPriority w:val="39"/>
    <w:rsid w:val="00560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2025-02-24T05:52:00Z</dcterms:created>
  <dcterms:modified xsi:type="dcterms:W3CDTF">2025-03-05T14:12:00Z</dcterms:modified>
</cp:coreProperties>
</file>