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38DD" w:rsidRPr="009D38DD" w:rsidRDefault="009D38DD" w:rsidP="00C37309">
      <w:pPr>
        <w:jc w:val="center"/>
        <w:rPr>
          <w:b/>
        </w:rPr>
      </w:pPr>
      <w:r w:rsidRPr="009D38DD">
        <w:rPr>
          <w:b/>
        </w:rPr>
        <w:t xml:space="preserve">Efficacy of Chemical Applications </w:t>
      </w:r>
      <w:r w:rsidR="00C5162F" w:rsidRPr="009D38DD">
        <w:rPr>
          <w:b/>
        </w:rPr>
        <w:t>in</w:t>
      </w:r>
      <w:r w:rsidRPr="009D38DD">
        <w:rPr>
          <w:b/>
        </w:rPr>
        <w:t xml:space="preserve"> Controlling Soil-Borne Pathogens </w:t>
      </w:r>
      <w:r w:rsidR="00C5162F" w:rsidRPr="009D38DD">
        <w:rPr>
          <w:b/>
        </w:rPr>
        <w:t>of</w:t>
      </w:r>
      <w:r w:rsidRPr="009D38DD">
        <w:rPr>
          <w:b/>
        </w:rPr>
        <w:t xml:space="preserve"> Soybean Using An In Vitro Approach</w:t>
      </w:r>
    </w:p>
    <w:p w:rsidR="008616CB" w:rsidRDefault="008616CB" w:rsidP="00AA068C">
      <w:pPr>
        <w:rPr>
          <w:b/>
        </w:rPr>
      </w:pPr>
      <w:r>
        <w:rPr>
          <w:b/>
        </w:rPr>
        <w:t>ABSTRACT</w:t>
      </w:r>
    </w:p>
    <w:p w:rsidR="009D38DD" w:rsidRDefault="009D38DD" w:rsidP="00AA068C">
      <w:pPr>
        <w:rPr>
          <w:b/>
        </w:rPr>
      </w:pPr>
    </w:p>
    <w:p w:rsidR="00AA068C" w:rsidRDefault="00AA068C" w:rsidP="00AA068C">
      <w:pPr>
        <w:rPr>
          <w:b/>
        </w:rPr>
      </w:pPr>
      <w:r>
        <w:rPr>
          <w:b/>
        </w:rPr>
        <w:t>INTRODUCTION</w:t>
      </w:r>
    </w:p>
    <w:p w:rsidR="00C83B45" w:rsidRDefault="009D38DD" w:rsidP="006D3B62">
      <w:pPr>
        <w:spacing w:line="360" w:lineRule="auto"/>
        <w:jc w:val="both"/>
      </w:pPr>
      <w:r w:rsidRPr="009D38DD">
        <w:t xml:space="preserve">Soybeans is a food and oilseed crop </w:t>
      </w:r>
      <w:r>
        <w:t>which is rich in both protein and edible oil.</w:t>
      </w:r>
      <w:r w:rsidR="00E55A12">
        <w:t xml:space="preserve"> It is a major source of protein for both human and livestock</w:t>
      </w:r>
      <w:r w:rsidR="00F06843">
        <w:t xml:space="preserve"> but is prone to many disease that could cause a significant decrease in yield</w:t>
      </w:r>
      <w:r w:rsidR="00E55A12">
        <w:t>.</w:t>
      </w:r>
      <w:r>
        <w:t xml:space="preserve"> </w:t>
      </w:r>
      <w:r w:rsidR="00E55A12">
        <w:t xml:space="preserve">As reported by </w:t>
      </w:r>
      <w:r w:rsidR="00E55A12">
        <w:fldChar w:fldCharType="begin" w:fldLock="1"/>
      </w:r>
      <w:r w:rsidR="00742723">
        <w:instrText>ADDIN CSL_CITATION {"citationItems":[{"id":"ITEM-1","itemData":{"DOI":"10.4172/2157-7471.1000340","ISSN":"21577471","author":[{"dropping-particle":"","family":"S Navi","given":"Shrishail","non-dropping-particle":"","parse-names":false,"suffix":""},{"dropping-particle":"","family":"Rajasab","given":"AH","non-dropping-particle":"","parse-names":false,"suffix":""}],"container-title":"Journal of Plant Pathology &amp; Microbiology","id":"ITEM-1","issue":"03","issued":{"date-parts":[["2016"]]},"title":"In Vitro Evaluation of Commercial Fungicides against some of the Major Soil Borne Pathogens of Soybean","type":"article-journal","volume":"07"},"uris":["http://www.mendeley.com/documents/?uuid=73c1ea29-f103-4b81-b876-019202824727"]}],"mendeley":{"formattedCitation":"(S Navi &amp; Rajasab, 2016)","plainTextFormattedCitation":"(S Navi &amp; Rajasab, 2016)","previouslyFormattedCitation":"(S Navi &amp; Rajasab, 2016)"},"properties":{"noteIndex":0},"schema":"https://github.com/citation-style-language/schema/raw/master/csl-citation.json"}</w:instrText>
      </w:r>
      <w:r w:rsidR="00E55A12">
        <w:fldChar w:fldCharType="separate"/>
      </w:r>
      <w:r w:rsidR="00E55A12" w:rsidRPr="00E55A12">
        <w:rPr>
          <w:noProof/>
        </w:rPr>
        <w:t>(S Navi &amp; Rajasab, 2016)</w:t>
      </w:r>
      <w:r w:rsidR="00E55A12">
        <w:fldChar w:fldCharType="end"/>
      </w:r>
      <w:r w:rsidR="00E55A12">
        <w:t xml:space="preserve"> in their paper, in 2013, soybean was grown in 70 countries with an annual production of 268 million metric tons with United states (31%), Brazil (31%) and Argentina (19%) being the highest producer of soybeans. However,  </w:t>
      </w:r>
      <w:r w:rsidR="00CC3D83">
        <w:t>report from the USDA website showed that</w:t>
      </w:r>
      <w:r>
        <w:t xml:space="preserve"> in 2024/2025 (</w:t>
      </w:r>
      <w:r w:rsidRPr="009D38DD">
        <w:t xml:space="preserve">Marketing Year 2024 from September </w:t>
      </w:r>
      <w:r>
        <w:t>–</w:t>
      </w:r>
      <w:r w:rsidRPr="009D38DD">
        <w:t xml:space="preserve"> August</w:t>
      </w:r>
      <w:r>
        <w:t>), Brazil is</w:t>
      </w:r>
      <w:r w:rsidR="00CC3D83">
        <w:t xml:space="preserve"> currently</w:t>
      </w:r>
      <w:r>
        <w:t xml:space="preserve"> the largest producer of soybeans with about 169 million metric tons, followed by USA with about 118.84 million metric tons and the third largest producer is Argentina with 49 Million metric tons. The production from these three countries makes up 80% of the global population of soybeans around the world with 40% from Brazil, 28% from USA, and 12% from Argentina </w:t>
      </w:r>
      <w:r>
        <w:fldChar w:fldCharType="begin" w:fldLock="1"/>
      </w:r>
      <w:r w:rsidR="00E55A12">
        <w:instrText>ADDIN CSL_CITATION {"citationItems":[{"id":"ITEM-1","itemData":{"URL":"https://www.fas.usda.gov/data/production/commodity/2222000","accessed":{"date-parts":[["2025","4","28"]]},"author":[{"dropping-particle":"","family":"USDA","given":"","non-dropping-particle":"","parse-names":false,"suffix":""}],"id":"ITEM-1","issued":{"date-parts":[["2025"]]},"title":"Production - Soybeans","type":"webpage"},"uris":["http://www.mendeley.com/documents/?uuid=24154f79-d07e-4ac0-8ee1-438efc3a027f"]}],"mendeley":{"formattedCitation":"(USDA, 2025)","plainTextFormattedCitation":"(USDA, 2025)","previouslyFormattedCitation":"(USDA, 2025)"},"properties":{"noteIndex":0},"schema":"https://github.com/citation-style-language/schema/raw/master/csl-citation.json"}</w:instrText>
      </w:r>
      <w:r>
        <w:fldChar w:fldCharType="separate"/>
      </w:r>
      <w:r w:rsidRPr="009D38DD">
        <w:rPr>
          <w:noProof/>
        </w:rPr>
        <w:t>(USDA, 2025)</w:t>
      </w:r>
      <w:r>
        <w:fldChar w:fldCharType="end"/>
      </w:r>
      <w:r>
        <w:t>.</w:t>
      </w:r>
      <w:r w:rsidR="00E55A12">
        <w:t xml:space="preserve"> </w:t>
      </w:r>
      <w:r w:rsidR="00CC3D83">
        <w:t>T</w:t>
      </w:r>
      <w:r w:rsidR="00E55A12">
        <w:t xml:space="preserve">his </w:t>
      </w:r>
      <w:r w:rsidR="00742723">
        <w:t xml:space="preserve">reduction in yield of soybeans varies over the years as there are many factors that could affect grain yields and some of them include </w:t>
      </w:r>
      <w:r w:rsidR="00742723" w:rsidRPr="00742723">
        <w:t>environment, production practices, and a variety’s susceptibility to disease</w:t>
      </w:r>
      <w:r w:rsidR="00CC3D83">
        <w:t xml:space="preserve"> </w:t>
      </w:r>
      <w:r w:rsidR="00CC3D83">
        <w:fldChar w:fldCharType="begin" w:fldLock="1"/>
      </w:r>
      <w:r w:rsidR="00CC3D83">
        <w:instrText>ADDIN CSL_CITATION {"citationItems":[{"id":"ITEM-1","itemData":{"DOI":"10.31274/cpn-20230421-1","author":[{"dropping-particle":"","family":"Allen","given":"Tom","non-dropping-particle":"","parse-names":false,"suffix":""},{"dropping-particle":"","family":"Mueller","given":"Daren","non-dropping-particle":"","parse-names":false,"suffix":""},{"dropping-particle":"","family":"Sisson","given":"Adam","non-dropping-particle":"","parse-names":false,"suffix":""},{"dropping-particle":"","family":"Sikora","given":"Ed","non-dropping-particle":"","parse-names":false,"suffix":""},{"dropping-particle":"","family":"Faske","given":"Travis","non-dropping-particle":"","parse-names":false,"suffix":""},{"dropping-particle":"","family":"Spurlock","given":"Terry","non-dropping-particle":"","parse-names":false,"suffix":""},{"dropping-particle":"","family":"Koehler","given":"Alyssa","non-dropping-particle":"","parse-names":false,"suffix":""},{"dropping-particle":"","family":"Dufault","given":"Nick","non-dropping-particle":"","parse-names":false,"suffix":""},{"dropping-particle":"","family":"Small","given":"Ian","non-dropping-particle":"","parse-names":false,"suffix":""},{"dropping-particle":"","family":"Kemerait","given":"Bob","non-dropping-particle":"","parse-names":false,"suffix":""},{"dropping-particle":"","family":"Harbach","given":"Chelsa","non-dropping-particle":"","parse-names":false,"suffix":""},{"dropping-particle":"","family":"Bond","given":"Jason","non-dropping-particle":"","parse-names":false,"suffix":""},{"dropping-particle":"","family":"Telenko","given":"Darcy","non-dropping-particle":"","parse-names":false,"suffix":""},{"dropping-particle":"","family":"Mueller","given":"Daren","non-dropping-particle":"","parse-names":false,"suffix":""},{"dropping-particle":"","family":"Onofre","given":"Rodrigo","non-dropping-particle":"","parse-names":false,"suffix":""},{"dropping-particle":"","family":"Bradley","given":"Carl","non-dropping-particle":"","parse-names":false,"suffix":""},{"dropping-particle":"","family":"Padgett","given":"Boyd","non-dropping-particle":"","parse-names":false,"suffix":""},{"dropping-particle":"","family":"Price","given":"Trey","non-dropping-particle":"","parse-names":false,"suffix":""},{"dropping-particle":"","family":"Watson","given":"Tristan","non-dropping-particle":"","parse-names":false,"suffix":""},{"dropping-particle":"","family":"Chilvers","given":"Marty","non-dropping-particle":"","parse-names":false,"suffix":""},{"dropping-particle":"","family":"Malvick","given":"Dean","non-dropping-particle":"","parse-names":false,"suffix":""},{"dropping-particle":"","family":"Allen","given":"Tom","non-dropping-particle":"","parse-names":false,"suffix":""},{"dropping-particle":"","family":"Bish","given":"Mandy","non-dropping-particle":"","parse-names":false,"suffix":""},{"dropping-particle":"","family":"Mangel","given":"Dylan","non-dropping-particle":"","parse-names":false,"suffix":""},{"dropping-particle":"","family":"Bergstrom","given":"Gary","non-dropping-particle":"","parse-names":false,"suffix":""},{"dropping-particle":"","family":"Vann","given":"Rachel","non-dropping-particle":"","parse-names":false,"suffix":""},{"dropping-particle":"","family":"Markell","given":"Samuel","non-dropping-particle":"","parse-names":false,"suffix":""},{"dropping-particle":"","family":"Lopez-Nicora","given":"Horacio","non-dropping-particle":"","parse-names":false,"suffix":""},{"dropping-particle":"","family":"Lofton","given":"Josh","non-dropping-particle":"","parse-names":false,"suffix":""},{"dropping-particle":"","family":"Tenuta","given":"Albert","non-dropping-particle":"","parse-names":false,"suffix":""},{"dropping-particle":"","family":"Collins","given":"Alyssa","non-dropping-particle":"","parse-names":false,"suffix":""},{"dropping-particle":"","family":"Esker","given":"Paul","non-dropping-particle":"","parse-names":false,"suffix":""},{"dropping-particle":"","family":"Roth","given":"Greg","non-dropping-particle":"","parse-names":false,"suffix":""},{"dropping-particle":"","family":"Mueller","given":"John","non-dropping-particle":"","parse-names":false,"suffix":""},{"dropping-particle":"","family":"Plumbee","given":"Michael","non-dropping-particle":"","parse-names":false,"suffix":""},{"dropping-particle":"","family":"Shires","given":"Madalyn","non-dropping-particle":"","parse-names":false,"suffix":""},{"dropping-particle":"","family":"Kelly","given":"Heather","non-dropping-particle":"","parse-names":false,"suffix":""},{"dropping-particle":"","family":"Isakeit","given":"Tom","non-dropping-particle":"","parse-names":false,"suffix":""},{"dropping-particle":"","family":"Langston","given":"David","non-dropping-particle":"","parse-names":false,"suffix":""},{"dropping-particle":"","family":"Zeng","given":"Yuan","non-dropping-particle":"","parse-names":false,"suffix":""},{"dropping-particle":"","family":"Smith","given":"Damon","non-dropping-particle":"","parse-names":false,"suffix":""}],"id":"ITEM-1","issued":{"date-parts":[["2023","4","19"]]},"title":"Soybean Disease Loss Estimates from the United States and Ontario, Canada — 2022","type":"report"},"uris":["http://www.mendeley.com/documents/?uuid=523a0322-4f75-44d2-9cde-9e60f38d2f99"]}],"mendeley":{"formattedCitation":"(Allen et al., 2023)","plainTextFormattedCitation":"(Allen et al., 2023)","previouslyFormattedCitation":"(Allen et al., 2023)"},"properties":{"noteIndex":0},"schema":"https://github.com/citation-style-language/schema/raw/master/csl-citation.json"}</w:instrText>
      </w:r>
      <w:r w:rsidR="00CC3D83">
        <w:fldChar w:fldCharType="separate"/>
      </w:r>
      <w:r w:rsidR="00CC3D83" w:rsidRPr="00742723">
        <w:rPr>
          <w:noProof/>
        </w:rPr>
        <w:t>(Allen et al., 2023)</w:t>
      </w:r>
      <w:r w:rsidR="00CC3D83">
        <w:fldChar w:fldCharType="end"/>
      </w:r>
      <w:r w:rsidR="00742723" w:rsidRPr="00742723">
        <w:t>.</w:t>
      </w:r>
      <w:r w:rsidR="00742723">
        <w:t xml:space="preserve"> </w:t>
      </w:r>
      <w:r w:rsidR="008562B1">
        <w:t xml:space="preserve">In 2022, </w:t>
      </w:r>
      <w:r w:rsidR="00742723">
        <w:t xml:space="preserve">About 3 out of 4 the soybeans production in the </w:t>
      </w:r>
      <w:r w:rsidR="008562B1">
        <w:t>United States</w:t>
      </w:r>
      <w:r w:rsidR="00742723">
        <w:t xml:space="preserve"> comes from the northern states (</w:t>
      </w:r>
      <w:r w:rsidR="00742723" w:rsidRPr="00742723">
        <w:t>Illinois, Indiana, Iowa, Kansas, Michigan, Minnesota, Nebraska, New York, North Dakota, Ohio, Pennsylvania, South Dakota, and Wisconsin</w:t>
      </w:r>
      <w:r w:rsidR="00742723">
        <w:t xml:space="preserve">) and all of these states jointly has a yield loss of 71.3% of the total soybeans loss in 2022. </w:t>
      </w:r>
      <w:r>
        <w:t xml:space="preserve"> </w:t>
      </w:r>
      <w:r w:rsidR="008562B1" w:rsidRPr="008562B1">
        <w:t>Seedling diseases due to Fusarium, Pythium, Phomopsis and Rhizoctonia</w:t>
      </w:r>
      <w:r w:rsidR="008562B1">
        <w:t xml:space="preserve"> are one of the major causes of soybeans loss in 2022 </w:t>
      </w:r>
      <w:r w:rsidR="008562B1">
        <w:fldChar w:fldCharType="begin" w:fldLock="1"/>
      </w:r>
      <w:r w:rsidR="0092243D">
        <w:instrText>ADDIN CSL_CITATION {"citationItems":[{"id":"ITEM-1","itemData":{"DOI":"10.31274/cpn-20230421-1","author":[{"dropping-particle":"","family":"Allen","given":"Tom","non-dropping-particle":"","parse-names":false,"suffix":""},{"dropping-particle":"","family":"Mueller","given":"Daren","non-dropping-particle":"","parse-names":false,"suffix":""},{"dropping-particle":"","family":"Sisson","given":"Adam","non-dropping-particle":"","parse-names":false,"suffix":""},{"dropping-particle":"","family":"Sikora","given":"Ed","non-dropping-particle":"","parse-names":false,"suffix":""},{"dropping-particle":"","family":"Faske","given":"Travis","non-dropping-particle":"","parse-names":false,"suffix":""},{"dropping-particle":"","family":"Spurlock","given":"Terry","non-dropping-particle":"","parse-names":false,"suffix":""},{"dropping-particle":"","family":"Koehler","given":"Alyssa","non-dropping-particle":"","parse-names":false,"suffix":""},{"dropping-particle":"","family":"Dufault","given":"Nick","non-dropping-particle":"","parse-names":false,"suffix":""},{"dropping-particle":"","family":"Small","given":"Ian","non-dropping-particle":"","parse-names":false,"suffix":""},{"dropping-particle":"","family":"Kemerait","given":"Bob","non-dropping-particle":"","parse-names":false,"suffix":""},{"dropping-particle":"","family":"Harbach","given":"Chelsa","non-dropping-particle":"","parse-names":false,"suffix":""},{"dropping-particle":"","family":"Bond","given":"Jason","non-dropping-particle":"","parse-names":false,"suffix":""},{"dropping-particle":"","family":"Telenko","given":"Darcy","non-dropping-particle":"","parse-names":false,"suffix":""},{"dropping-particle":"","family":"Mueller","given":"Daren","non-dropping-particle":"","parse-names":false,"suffix":""},{"dropping-particle":"","family":"Onofre","given":"Rodrigo","non-dropping-particle":"","parse-names":false,"suffix":""},{"dropping-particle":"","family":"Bradley","given":"Carl","non-dropping-particle":"","parse-names":false,"suffix":""},{"dropping-particle":"","family":"Padgett","given":"Boyd","non-dropping-particle":"","parse-names":false,"suffix":""},{"dropping-particle":"","family":"Price","given":"Trey","non-dropping-particle":"","parse-names":false,"suffix":""},{"dropping-particle":"","family":"Watson","given":"Tristan","non-dropping-particle":"","parse-names":false,"suffix":""},{"dropping-particle":"","family":"Chilvers","given":"Marty","non-dropping-particle":"","parse-names":false,"suffix":""},{"dropping-particle":"","family":"Malvick","given":"Dean","non-dropping-particle":"","parse-names":false,"suffix":""},{"dropping-particle":"","family":"Allen","given":"Tom","non-dropping-particle":"","parse-names":false,"suffix":""},{"dropping-particle":"","family":"Bish","given":"Mandy","non-dropping-particle":"","parse-names":false,"suffix":""},{"dropping-particle":"","family":"Mangel","given":"Dylan","non-dropping-particle":"","parse-names":false,"suffix":""},{"dropping-particle":"","family":"Bergstrom","given":"Gary","non-dropping-particle":"","parse-names":false,"suffix":""},{"dropping-particle":"","family":"Vann","given":"Rachel","non-dropping-particle":"","parse-names":false,"suffix":""},{"dropping-particle":"","family":"Markell","given":"Samuel","non-dropping-particle":"","parse-names":false,"suffix":""},{"dropping-particle":"","family":"Lopez-Nicora","given":"Horacio","non-dropping-particle":"","parse-names":false,"suffix":""},{"dropping-particle":"","family":"Lofton","given":"Josh","non-dropping-particle":"","parse-names":false,"suffix":""},{"dropping-particle":"","family":"Tenuta","given":"Albert","non-dropping-particle":"","parse-names":false,"suffix":""},{"dropping-particle":"","family":"Collins","given":"Alyssa","non-dropping-particle":"","parse-names":false,"suffix":""},{"dropping-particle":"","family":"Esker","given":"Paul","non-dropping-particle":"","parse-names":false,"suffix":""},{"dropping-particle":"","family":"Roth","given":"Greg","non-dropping-particle":"","parse-names":false,"suffix":""},{"dropping-particle":"","family":"Mueller","given":"John","non-dropping-particle":"","parse-names":false,"suffix":""},{"dropping-particle":"","family":"Plumbee","given":"Michael","non-dropping-particle":"","parse-names":false,"suffix":""},{"dropping-particle":"","family":"Shires","given":"Madalyn","non-dropping-particle":"","parse-names":false,"suffix":""},{"dropping-particle":"","family":"Kelly","given":"Heather","non-dropping-particle":"","parse-names":false,"suffix":""},{"dropping-particle":"","family":"Isakeit","given":"Tom","non-dropping-particle":"","parse-names":false,"suffix":""},{"dropping-particle":"","family":"Langston","given":"David","non-dropping-particle":"","parse-names":false,"suffix":""},{"dropping-particle":"","family":"Zeng","given":"Yuan","non-dropping-particle":"","parse-names":false,"suffix":""},{"dropping-particle":"","family":"Smith","given":"Damon","non-dropping-particle":"","parse-names":false,"suffix":""}],"id":"ITEM-1","issued":{"date-parts":[["2023","4","19"]]},"title":"Soybean Disease Loss Estimates from the United States and Ontario, Canada — 2022","type":"report"},"uris":["http://www.mendeley.com/documents/?uuid=523a0322-4f75-44d2-9cde-9e60f38d2f99"]}],"mendeley":{"formattedCitation":"(Allen et al., 2023)","plainTextFormattedCitation":"(Allen et al., 2023)","previouslyFormattedCitation":"(Allen et al., 2023)"},"properties":{"noteIndex":0},"schema":"https://github.com/citation-style-language/schema/raw/master/csl-citation.json"}</w:instrText>
      </w:r>
      <w:r w:rsidR="008562B1">
        <w:fldChar w:fldCharType="separate"/>
      </w:r>
      <w:r w:rsidR="008562B1" w:rsidRPr="008562B1">
        <w:rPr>
          <w:noProof/>
        </w:rPr>
        <w:t>(Allen et al., 2023)</w:t>
      </w:r>
      <w:r w:rsidR="008562B1">
        <w:fldChar w:fldCharType="end"/>
      </w:r>
      <w:r w:rsidR="008562B1">
        <w:t xml:space="preserve">. </w:t>
      </w:r>
      <w:r w:rsidR="00CC3D83" w:rsidRPr="00E55A12">
        <w:t>Despite</w:t>
      </w:r>
      <w:r w:rsidR="00CC3D83">
        <w:t xml:space="preserve"> the</w:t>
      </w:r>
      <w:r w:rsidR="00CC3D83" w:rsidRPr="00E55A12">
        <w:t xml:space="preserve"> advancements in soybean cultivation prac</w:t>
      </w:r>
      <w:r w:rsidR="00CC3D83">
        <w:t xml:space="preserve">tices, plant pathogens continues to </w:t>
      </w:r>
      <w:r w:rsidR="00CC3D83" w:rsidRPr="00E55A12">
        <w:t>limit soybean yields.</w:t>
      </w:r>
      <w:r w:rsidR="00CC3D83">
        <w:t xml:space="preserve"> </w:t>
      </w:r>
      <w:r w:rsidR="008562B1">
        <w:t xml:space="preserve">According to farm journal, the following soil-borne fungal pathogens (Fusarium, </w:t>
      </w:r>
      <w:r w:rsidR="008562B1" w:rsidRPr="009D38DD">
        <w:t>Rhizoctonia</w:t>
      </w:r>
      <w:r w:rsidR="008562B1">
        <w:t xml:space="preserve">, </w:t>
      </w:r>
      <w:r w:rsidR="008562B1" w:rsidRPr="009D38DD">
        <w:t xml:space="preserve">Pythium, </w:t>
      </w:r>
      <w:r w:rsidR="008562B1">
        <w:t xml:space="preserve">and </w:t>
      </w:r>
      <w:r w:rsidR="008562B1" w:rsidRPr="009D38DD">
        <w:t>Phytophthora</w:t>
      </w:r>
      <w:r w:rsidR="008562B1">
        <w:t xml:space="preserve">) are some of the major causes of seedlings blights in soybeans and they are attributed to the loss of about 6 million bushels of soybeans in the United State and Canada in 2023 </w:t>
      </w:r>
      <w:r w:rsidR="008562B1">
        <w:fldChar w:fldCharType="begin" w:fldLock="1"/>
      </w:r>
      <w:r w:rsidR="008562B1">
        <w:instrText>ADDIN CSL_CITATION {"citationItems":[{"id":"ITEM-1","itemData":{"URL":"https://www.agweb.com/news/crops/how-identify-soybean-blight","accessed":{"date-parts":[["2025","4","28"]]},"author":[{"dropping-particle":"","family":"farmjournal","given":"","non-dropping-particle":"","parse-names":false,"suffix":""}],"id":"ITEM-1","issued":{"date-parts":[["2025"]]},"title":"Soybean Blight: How to Identify Pythium, Phytophthora, Fusarium, and Rhizoctonia","type":"webpage"},"uris":["http://www.mendeley.com/documents/?uuid=e53bea21-4863-448d-af7b-de0814098236"]}],"mendeley":{"formattedCitation":"(farmjournal, 2025)","plainTextFormattedCitation":"(farmjournal, 2025)","previouslyFormattedCitation":"(farmjournal, 2025)"},"properties":{"noteIndex":0},"schema":"https://github.com/citation-style-language/schema/raw/master/csl-citation.json"}</w:instrText>
      </w:r>
      <w:r w:rsidR="008562B1">
        <w:fldChar w:fldCharType="separate"/>
      </w:r>
      <w:r w:rsidR="008562B1" w:rsidRPr="00E55A12">
        <w:rPr>
          <w:noProof/>
        </w:rPr>
        <w:t>(farmjournal, 2025)</w:t>
      </w:r>
      <w:r w:rsidR="008562B1">
        <w:fldChar w:fldCharType="end"/>
      </w:r>
      <w:r w:rsidR="008562B1">
        <w:t>.</w:t>
      </w:r>
      <w:r w:rsidR="00C83B45">
        <w:t xml:space="preserve"> </w:t>
      </w:r>
      <w:r w:rsidR="00CC3D83">
        <w:t xml:space="preserve"> </w:t>
      </w:r>
    </w:p>
    <w:p w:rsidR="008562B1" w:rsidRDefault="00CC3D83" w:rsidP="00FE50DE">
      <w:pPr>
        <w:spacing w:line="360" w:lineRule="auto"/>
        <w:jc w:val="both"/>
      </w:pPr>
      <w:r>
        <w:t xml:space="preserve">In Nebraska, the largest producer of beef and pork, </w:t>
      </w:r>
      <w:r w:rsidR="00E55A12">
        <w:t>Soybeans is one of the major ingredient used in</w:t>
      </w:r>
      <w:r>
        <w:t xml:space="preserve"> the</w:t>
      </w:r>
      <w:r w:rsidR="00E55A12">
        <w:t xml:space="preserve"> beef and pork p</w:t>
      </w:r>
      <w:r>
        <w:t>roduction</w:t>
      </w:r>
      <w:r w:rsidR="00E55A12">
        <w:t>.</w:t>
      </w:r>
      <w:r>
        <w:t xml:space="preserve"> However,</w:t>
      </w:r>
      <w:r w:rsidR="00E55A12">
        <w:t xml:space="preserve"> </w:t>
      </w:r>
      <w:r w:rsidR="00E55A12" w:rsidRPr="00E55A12">
        <w:t>Nebraska experiences an estimated annual loss exceeding 9 million bushels due to pathogenic organisms</w:t>
      </w:r>
      <w:r w:rsidR="00E55A12">
        <w:t xml:space="preserve"> </w:t>
      </w:r>
      <w:r w:rsidR="00E55A12">
        <w:fldChar w:fldCharType="begin" w:fldLock="1"/>
      </w:r>
      <w:r w:rsidR="00E55A12">
        <w:instrText>ADDIN CSL_CITATION {"citationItems":[{"id":"ITEM-1","itemData":{"URL":"https://cropwatch.unl.edu/plant-disease/soybean/","accessed":{"date-parts":[["2025","4","28"]]},"author":[{"dropping-particle":"","family":"CropWatch","given":"IANR-UNL","non-dropping-particle":"","parse-names":false,"suffix":""}],"id":"ITEM-1","issued":{"date-parts":[["0"]]},"title":"Soybean Disease Management","type":"webpage"},"uris":["http://www.mendeley.com/documents/?uuid=2ef295c6-d766-4ecd-a197-0fd6a2a24bf4"]}],"mendeley":{"formattedCitation":"(CropWatch, n.d.)","plainTextFormattedCitation":"(CropWatch, n.d.)","previouslyFormattedCitation":"(CropWatch, n.d.)"},"properties":{"noteIndex":0},"schema":"https://github.com/citation-style-language/schema/raw/master/csl-citation.json"}</w:instrText>
      </w:r>
      <w:r w:rsidR="00E55A12">
        <w:fldChar w:fldCharType="separate"/>
      </w:r>
      <w:r w:rsidR="00E55A12" w:rsidRPr="00E55A12">
        <w:rPr>
          <w:noProof/>
        </w:rPr>
        <w:t>(CropWatch, n.d.)</w:t>
      </w:r>
      <w:r w:rsidR="00E55A12">
        <w:fldChar w:fldCharType="end"/>
      </w:r>
      <w:r w:rsidR="00E55A12">
        <w:t xml:space="preserve">. </w:t>
      </w:r>
      <w:r w:rsidR="0092243D">
        <w:t xml:space="preserve"> According to </w:t>
      </w:r>
      <w:r w:rsidR="0092243D">
        <w:fldChar w:fldCharType="begin" w:fldLock="1"/>
      </w:r>
      <w:r w:rsidR="009A43FC">
        <w:instrText>ADDIN CSL_CITATION {"citationItems":[{"id":"ITEM-1","itemData":{"DOI":"10.4172/2157-7471.1000340","ISSN":"21577471","author":[{"dropping-particle":"","family":"S Navi","given":"Shrishail","non-dropping-particle":"","parse-names":false,"suffix":""},{"dropping-particle":"","family":"Rajasab","given":"AH","non-dropping-particle":"","parse-names":false,"suffix":""}],"container-title":"Journal of Plant Pathology &amp; Microbiology","id":"ITEM-1","issue":"03","issued":{"date-parts":[["2016"]]},"title":"In Vitro Evaluation of Commercial Fungicides against some of the Major Soil Borne Pathogens of Soybean","type":"article-journal","volume":"07"},"uris":["http://www.mendeley.com/documents/?uuid=73c1ea29-f103-4b81-b876-019202824727"]}],"mendeley":{"formattedCitation":"(S Navi &amp; Rajasab, 2016)","plainTextFormattedCitation":"(S Navi &amp; Rajasab, 2016)","previouslyFormattedCitation":"(S Navi &amp; Rajasab, 2016)"},"properties":{"noteIndex":0},"schema":"https://github.com/citation-style-language/schema/raw/master/csl-citation.json"}</w:instrText>
      </w:r>
      <w:r w:rsidR="0092243D">
        <w:fldChar w:fldCharType="separate"/>
      </w:r>
      <w:r w:rsidR="0092243D" w:rsidRPr="0092243D">
        <w:rPr>
          <w:noProof/>
        </w:rPr>
        <w:t>(S Navi &amp; Rajasab, 2016)</w:t>
      </w:r>
      <w:r w:rsidR="0092243D">
        <w:fldChar w:fldCharType="end"/>
      </w:r>
      <w:r w:rsidR="0092243D">
        <w:t>, several fungal pathogens such as</w:t>
      </w:r>
      <w:r w:rsidR="0092243D" w:rsidRPr="0092243D">
        <w:t xml:space="preserve"> Colletotrichum truncatum, Fusarium virguliforme, Macrophomina phaseolina, Pythium irregulare, Rhizoctonia solani, and Sclerotinia sclerotiorum, are major contributors to soybean </w:t>
      </w:r>
      <w:r w:rsidR="0092243D" w:rsidRPr="0092243D">
        <w:lastRenderedPageBreak/>
        <w:t xml:space="preserve">seedling diseases, </w:t>
      </w:r>
      <w:r w:rsidR="0092243D">
        <w:t xml:space="preserve">which leads to decrease in soybeans yield. Their study evaluated the efficacy </w:t>
      </w:r>
      <w:r w:rsidR="00FE50DE">
        <w:t xml:space="preserve">the following fungicides: Foliar fungicides picoxystrobin (Aproach®), fluoxastrobin (Evito), pyraclostrobin (Headline EC) and azoxystrobin (Quadris), pyraclostrobin + fluxapyroxad (Priaxor), trifloxystrobin + prothioconazole (Stratego YLD), and fluxapyroxad (Sercadis) </w:t>
      </w:r>
      <w:r w:rsidR="0092243D">
        <w:t>on the following pathogens: Colletotrichum truncatum (CT), Fusarium virguliforme (FV), Macrophomina phaseolina (MP), Pythium irregulare (PI), Rhizoctonia solani (RS), Sclerotinia sclerotiorum (SS), Septoria glycines (SG) using an in vitro culture plug meth</w:t>
      </w:r>
      <w:r w:rsidR="00FE50DE">
        <w:t>od. The result showed that, all of the fungicide except Sercadis</w:t>
      </w:r>
      <w:r w:rsidR="0092243D">
        <w:t xml:space="preserve"> </w:t>
      </w:r>
      <w:r w:rsidR="00FE50DE">
        <w:t>reduced the</w:t>
      </w:r>
      <w:r w:rsidR="0092243D">
        <w:t xml:space="preserve"> growth of </w:t>
      </w:r>
      <w:r w:rsidR="00FE50DE">
        <w:t xml:space="preserve">CT isolates. </w:t>
      </w:r>
      <w:r w:rsidR="0092243D">
        <w:t>Headline EC, Priaxor, and Stratego YLD significantly reduced the growth of Fusarium virguliforme (FV), Macrophomina phaseolina (MP), Rhizoctonia solani (RS), and</w:t>
      </w:r>
      <w:r w:rsidR="00FE50DE">
        <w:t xml:space="preserve"> Sclerotinia sclerotiorum (SS). </w:t>
      </w:r>
      <w:r w:rsidR="0092243D">
        <w:t xml:space="preserve">Sercadis was </w:t>
      </w:r>
      <w:r w:rsidR="00FE50DE">
        <w:t>very</w:t>
      </w:r>
      <w:r w:rsidR="0092243D">
        <w:t xml:space="preserve"> effective against Rhizoctonia solani (RS)</w:t>
      </w:r>
      <w:r w:rsidR="00FE50DE">
        <w:t xml:space="preserve"> while </w:t>
      </w:r>
      <w:r w:rsidR="0092243D">
        <w:t>Aproach and Quadris were effective against Fusarium virguliforme (FV).</w:t>
      </w:r>
    </w:p>
    <w:p w:rsidR="00E01EB0" w:rsidRDefault="00E01EB0" w:rsidP="00FE50DE">
      <w:pPr>
        <w:spacing w:line="360" w:lineRule="auto"/>
        <w:jc w:val="both"/>
      </w:pPr>
      <w:r>
        <w:t xml:space="preserve">The objective of this study is to </w:t>
      </w:r>
      <w:r w:rsidR="00DB0545">
        <w:t xml:space="preserve">investigate </w:t>
      </w:r>
      <w:r w:rsidR="00DB0545" w:rsidRPr="00AA068C">
        <w:t>the efficacy of chemical applications in controlling soil-borne pathogens of soybean</w:t>
      </w:r>
      <w:r w:rsidR="00DB0545">
        <w:t xml:space="preserve"> and to look at the tolerance of the various pathogens to fungicide at different dose level. </w:t>
      </w:r>
    </w:p>
    <w:p w:rsidR="00AA068C" w:rsidRPr="00AA068C" w:rsidRDefault="002D290E" w:rsidP="00AA068C">
      <w:pPr>
        <w:rPr>
          <w:b/>
        </w:rPr>
      </w:pPr>
      <w:r>
        <w:rPr>
          <w:b/>
        </w:rPr>
        <w:t>Materials and Method</w:t>
      </w:r>
    </w:p>
    <w:p w:rsidR="00AA068C" w:rsidRDefault="00B007BE" w:rsidP="00B007BE">
      <w:pPr>
        <w:spacing w:line="360" w:lineRule="auto"/>
        <w:jc w:val="both"/>
      </w:pPr>
      <w:r>
        <w:t xml:space="preserve">This experiment was conducted to determine the effectiveness of fungicides against soil-borne pathogens in soybeans. </w:t>
      </w:r>
      <w:r w:rsidR="00E715B0">
        <w:t>The fungicide used was incorporated into the growth medium (petri dish) to ensure there was homogeneous distribution of this chemical across the different fungal species. To achieve this, they collected data based on the species of pathogens</w:t>
      </w:r>
      <w:r w:rsidR="0020375A">
        <w:t xml:space="preserve"> (isolates)</w:t>
      </w:r>
      <w:r w:rsidR="00E715B0">
        <w:t>, different types of</w:t>
      </w:r>
      <w:r w:rsidR="0020375A">
        <w:t xml:space="preserve"> fungicide</w:t>
      </w:r>
      <w:r w:rsidR="00E715B0">
        <w:t xml:space="preserve"> treatments and also at varying dose level. </w:t>
      </w:r>
      <w:r w:rsidR="00AA068C">
        <w:t>This experiment was setup this way so that it would mimic how the different fungicide would react with the pathogens in the natural soil conditions. The details of the experimental design is given below:</w:t>
      </w:r>
    </w:p>
    <w:p w:rsidR="002D290E" w:rsidRPr="00C171CC" w:rsidRDefault="002D290E" w:rsidP="006D3B62">
      <w:pPr>
        <w:spacing w:line="360" w:lineRule="auto"/>
        <w:jc w:val="both"/>
        <w:rPr>
          <w:b/>
        </w:rPr>
      </w:pPr>
      <w:r w:rsidRPr="00C171CC">
        <w:rPr>
          <w:b/>
        </w:rPr>
        <w:t>Soybeans Pathogens</w:t>
      </w:r>
    </w:p>
    <w:p w:rsidR="00C171CC" w:rsidRDefault="00C171CC" w:rsidP="006D3B62">
      <w:pPr>
        <w:spacing w:line="360" w:lineRule="auto"/>
        <w:jc w:val="both"/>
      </w:pPr>
      <w:r>
        <w:t xml:space="preserve">The following isolates (species) were used in this study: </w:t>
      </w:r>
      <w:r w:rsidRPr="00C171CC">
        <w:t>Diaporthe longicolla, Fusarium oxysporum, Fusarium solani and Rhizoctonia solani</w:t>
      </w:r>
      <w:r>
        <w:t>.</w:t>
      </w:r>
    </w:p>
    <w:p w:rsidR="00C171CC" w:rsidRPr="00C171CC" w:rsidRDefault="00C171CC" w:rsidP="006D3B62">
      <w:pPr>
        <w:spacing w:line="360" w:lineRule="auto"/>
        <w:jc w:val="both"/>
        <w:rPr>
          <w:b/>
        </w:rPr>
      </w:pPr>
      <w:r w:rsidRPr="00C171CC">
        <w:rPr>
          <w:b/>
        </w:rPr>
        <w:t>Fungicide</w:t>
      </w:r>
    </w:p>
    <w:p w:rsidR="00C171CC" w:rsidRDefault="00C171CC" w:rsidP="00C171CC">
      <w:pPr>
        <w:spacing w:line="360" w:lineRule="auto"/>
        <w:jc w:val="both"/>
      </w:pPr>
      <w:r>
        <w:t xml:space="preserve">The following fungicide was used: </w:t>
      </w:r>
      <w:r w:rsidRPr="00AA068C">
        <w:t>DelaroComplete 3 active ingr (Proth+Trif+Fluop)</w:t>
      </w:r>
      <w:r>
        <w:t xml:space="preserve">, </w:t>
      </w:r>
      <w:r w:rsidRPr="00AA068C">
        <w:t>End</w:t>
      </w:r>
      <w:r>
        <w:t xml:space="preserve">ura 1 active ingredients (Boscalid), </w:t>
      </w:r>
      <w:r w:rsidRPr="00AA068C">
        <w:t>Quadris 1 active ingr</w:t>
      </w:r>
      <w:r>
        <w:t>edients</w:t>
      </w:r>
      <w:r w:rsidRPr="00AA068C">
        <w:t xml:space="preserve"> (Azoxystrobin)</w:t>
      </w:r>
      <w:r>
        <w:t xml:space="preserve">, </w:t>
      </w:r>
      <w:r w:rsidRPr="00AA068C">
        <w:t>Topgua</w:t>
      </w:r>
      <w:r>
        <w:t xml:space="preserve">rd 1 active ingredient (Flutriafol), and </w:t>
      </w:r>
      <w:r w:rsidRPr="00AA068C">
        <w:t>Topguard EQ 2 active ingr</w:t>
      </w:r>
      <w:r>
        <w:t>edient</w:t>
      </w:r>
      <w:r w:rsidRPr="00AA068C">
        <w:t xml:space="preserve"> (Flut+Azoxys)    </w:t>
      </w:r>
    </w:p>
    <w:p w:rsidR="00C171CC" w:rsidRPr="00C171CC" w:rsidRDefault="00C171CC" w:rsidP="006D3B62">
      <w:pPr>
        <w:spacing w:line="360" w:lineRule="auto"/>
        <w:rPr>
          <w:b/>
        </w:rPr>
      </w:pPr>
      <w:r w:rsidRPr="00C171CC">
        <w:rPr>
          <w:b/>
        </w:rPr>
        <w:lastRenderedPageBreak/>
        <w:t>Dosage</w:t>
      </w:r>
    </w:p>
    <w:p w:rsidR="00604E73" w:rsidRDefault="00AA068C" w:rsidP="006D3B62">
      <w:pPr>
        <w:spacing w:line="360" w:lineRule="auto"/>
      </w:pPr>
      <w:r>
        <w:t>Each of the</w:t>
      </w:r>
      <w:r w:rsidR="00C171CC">
        <w:t xml:space="preserve"> fungicide treatment </w:t>
      </w:r>
      <w:r>
        <w:t>got 3 levels of doses (</w:t>
      </w:r>
      <w:r w:rsidRPr="00AA068C">
        <w:t>Dose in mg/ml</w:t>
      </w:r>
      <w:r w:rsidR="00DC7605">
        <w:t xml:space="preserve">) with one control. </w:t>
      </w:r>
    </w:p>
    <w:tbl>
      <w:tblPr>
        <w:tblStyle w:val="TableGrid"/>
        <w:tblW w:w="9175" w:type="dxa"/>
        <w:tblLook w:val="04A0" w:firstRow="1" w:lastRow="0" w:firstColumn="1" w:lastColumn="0" w:noHBand="0" w:noVBand="1"/>
      </w:tblPr>
      <w:tblGrid>
        <w:gridCol w:w="1885"/>
        <w:gridCol w:w="1710"/>
        <w:gridCol w:w="1980"/>
        <w:gridCol w:w="2070"/>
        <w:gridCol w:w="1530"/>
      </w:tblGrid>
      <w:tr w:rsidR="00AA068C" w:rsidTr="0020375A">
        <w:trPr>
          <w:trHeight w:val="620"/>
        </w:trPr>
        <w:tc>
          <w:tcPr>
            <w:tcW w:w="1885" w:type="dxa"/>
          </w:tcPr>
          <w:p w:rsidR="00AA068C" w:rsidRDefault="00AA068C" w:rsidP="00AA068C">
            <w:r w:rsidRPr="00AA068C">
              <w:t>DelaroComplete 3 active ingr (Proth+Trif+Fluop)</w:t>
            </w:r>
          </w:p>
          <w:p w:rsidR="00AA068C" w:rsidRDefault="00AA068C" w:rsidP="00AA068C"/>
        </w:tc>
        <w:tc>
          <w:tcPr>
            <w:tcW w:w="1710" w:type="dxa"/>
          </w:tcPr>
          <w:p w:rsidR="00AA068C" w:rsidRDefault="00AA068C" w:rsidP="00AA068C">
            <w:r w:rsidRPr="00AA068C">
              <w:t xml:space="preserve">Endura 1 active ingr (Boscalid)    </w:t>
            </w:r>
          </w:p>
          <w:p w:rsidR="00AA068C" w:rsidRDefault="00AA068C" w:rsidP="00AA068C"/>
        </w:tc>
        <w:tc>
          <w:tcPr>
            <w:tcW w:w="1980" w:type="dxa"/>
          </w:tcPr>
          <w:p w:rsidR="00AA068C" w:rsidRDefault="00AA068C" w:rsidP="00AA068C">
            <w:r w:rsidRPr="00AA068C">
              <w:t>Quadris 1 active ingr (Azoxystrobin)</w:t>
            </w:r>
          </w:p>
          <w:p w:rsidR="00AA068C" w:rsidRDefault="00AA068C" w:rsidP="00AA068C"/>
        </w:tc>
        <w:tc>
          <w:tcPr>
            <w:tcW w:w="2070" w:type="dxa"/>
          </w:tcPr>
          <w:p w:rsidR="00AA068C" w:rsidRDefault="00AA068C" w:rsidP="00AA068C">
            <w:r w:rsidRPr="00AA068C">
              <w:t xml:space="preserve">Topguard 1 active ingr (Flutriafol)   </w:t>
            </w:r>
          </w:p>
          <w:p w:rsidR="00AA068C" w:rsidRPr="00AA068C" w:rsidRDefault="00AA068C" w:rsidP="00AA068C"/>
        </w:tc>
        <w:tc>
          <w:tcPr>
            <w:tcW w:w="1530" w:type="dxa"/>
          </w:tcPr>
          <w:p w:rsidR="00AA068C" w:rsidRDefault="00AA068C" w:rsidP="00AA068C">
            <w:r w:rsidRPr="00AA068C">
              <w:t xml:space="preserve">Topguard EQ 2 active ingr (Flut+Azoxys)    </w:t>
            </w:r>
          </w:p>
          <w:p w:rsidR="00AA068C" w:rsidRPr="00AA068C" w:rsidRDefault="00AA068C" w:rsidP="00AA068C"/>
        </w:tc>
      </w:tr>
      <w:tr w:rsidR="00AA068C" w:rsidTr="00C171CC">
        <w:trPr>
          <w:trHeight w:val="251"/>
        </w:trPr>
        <w:tc>
          <w:tcPr>
            <w:tcW w:w="1885" w:type="dxa"/>
          </w:tcPr>
          <w:p w:rsidR="00AA068C" w:rsidRDefault="00AA068C" w:rsidP="00C171CC">
            <w:pPr>
              <w:jc w:val="center"/>
            </w:pPr>
            <w:r>
              <w:t>6.292</w:t>
            </w:r>
          </w:p>
        </w:tc>
        <w:tc>
          <w:tcPr>
            <w:tcW w:w="1710" w:type="dxa"/>
          </w:tcPr>
          <w:p w:rsidR="00AA068C" w:rsidRDefault="00AA068C" w:rsidP="00C171CC">
            <w:pPr>
              <w:jc w:val="center"/>
            </w:pPr>
            <w:r>
              <w:t>4.011</w:t>
            </w:r>
          </w:p>
        </w:tc>
        <w:tc>
          <w:tcPr>
            <w:tcW w:w="1980" w:type="dxa"/>
          </w:tcPr>
          <w:p w:rsidR="00AA068C" w:rsidRDefault="00AA068C" w:rsidP="00C171CC">
            <w:pPr>
              <w:jc w:val="center"/>
            </w:pPr>
            <w:r w:rsidRPr="00E51CFB">
              <w:rPr>
                <w:rFonts w:ascii="Calibri" w:eastAsia="Times New Roman" w:hAnsi="Calibri" w:cs="Calibri"/>
                <w:color w:val="000000"/>
              </w:rPr>
              <w:t>6.1036</w:t>
            </w:r>
          </w:p>
        </w:tc>
        <w:tc>
          <w:tcPr>
            <w:tcW w:w="2070" w:type="dxa"/>
          </w:tcPr>
          <w:p w:rsidR="00AA068C" w:rsidRDefault="00AA068C" w:rsidP="00C171CC">
            <w:pPr>
              <w:jc w:val="center"/>
            </w:pPr>
            <w:r w:rsidRPr="00E51CFB">
              <w:rPr>
                <w:rFonts w:ascii="Calibri" w:eastAsia="Times New Roman" w:hAnsi="Calibri" w:cs="Calibri"/>
                <w:color w:val="000000"/>
              </w:rPr>
              <w:t>5.7975</w:t>
            </w:r>
          </w:p>
        </w:tc>
        <w:tc>
          <w:tcPr>
            <w:tcW w:w="1530" w:type="dxa"/>
          </w:tcPr>
          <w:p w:rsidR="00AA068C" w:rsidRDefault="00AA068C" w:rsidP="00C171CC">
            <w:pPr>
              <w:jc w:val="center"/>
            </w:pPr>
            <w:r w:rsidRPr="00E51CFB">
              <w:rPr>
                <w:rFonts w:ascii="Calibri" w:eastAsia="Times New Roman" w:hAnsi="Calibri" w:cs="Calibri"/>
                <w:color w:val="000000"/>
              </w:rPr>
              <w:t>4.9128</w:t>
            </w:r>
          </w:p>
        </w:tc>
      </w:tr>
      <w:tr w:rsidR="00AA068C" w:rsidTr="00C171CC">
        <w:trPr>
          <w:trHeight w:val="237"/>
        </w:trPr>
        <w:tc>
          <w:tcPr>
            <w:tcW w:w="1885" w:type="dxa"/>
          </w:tcPr>
          <w:p w:rsidR="00AA068C" w:rsidRDefault="00AA068C" w:rsidP="00C171CC">
            <w:pPr>
              <w:jc w:val="center"/>
            </w:pPr>
            <w:r>
              <w:t>0.6292</w:t>
            </w:r>
          </w:p>
        </w:tc>
        <w:tc>
          <w:tcPr>
            <w:tcW w:w="1710" w:type="dxa"/>
          </w:tcPr>
          <w:p w:rsidR="00AA068C" w:rsidRDefault="00AA068C" w:rsidP="00C171CC">
            <w:pPr>
              <w:jc w:val="center"/>
            </w:pPr>
            <w:r>
              <w:t>0.4011</w:t>
            </w:r>
          </w:p>
        </w:tc>
        <w:tc>
          <w:tcPr>
            <w:tcW w:w="1980" w:type="dxa"/>
          </w:tcPr>
          <w:p w:rsidR="00AA068C" w:rsidRDefault="00AA068C" w:rsidP="00C171CC">
            <w:pPr>
              <w:jc w:val="center"/>
            </w:pPr>
            <w:r>
              <w:t>0.</w:t>
            </w:r>
            <w:r w:rsidRPr="00E51CFB">
              <w:rPr>
                <w:rFonts w:ascii="Calibri" w:eastAsia="Times New Roman" w:hAnsi="Calibri" w:cs="Calibri"/>
                <w:color w:val="000000"/>
              </w:rPr>
              <w:t xml:space="preserve"> </w:t>
            </w:r>
            <w:r>
              <w:rPr>
                <w:rFonts w:ascii="Calibri" w:eastAsia="Times New Roman" w:hAnsi="Calibri" w:cs="Calibri"/>
                <w:color w:val="000000"/>
              </w:rPr>
              <w:t>6</w:t>
            </w:r>
            <w:r w:rsidRPr="00E51CFB">
              <w:rPr>
                <w:rFonts w:ascii="Calibri" w:eastAsia="Times New Roman" w:hAnsi="Calibri" w:cs="Calibri"/>
                <w:color w:val="000000"/>
              </w:rPr>
              <w:t>1036</w:t>
            </w:r>
          </w:p>
        </w:tc>
        <w:tc>
          <w:tcPr>
            <w:tcW w:w="2070" w:type="dxa"/>
          </w:tcPr>
          <w:p w:rsidR="00AA068C" w:rsidRDefault="00AA068C" w:rsidP="00C171CC">
            <w:pPr>
              <w:jc w:val="center"/>
            </w:pPr>
            <w:r>
              <w:t>0.</w:t>
            </w:r>
            <w:r w:rsidRPr="00E51CFB">
              <w:rPr>
                <w:rFonts w:ascii="Calibri" w:eastAsia="Times New Roman" w:hAnsi="Calibri" w:cs="Calibri"/>
                <w:color w:val="000000"/>
              </w:rPr>
              <w:t xml:space="preserve"> </w:t>
            </w:r>
            <w:r>
              <w:rPr>
                <w:rFonts w:ascii="Calibri" w:eastAsia="Times New Roman" w:hAnsi="Calibri" w:cs="Calibri"/>
                <w:color w:val="000000"/>
              </w:rPr>
              <w:t>5</w:t>
            </w:r>
            <w:r w:rsidRPr="00E51CFB">
              <w:rPr>
                <w:rFonts w:ascii="Calibri" w:eastAsia="Times New Roman" w:hAnsi="Calibri" w:cs="Calibri"/>
                <w:color w:val="000000"/>
              </w:rPr>
              <w:t>7975</w:t>
            </w:r>
          </w:p>
        </w:tc>
        <w:tc>
          <w:tcPr>
            <w:tcW w:w="1530" w:type="dxa"/>
          </w:tcPr>
          <w:p w:rsidR="00AA068C" w:rsidRDefault="00AA068C" w:rsidP="00C171CC">
            <w:pPr>
              <w:jc w:val="center"/>
            </w:pPr>
            <w:r>
              <w:t>0.</w:t>
            </w:r>
            <w:r w:rsidRPr="00E51CFB">
              <w:rPr>
                <w:rFonts w:ascii="Calibri" w:eastAsia="Times New Roman" w:hAnsi="Calibri" w:cs="Calibri"/>
                <w:color w:val="000000"/>
              </w:rPr>
              <w:t xml:space="preserve"> </w:t>
            </w:r>
            <w:r>
              <w:rPr>
                <w:rFonts w:ascii="Calibri" w:eastAsia="Times New Roman" w:hAnsi="Calibri" w:cs="Calibri"/>
                <w:color w:val="000000"/>
              </w:rPr>
              <w:t>4</w:t>
            </w:r>
            <w:r w:rsidRPr="00E51CFB">
              <w:rPr>
                <w:rFonts w:ascii="Calibri" w:eastAsia="Times New Roman" w:hAnsi="Calibri" w:cs="Calibri"/>
                <w:color w:val="000000"/>
              </w:rPr>
              <w:t>9128</w:t>
            </w:r>
          </w:p>
        </w:tc>
      </w:tr>
      <w:tr w:rsidR="00AA068C" w:rsidTr="00C171CC">
        <w:trPr>
          <w:trHeight w:val="251"/>
        </w:trPr>
        <w:tc>
          <w:tcPr>
            <w:tcW w:w="1885" w:type="dxa"/>
          </w:tcPr>
          <w:p w:rsidR="00AA068C" w:rsidRDefault="00AA068C" w:rsidP="00C171CC">
            <w:pPr>
              <w:jc w:val="center"/>
            </w:pPr>
            <w:r>
              <w:t>0.06292</w:t>
            </w:r>
          </w:p>
        </w:tc>
        <w:tc>
          <w:tcPr>
            <w:tcW w:w="1710" w:type="dxa"/>
          </w:tcPr>
          <w:p w:rsidR="00AA068C" w:rsidRDefault="00AA068C" w:rsidP="00C171CC">
            <w:pPr>
              <w:jc w:val="center"/>
            </w:pPr>
            <w:r>
              <w:t>0.04011</w:t>
            </w:r>
          </w:p>
        </w:tc>
        <w:tc>
          <w:tcPr>
            <w:tcW w:w="1980" w:type="dxa"/>
          </w:tcPr>
          <w:p w:rsidR="00AA068C" w:rsidRDefault="00AA068C" w:rsidP="00C171CC">
            <w:pPr>
              <w:jc w:val="center"/>
            </w:pPr>
            <w:r>
              <w:t>0.0</w:t>
            </w:r>
            <w:r>
              <w:rPr>
                <w:rFonts w:ascii="Calibri" w:eastAsia="Times New Roman" w:hAnsi="Calibri" w:cs="Calibri"/>
                <w:color w:val="000000"/>
              </w:rPr>
              <w:t>6</w:t>
            </w:r>
            <w:r w:rsidRPr="00E51CFB">
              <w:rPr>
                <w:rFonts w:ascii="Calibri" w:eastAsia="Times New Roman" w:hAnsi="Calibri" w:cs="Calibri"/>
                <w:color w:val="000000"/>
              </w:rPr>
              <w:t>1036</w:t>
            </w:r>
          </w:p>
        </w:tc>
        <w:tc>
          <w:tcPr>
            <w:tcW w:w="2070" w:type="dxa"/>
          </w:tcPr>
          <w:p w:rsidR="00AA068C" w:rsidRDefault="00AA068C" w:rsidP="00C171CC">
            <w:pPr>
              <w:jc w:val="center"/>
            </w:pPr>
            <w:r>
              <w:t>0.0</w:t>
            </w:r>
            <w:r>
              <w:rPr>
                <w:rFonts w:ascii="Calibri" w:eastAsia="Times New Roman" w:hAnsi="Calibri" w:cs="Calibri"/>
                <w:color w:val="000000"/>
              </w:rPr>
              <w:t>5</w:t>
            </w:r>
            <w:r w:rsidRPr="00E51CFB">
              <w:rPr>
                <w:rFonts w:ascii="Calibri" w:eastAsia="Times New Roman" w:hAnsi="Calibri" w:cs="Calibri"/>
                <w:color w:val="000000"/>
              </w:rPr>
              <w:t>7975</w:t>
            </w:r>
          </w:p>
        </w:tc>
        <w:tc>
          <w:tcPr>
            <w:tcW w:w="1530" w:type="dxa"/>
          </w:tcPr>
          <w:p w:rsidR="00AA068C" w:rsidRDefault="00AA068C" w:rsidP="00C171CC">
            <w:pPr>
              <w:jc w:val="center"/>
            </w:pPr>
            <w:r>
              <w:t>0.0</w:t>
            </w:r>
            <w:r>
              <w:rPr>
                <w:rFonts w:ascii="Calibri" w:eastAsia="Times New Roman" w:hAnsi="Calibri" w:cs="Calibri"/>
                <w:color w:val="000000"/>
              </w:rPr>
              <w:t>4</w:t>
            </w:r>
            <w:r w:rsidRPr="00E51CFB">
              <w:rPr>
                <w:rFonts w:ascii="Calibri" w:eastAsia="Times New Roman" w:hAnsi="Calibri" w:cs="Calibri"/>
                <w:color w:val="000000"/>
              </w:rPr>
              <w:t>9128</w:t>
            </w:r>
          </w:p>
        </w:tc>
      </w:tr>
      <w:tr w:rsidR="00AA068C" w:rsidTr="00C171CC">
        <w:trPr>
          <w:trHeight w:val="237"/>
        </w:trPr>
        <w:tc>
          <w:tcPr>
            <w:tcW w:w="1885" w:type="dxa"/>
          </w:tcPr>
          <w:p w:rsidR="00AA068C" w:rsidRDefault="00AA068C" w:rsidP="00C171CC">
            <w:pPr>
              <w:jc w:val="center"/>
            </w:pPr>
            <w:r>
              <w:t>0</w:t>
            </w:r>
          </w:p>
        </w:tc>
        <w:tc>
          <w:tcPr>
            <w:tcW w:w="1710" w:type="dxa"/>
          </w:tcPr>
          <w:p w:rsidR="00AA068C" w:rsidRDefault="00AA068C" w:rsidP="00C171CC">
            <w:pPr>
              <w:jc w:val="center"/>
            </w:pPr>
            <w:r>
              <w:t>0</w:t>
            </w:r>
          </w:p>
        </w:tc>
        <w:tc>
          <w:tcPr>
            <w:tcW w:w="1980" w:type="dxa"/>
          </w:tcPr>
          <w:p w:rsidR="00AA068C" w:rsidRDefault="00AA068C" w:rsidP="00C171CC">
            <w:pPr>
              <w:jc w:val="center"/>
            </w:pPr>
            <w:r>
              <w:t>0</w:t>
            </w:r>
          </w:p>
        </w:tc>
        <w:tc>
          <w:tcPr>
            <w:tcW w:w="2070" w:type="dxa"/>
          </w:tcPr>
          <w:p w:rsidR="00AA068C" w:rsidRDefault="00AA068C" w:rsidP="00C171CC">
            <w:pPr>
              <w:jc w:val="center"/>
            </w:pPr>
            <w:r>
              <w:t>0</w:t>
            </w:r>
          </w:p>
        </w:tc>
        <w:tc>
          <w:tcPr>
            <w:tcW w:w="1530" w:type="dxa"/>
          </w:tcPr>
          <w:p w:rsidR="00AA068C" w:rsidRDefault="00AA068C" w:rsidP="00C171CC">
            <w:pPr>
              <w:jc w:val="center"/>
            </w:pPr>
            <w:r>
              <w:t>0</w:t>
            </w:r>
          </w:p>
        </w:tc>
      </w:tr>
    </w:tbl>
    <w:p w:rsidR="00AA068C" w:rsidRDefault="00AA068C" w:rsidP="00AA068C"/>
    <w:p w:rsidR="006D3B62" w:rsidRDefault="006D3B62" w:rsidP="006D3B62">
      <w:pPr>
        <w:jc w:val="both"/>
      </w:pPr>
      <w:r w:rsidRPr="006D3B62">
        <w:rPr>
          <w:b/>
        </w:rPr>
        <w:t>Response:</w:t>
      </w:r>
      <w:r>
        <w:t xml:space="preserve"> </w:t>
      </w:r>
      <w:r w:rsidR="00C171CC">
        <w:t>Radial growth rate of pathogens were measured in the presence and absence (dose = 0) of fungicides</w:t>
      </w:r>
      <w:r>
        <w:t>. Each petri dish had 4 measurements (radial growth), which indicates that fungi often grow unevenly, so taking multiple measurements improves precision.</w:t>
      </w:r>
    </w:p>
    <w:p w:rsidR="00F069A4" w:rsidRDefault="00AA068C" w:rsidP="00AA068C">
      <w:r>
        <w:t>The Skeleton ANOVA table based on the above design is given below.</w:t>
      </w:r>
    </w:p>
    <w:p w:rsidR="00AA068C" w:rsidRPr="00AA068C" w:rsidRDefault="00AA068C" w:rsidP="00AA068C">
      <w:pPr>
        <w:rPr>
          <w:b/>
        </w:rPr>
      </w:pPr>
      <w:r w:rsidRPr="00AA068C">
        <w:rPr>
          <w:b/>
        </w:rPr>
        <w:t>Skeleton ANOVA (Split-Plot Factor Factor Nested in Whole-plot factor)</w:t>
      </w:r>
    </w:p>
    <w:tbl>
      <w:tblPr>
        <w:tblStyle w:val="TableGrid"/>
        <w:tblW w:w="0" w:type="auto"/>
        <w:tblLook w:val="04A0" w:firstRow="1" w:lastRow="0" w:firstColumn="1" w:lastColumn="0" w:noHBand="0" w:noVBand="1"/>
      </w:tblPr>
      <w:tblGrid>
        <w:gridCol w:w="4530"/>
        <w:gridCol w:w="2842"/>
      </w:tblGrid>
      <w:tr w:rsidR="00AA068C" w:rsidTr="006465A4">
        <w:trPr>
          <w:trHeight w:val="286"/>
        </w:trPr>
        <w:tc>
          <w:tcPr>
            <w:tcW w:w="4530" w:type="dxa"/>
          </w:tcPr>
          <w:p w:rsidR="00AA068C" w:rsidRPr="002526F0" w:rsidRDefault="00AA068C" w:rsidP="006465A4">
            <w:pPr>
              <w:rPr>
                <w:b/>
              </w:rPr>
            </w:pPr>
            <w:r w:rsidRPr="002526F0">
              <w:rPr>
                <w:b/>
              </w:rPr>
              <w:t>SV</w:t>
            </w:r>
          </w:p>
        </w:tc>
        <w:tc>
          <w:tcPr>
            <w:tcW w:w="2842" w:type="dxa"/>
          </w:tcPr>
          <w:p w:rsidR="00AA068C" w:rsidRPr="002526F0" w:rsidRDefault="00AA068C" w:rsidP="006465A4">
            <w:pPr>
              <w:rPr>
                <w:b/>
              </w:rPr>
            </w:pPr>
            <w:r w:rsidRPr="002526F0">
              <w:rPr>
                <w:b/>
              </w:rPr>
              <w:t>239</w:t>
            </w:r>
          </w:p>
        </w:tc>
      </w:tr>
      <w:tr w:rsidR="00AA068C" w:rsidTr="006465A4">
        <w:trPr>
          <w:trHeight w:val="270"/>
        </w:trPr>
        <w:tc>
          <w:tcPr>
            <w:tcW w:w="4530" w:type="dxa"/>
          </w:tcPr>
          <w:p w:rsidR="00AA068C" w:rsidRDefault="00AA068C" w:rsidP="006465A4">
            <w:r>
              <w:t xml:space="preserve">Treatment </w:t>
            </w:r>
          </w:p>
        </w:tc>
        <w:tc>
          <w:tcPr>
            <w:tcW w:w="2842" w:type="dxa"/>
          </w:tcPr>
          <w:p w:rsidR="00AA068C" w:rsidRDefault="00AA068C" w:rsidP="006465A4">
            <w:r>
              <w:t>(5-1) = 4</w:t>
            </w:r>
          </w:p>
        </w:tc>
      </w:tr>
      <w:tr w:rsidR="00AA068C" w:rsidTr="006465A4">
        <w:trPr>
          <w:trHeight w:val="270"/>
        </w:trPr>
        <w:tc>
          <w:tcPr>
            <w:tcW w:w="4530" w:type="dxa"/>
          </w:tcPr>
          <w:p w:rsidR="00AA068C" w:rsidRDefault="00AA068C" w:rsidP="006465A4">
            <w:r w:rsidRPr="008E444C">
              <w:rPr>
                <w:highlight w:val="yellow"/>
              </w:rPr>
              <w:t>Dose(Treatment)</w:t>
            </w:r>
            <w:r>
              <w:t xml:space="preserve"> </w:t>
            </w:r>
          </w:p>
        </w:tc>
        <w:tc>
          <w:tcPr>
            <w:tcW w:w="2842" w:type="dxa"/>
          </w:tcPr>
          <w:p w:rsidR="00AA068C" w:rsidRDefault="00AA068C" w:rsidP="006465A4">
            <w:r>
              <w:t>(4-1)*5 = 15</w:t>
            </w:r>
          </w:p>
        </w:tc>
      </w:tr>
      <w:tr w:rsidR="00AA068C" w:rsidTr="006465A4">
        <w:trPr>
          <w:trHeight w:val="270"/>
        </w:trPr>
        <w:tc>
          <w:tcPr>
            <w:tcW w:w="4530" w:type="dxa"/>
          </w:tcPr>
          <w:p w:rsidR="00AA068C" w:rsidRDefault="00AA068C" w:rsidP="006465A4">
            <w:r>
              <w:t>Species</w:t>
            </w:r>
          </w:p>
        </w:tc>
        <w:tc>
          <w:tcPr>
            <w:tcW w:w="2842" w:type="dxa"/>
          </w:tcPr>
          <w:p w:rsidR="00AA068C" w:rsidRDefault="00AA068C" w:rsidP="006465A4">
            <w:r>
              <w:t>(4-1) = 3</w:t>
            </w:r>
          </w:p>
        </w:tc>
      </w:tr>
      <w:tr w:rsidR="00AA068C" w:rsidTr="006465A4">
        <w:trPr>
          <w:trHeight w:val="286"/>
        </w:trPr>
        <w:tc>
          <w:tcPr>
            <w:tcW w:w="4530" w:type="dxa"/>
          </w:tcPr>
          <w:p w:rsidR="00AA068C" w:rsidRDefault="00AA068C" w:rsidP="006465A4">
            <w:r>
              <w:t>Treatment*Species</w:t>
            </w:r>
          </w:p>
        </w:tc>
        <w:tc>
          <w:tcPr>
            <w:tcW w:w="2842" w:type="dxa"/>
          </w:tcPr>
          <w:p w:rsidR="00AA068C" w:rsidRDefault="00AA068C" w:rsidP="006465A4">
            <w:r>
              <w:t>(5-1)*(4-1) = 12</w:t>
            </w:r>
          </w:p>
        </w:tc>
      </w:tr>
      <w:tr w:rsidR="00AA068C" w:rsidTr="006465A4">
        <w:trPr>
          <w:trHeight w:val="270"/>
        </w:trPr>
        <w:tc>
          <w:tcPr>
            <w:tcW w:w="4530" w:type="dxa"/>
          </w:tcPr>
          <w:p w:rsidR="00AA068C" w:rsidRDefault="00AA068C" w:rsidP="006465A4">
            <w:r w:rsidRPr="008E444C">
              <w:rPr>
                <w:highlight w:val="yellow"/>
              </w:rPr>
              <w:t>Species*Dose(Treatment)</w:t>
            </w:r>
            <w:r>
              <w:t xml:space="preserve"> </w:t>
            </w:r>
          </w:p>
        </w:tc>
        <w:tc>
          <w:tcPr>
            <w:tcW w:w="2842" w:type="dxa"/>
          </w:tcPr>
          <w:p w:rsidR="00AA068C" w:rsidRDefault="00AA068C" w:rsidP="006465A4">
            <w:r>
              <w:t>3*15 = 45</w:t>
            </w:r>
          </w:p>
        </w:tc>
      </w:tr>
      <w:tr w:rsidR="00AA068C" w:rsidTr="006465A4">
        <w:trPr>
          <w:trHeight w:val="286"/>
        </w:trPr>
        <w:tc>
          <w:tcPr>
            <w:tcW w:w="4530" w:type="dxa"/>
          </w:tcPr>
          <w:p w:rsidR="00AA068C" w:rsidRDefault="00AA068C" w:rsidP="006465A4">
            <w:r w:rsidRPr="008E444C">
              <w:rPr>
                <w:highlight w:val="yellow"/>
              </w:rPr>
              <w:t>Error(Dish(Dose*Species*Treatment) (Random)</w:t>
            </w:r>
          </w:p>
        </w:tc>
        <w:tc>
          <w:tcPr>
            <w:tcW w:w="2842" w:type="dxa"/>
          </w:tcPr>
          <w:p w:rsidR="00AA068C" w:rsidRDefault="00AA068C" w:rsidP="006465A4">
            <w:r>
              <w:t>(3-1)*(4*4*5) = 160</w:t>
            </w:r>
          </w:p>
        </w:tc>
      </w:tr>
    </w:tbl>
    <w:p w:rsidR="00AA068C" w:rsidRDefault="00AA068C" w:rsidP="00AA068C"/>
    <w:p w:rsidR="00AA068C" w:rsidRDefault="00AA068C" w:rsidP="006D3B62">
      <w:pPr>
        <w:spacing w:line="360" w:lineRule="auto"/>
      </w:pPr>
      <w:r>
        <w:t>The model specification is given as</w:t>
      </w:r>
    </w:p>
    <w:p w:rsidR="00AA068C" w:rsidRDefault="00AA068C" w:rsidP="006D3B62">
      <w:pPr>
        <w:spacing w:line="360" w:lineRule="auto"/>
      </w:pPr>
      <w:r>
        <w:t>Avg_Measurement  =  Species*Treatments + (1 | Dose:Treatments) + (1 | Species:Dose:Treatments)</w:t>
      </w:r>
    </w:p>
    <w:p w:rsidR="00AA068C" w:rsidRPr="000F1CF7" w:rsidRDefault="00AA068C" w:rsidP="006D3B62">
      <w:pPr>
        <w:spacing w:line="360" w:lineRule="auto"/>
        <w:rPr>
          <w:b/>
        </w:rPr>
      </w:pPr>
      <w:r w:rsidRPr="000F1CF7">
        <w:rPr>
          <w:b/>
        </w:rPr>
        <w:t>Where</w:t>
      </w:r>
    </w:p>
    <w:p w:rsidR="00AA068C" w:rsidRDefault="00AA068C" w:rsidP="00F069A4">
      <w:pPr>
        <w:pStyle w:val="ListParagraph"/>
        <w:numPr>
          <w:ilvl w:val="0"/>
          <w:numId w:val="8"/>
        </w:numPr>
        <w:spacing w:line="360" w:lineRule="auto"/>
      </w:pPr>
      <w:r>
        <w:t>Species × Treatments is the fixed effects interaction which enables us to determine how different fungal species respond to different fungicide treatments.</w:t>
      </w:r>
    </w:p>
    <w:p w:rsidR="00AA068C" w:rsidRDefault="00AA068C" w:rsidP="00F069A4">
      <w:pPr>
        <w:pStyle w:val="ListParagraph"/>
        <w:numPr>
          <w:ilvl w:val="0"/>
          <w:numId w:val="8"/>
        </w:numPr>
        <w:spacing w:line="360" w:lineRule="auto"/>
      </w:pPr>
      <w:r>
        <w:t>(1 | Dose:Treatments): This nested structure accounts for random variability due to different doses within each treatment.</w:t>
      </w:r>
    </w:p>
    <w:p w:rsidR="00AA068C" w:rsidRDefault="00AA068C" w:rsidP="00F069A4">
      <w:pPr>
        <w:pStyle w:val="ListParagraph"/>
        <w:numPr>
          <w:ilvl w:val="0"/>
          <w:numId w:val="8"/>
        </w:numPr>
        <w:spacing w:line="360" w:lineRule="auto"/>
      </w:pPr>
      <w:r>
        <w:t>(1 | Species:Dose:Treatments): This nested structure accounts for the random variation in species responses within specific dose-treatment combinations.</w:t>
      </w:r>
    </w:p>
    <w:p w:rsidR="00AA068C" w:rsidRDefault="00911AFB" w:rsidP="006D3B62">
      <w:pPr>
        <w:spacing w:line="360" w:lineRule="auto"/>
        <w:rPr>
          <w:b/>
        </w:rPr>
      </w:pPr>
      <w:r w:rsidRPr="00911AFB">
        <w:rPr>
          <w:b/>
        </w:rPr>
        <w:t>Two-Part Model (</w:t>
      </w:r>
      <w:r w:rsidR="00AA068C" w:rsidRPr="00911AFB">
        <w:rPr>
          <w:b/>
        </w:rPr>
        <w:t>Zero-Inflated Gamma</w:t>
      </w:r>
      <w:r w:rsidRPr="00911AFB">
        <w:rPr>
          <w:b/>
        </w:rPr>
        <w:t>)</w:t>
      </w:r>
    </w:p>
    <w:p w:rsidR="00911AFB" w:rsidRDefault="00911AFB" w:rsidP="00F069A4">
      <w:pPr>
        <w:spacing w:line="360" w:lineRule="auto"/>
      </w:pPr>
      <w:r>
        <w:lastRenderedPageBreak/>
        <w:t>We model the growth of the fungus</w:t>
      </w:r>
      <w:r w:rsidR="00F174A8">
        <w:t xml:space="preserve"> (mix of zero and positive values (semicontinuous)) </w:t>
      </w:r>
      <w:r>
        <w:t xml:space="preserve"> using the two-part model as shown below </w:t>
      </w:r>
    </w:p>
    <w:p w:rsidR="00911AFB" w:rsidRDefault="00911AFB" w:rsidP="00F069A4">
      <w:pPr>
        <w:spacing w:line="360" w:lineRule="auto"/>
        <w:jc w:val="center"/>
      </w:pPr>
      <w:r>
        <w:t xml:space="preserve">f(y) = </w:t>
      </w:r>
      <m:oMath>
        <m:d>
          <m:dPr>
            <m:ctrlPr>
              <w:rPr>
                <w:rFonts w:ascii="Cambria Math" w:hAnsi="Cambria Math"/>
                <w:i/>
              </w:rPr>
            </m:ctrlPr>
          </m:dPr>
          <m:e>
            <m:r>
              <w:rPr>
                <w:rFonts w:ascii="Cambria Math" w:hAnsi="Cambria Math"/>
              </w:rPr>
              <m:t>1-π</m:t>
            </m:r>
          </m:e>
        </m:d>
        <m:r>
          <w:rPr>
            <w:rFonts w:ascii="Cambria Math" w:hAnsi="Cambria Math"/>
          </w:rPr>
          <m:t xml:space="preserve"> I</m:t>
        </m:r>
        <m:d>
          <m:dPr>
            <m:ctrlPr>
              <w:rPr>
                <w:rFonts w:ascii="Cambria Math" w:hAnsi="Cambria Math"/>
                <w:i/>
              </w:rPr>
            </m:ctrlPr>
          </m:dPr>
          <m:e>
            <m:r>
              <w:rPr>
                <w:rFonts w:ascii="Cambria Math" w:hAnsi="Cambria Math"/>
              </w:rPr>
              <m:t>y=0</m:t>
            </m:r>
          </m:e>
        </m:d>
        <m:r>
          <w:rPr>
            <w:rFonts w:ascii="Cambria Math" w:hAnsi="Cambria Math"/>
          </w:rPr>
          <m:t>+ π</m:t>
        </m:r>
        <m:sSub>
          <m:sSubPr>
            <m:ctrlPr>
              <w:rPr>
                <w:rFonts w:ascii="Cambria Math" w:hAnsi="Cambria Math"/>
                <w:i/>
              </w:rPr>
            </m:ctrlPr>
          </m:sSubPr>
          <m:e>
            <m:r>
              <w:rPr>
                <w:rFonts w:ascii="Cambria Math" w:hAnsi="Cambria Math"/>
              </w:rPr>
              <m:t>G</m:t>
            </m:r>
          </m:e>
          <m:sub>
            <m:r>
              <w:rPr>
                <w:rFonts w:ascii="Cambria Math" w:hAnsi="Cambria Math"/>
              </w:rPr>
              <m:t>θ</m:t>
            </m:r>
          </m:sub>
        </m:sSub>
      </m:oMath>
      <w:r>
        <w:t>(y|</w:t>
      </w:r>
      <m:oMath>
        <m:r>
          <w:rPr>
            <w:rFonts w:ascii="Cambria Math" w:hAnsi="Cambria Math"/>
          </w:rPr>
          <m:t xml:space="preserve"> y&gt;0</m:t>
        </m:r>
      </m:oMath>
      <w:r>
        <w:t>)</w:t>
      </w:r>
    </w:p>
    <w:p w:rsidR="00E8278B" w:rsidRPr="00DC7605" w:rsidRDefault="00911AFB" w:rsidP="006D3B62">
      <w:pPr>
        <w:spacing w:line="360" w:lineRule="auto"/>
        <w:jc w:val="both"/>
        <w:rPr>
          <w:rFonts w:cstheme="minorHAnsi"/>
        </w:rPr>
      </w:pPr>
      <w:r>
        <w:t xml:space="preserve">where </w:t>
      </w:r>
      <m:oMath>
        <m:r>
          <w:rPr>
            <w:rFonts w:ascii="Cambria Math" w:hAnsi="Cambria Math"/>
          </w:rPr>
          <m:t>π=logit</m:t>
        </m:r>
        <m:d>
          <m:dPr>
            <m:ctrlPr>
              <w:rPr>
                <w:rFonts w:ascii="Cambria Math" w:hAnsi="Cambria Math"/>
                <w:i/>
              </w:rPr>
            </m:ctrlPr>
          </m:dPr>
          <m:e>
            <m:r>
              <w:rPr>
                <w:rFonts w:ascii="Cambria Math" w:hAnsi="Cambria Math"/>
              </w:rPr>
              <m:t>xβ</m:t>
            </m:r>
          </m:e>
        </m:d>
        <m:r>
          <w:rPr>
            <w:rFonts w:ascii="Cambria Math" w:hAnsi="Cambria Math"/>
          </w:rPr>
          <m:t>=log (</m:t>
        </m:r>
        <m:f>
          <m:fPr>
            <m:ctrlPr>
              <w:rPr>
                <w:rFonts w:ascii="Cambria Math" w:hAnsi="Cambria Math"/>
                <w:i/>
              </w:rPr>
            </m:ctrlPr>
          </m:fPr>
          <m:num>
            <m:r>
              <w:rPr>
                <w:rFonts w:ascii="Cambria Math" w:hAnsi="Cambria Math"/>
              </w:rPr>
              <m:t>xβ</m:t>
            </m:r>
          </m:num>
          <m:den>
            <m:r>
              <w:rPr>
                <w:rFonts w:ascii="Cambria Math" w:hAnsi="Cambria Math"/>
              </w:rPr>
              <m:t>1- xβ</m:t>
            </m:r>
          </m:den>
        </m:f>
        <m:r>
          <w:rPr>
            <w:rFonts w:ascii="Cambria Math" w:hAnsi="Cambria Math"/>
          </w:rPr>
          <m:t>)</m:t>
        </m:r>
      </m:oMath>
      <w:r>
        <w:t xml:space="preserve">, this is the parameters used in modeling the Probability of fungal growth greater than zero. </w:t>
      </w:r>
      <m:oMath>
        <m:sSub>
          <m:sSubPr>
            <m:ctrlPr>
              <w:rPr>
                <w:rFonts w:ascii="Cambria Math" w:hAnsi="Cambria Math"/>
                <w:i/>
              </w:rPr>
            </m:ctrlPr>
          </m:sSubPr>
          <m:e>
            <m:r>
              <w:rPr>
                <w:rFonts w:ascii="Cambria Math" w:hAnsi="Cambria Math"/>
              </w:rPr>
              <m:t>G</m:t>
            </m:r>
          </m:e>
          <m:sub>
            <m:r>
              <w:rPr>
                <w:rFonts w:ascii="Cambria Math" w:hAnsi="Cambria Math"/>
              </w:rPr>
              <m:t>θ</m:t>
            </m:r>
          </m:sub>
        </m:sSub>
      </m:oMath>
      <w:r>
        <w:t>(y|</w:t>
      </w:r>
      <m:oMath>
        <m:r>
          <w:rPr>
            <w:rFonts w:ascii="Cambria Math" w:hAnsi="Cambria Math"/>
          </w:rPr>
          <m:t xml:space="preserve"> y&gt;0</m:t>
        </m:r>
      </m:oMath>
      <w:r>
        <w:t xml:space="preserve">) follows a </w:t>
      </w:r>
      <w:r w:rsidR="00F174A8">
        <w:t>Gamma (</w:t>
      </w:r>
      <m:oMath>
        <m:r>
          <w:rPr>
            <w:rFonts w:ascii="Cambria Math" w:hAnsi="Cambria Math"/>
          </w:rPr>
          <m:t>α,β)</m:t>
        </m:r>
      </m:oMath>
      <w:r>
        <w:t xml:space="preserve"> distribution with </w:t>
      </w:r>
      <m:oMath>
        <m:r>
          <w:rPr>
            <w:rFonts w:ascii="Cambria Math" w:hAnsi="Cambria Math"/>
          </w:rPr>
          <m:t>α</m:t>
        </m:r>
      </m:oMath>
      <w:r>
        <w:t xml:space="preserve"> as the shape parameter, and </w:t>
      </w:r>
      <m:oMath>
        <m:r>
          <w:rPr>
            <w:rFonts w:ascii="Cambria Math" w:hAnsi="Cambria Math"/>
          </w:rPr>
          <m:t>β</m:t>
        </m:r>
      </m:oMath>
      <w:r>
        <w:t xml:space="preserve"> as the scale parameter.</w:t>
      </w:r>
      <w:r w:rsidR="00F174A8">
        <w:t xml:space="preserve"> </w:t>
      </w:r>
      <w:r w:rsidR="00F174A8">
        <w:rPr>
          <w:rFonts w:cstheme="minorHAnsi"/>
        </w:rPr>
        <w:t>The zero-inflated gamma distribution is given as ZIGamma(</w:t>
      </w:r>
      <m:oMath>
        <m:r>
          <w:rPr>
            <w:rFonts w:ascii="Cambria Math" w:hAnsi="Cambria Math"/>
          </w:rPr>
          <m:t>π</m:t>
        </m:r>
      </m:oMath>
      <w:r w:rsidR="00F174A8">
        <w:rPr>
          <w:rFonts w:cstheme="minorHAnsi"/>
        </w:rPr>
        <w:t xml:space="preserve">, </w:t>
      </w:r>
      <m:oMath>
        <m:r>
          <w:rPr>
            <w:rFonts w:ascii="Cambria Math" w:hAnsi="Cambria Math"/>
          </w:rPr>
          <m:t>α,β</m:t>
        </m:r>
      </m:oMath>
      <w:r w:rsidR="00F174A8">
        <w:rPr>
          <w:rFonts w:cstheme="minorHAnsi"/>
        </w:rPr>
        <w:t xml:space="preserve">), where </w:t>
      </w:r>
      <m:oMath>
        <m:r>
          <w:rPr>
            <w:rFonts w:ascii="Cambria Math" w:hAnsi="Cambria Math" w:cstheme="minorHAnsi"/>
          </w:rPr>
          <m:t>π</m:t>
        </m:r>
      </m:oMath>
      <w:r w:rsidR="00F174A8" w:rsidRPr="00491940">
        <w:rPr>
          <w:rFonts w:cstheme="minorHAnsi"/>
        </w:rPr>
        <w:t xml:space="preserve"> is the probability that the fungus die (y = 0),</w:t>
      </w:r>
      <w:r w:rsidR="00F174A8">
        <w:rPr>
          <w:rFonts w:cstheme="minorHAnsi"/>
        </w:rPr>
        <w:t>while</w:t>
      </w:r>
      <w:r w:rsidR="00F174A8" w:rsidRPr="00491940">
        <w:rPr>
          <w:rFonts w:cstheme="minorHAnsi"/>
        </w:rPr>
        <w:t xml:space="preserve"> </w:t>
      </w:r>
      <m:oMath>
        <m:r>
          <w:rPr>
            <w:rFonts w:ascii="Cambria Math" w:hAnsi="Cambria Math"/>
          </w:rPr>
          <m:t xml:space="preserve">α, and β </m:t>
        </m:r>
      </m:oMath>
      <w:r w:rsidR="00F174A8">
        <w:rPr>
          <w:rFonts w:cstheme="minorHAnsi"/>
        </w:rPr>
        <w:t>provides information about the gamma distribution, the non-zero part of the model. For the zero-inflated gamma model, the probability that the fungus does not die is modeled using the logistic regression while the distribution of the non-zero i.e. growth of fungus is modelled using the gamma distribution with a log-link.</w:t>
      </w:r>
      <w:r w:rsidR="009A43FC">
        <w:rPr>
          <w:rFonts w:cstheme="minorHAnsi"/>
        </w:rPr>
        <w:t xml:space="preserve"> </w:t>
      </w:r>
      <w:r w:rsidR="009A43FC">
        <w:rPr>
          <w:rFonts w:cstheme="minorHAnsi"/>
        </w:rPr>
        <w:fldChar w:fldCharType="begin" w:fldLock="1"/>
      </w:r>
      <w:r w:rsidR="009A43FC">
        <w:rPr>
          <w:rFonts w:cstheme="minorHAnsi"/>
        </w:rPr>
        <w:instrText>ADDIN CSL_CITATION {"citationItems":[{"id":"ITEM-1","itemData":{"author":[{"dropping-particle":"","family":"Mills","given":"Elizabeth Dastrup","non-dropping-particle":"","parse-names":false,"suffix":""}],"id":"ITEM-1","issued":{"date-parts":[["2013"]]},"publisher":"UniversityofIowa","title":"Adjusting for covariates in zero-inflated gamma and zero-inflated log-normal models for semicontinuous data","type":"thesis"},"uris":["http://www.mendeley.com/documents/?uuid=f7a96800-d5de-4669-99f6-ebb661ba10a7"]}],"mendeley":{"formattedCitation":"(Mills, 2013)","plainTextFormattedCitation":"(Mills, 2013)"},"properties":{"noteIndex":0},"schema":"https://github.com/citation-style-language/schema/raw/master/csl-citation.json"}</w:instrText>
      </w:r>
      <w:r w:rsidR="009A43FC">
        <w:rPr>
          <w:rFonts w:cstheme="minorHAnsi"/>
        </w:rPr>
        <w:fldChar w:fldCharType="separate"/>
      </w:r>
      <w:r w:rsidR="009A43FC" w:rsidRPr="009A43FC">
        <w:rPr>
          <w:rFonts w:cstheme="minorHAnsi"/>
          <w:noProof/>
        </w:rPr>
        <w:t>(Mills, 2013)</w:t>
      </w:r>
      <w:r w:rsidR="009A43FC">
        <w:rPr>
          <w:rFonts w:cstheme="minorHAnsi"/>
        </w:rPr>
        <w:fldChar w:fldCharType="end"/>
      </w:r>
    </w:p>
    <w:p w:rsidR="00F069A4" w:rsidRPr="00F069A4" w:rsidRDefault="00F069A4" w:rsidP="006D3B62">
      <w:pPr>
        <w:spacing w:line="360" w:lineRule="auto"/>
        <w:jc w:val="both"/>
        <w:rPr>
          <w:rFonts w:cstheme="minorHAnsi"/>
          <w:b/>
        </w:rPr>
      </w:pPr>
      <w:r>
        <w:rPr>
          <w:b/>
        </w:rPr>
        <w:t>Model Structure</w:t>
      </w:r>
    </w:p>
    <w:p w:rsidR="007E15C7" w:rsidRPr="006D3B62" w:rsidRDefault="007E15C7" w:rsidP="006D3B62">
      <w:pPr>
        <w:spacing w:line="360" w:lineRule="auto"/>
        <w:jc w:val="both"/>
        <w:rPr>
          <w:rFonts w:cstheme="minorHAnsi"/>
        </w:rPr>
      </w:pPr>
      <w:r>
        <w:t>This study performed a zero-inflated Gamma model to look at the effects of species, and</w:t>
      </w:r>
      <w:r w:rsidRPr="00EB0ABF">
        <w:t xml:space="preserve"> treatments on the average fungal growth</w:t>
      </w:r>
      <w:r>
        <w:t xml:space="preserve"> (</w:t>
      </w:r>
      <w:r w:rsidRPr="00E62765">
        <w:t>positive continuous measu</w:t>
      </w:r>
      <w:r>
        <w:t xml:space="preserve">rements with an excess of zeros), while also </w:t>
      </w:r>
      <w:r w:rsidRPr="00EB0ABF">
        <w:t>accounting for the nested structure of dose</w:t>
      </w:r>
      <w:r>
        <w:t xml:space="preserve">. </w:t>
      </w:r>
      <w:r w:rsidR="00E715B0">
        <w:t xml:space="preserve"> This model was fitted using the “glmmTMB” package in R</w:t>
      </w:r>
    </w:p>
    <w:p w:rsidR="007E15C7" w:rsidRDefault="007E15C7" w:rsidP="006D3B62">
      <w:pPr>
        <w:pStyle w:val="ListParagraph"/>
        <w:numPr>
          <w:ilvl w:val="0"/>
          <w:numId w:val="5"/>
        </w:numPr>
        <w:spacing w:line="360" w:lineRule="auto"/>
        <w:jc w:val="both"/>
      </w:pPr>
      <w:r>
        <w:t xml:space="preserve">The nonzero part (positive fungal growth) was modelled using a Gamma distribution </w:t>
      </w:r>
    </w:p>
    <w:p w:rsidR="007E15C7" w:rsidRDefault="007E15C7" w:rsidP="006D3B62">
      <w:pPr>
        <w:pStyle w:val="ListParagraph"/>
        <w:numPr>
          <w:ilvl w:val="0"/>
          <w:numId w:val="5"/>
        </w:numPr>
        <w:spacing w:line="360" w:lineRule="auto"/>
        <w:jc w:val="both"/>
      </w:pPr>
      <w:r>
        <w:t xml:space="preserve">The zero-inflated part which model the probability of an observation being structurally zero was modelled using a logistic regression. </w:t>
      </w:r>
    </w:p>
    <w:p w:rsidR="007E15C7" w:rsidRDefault="007E15C7" w:rsidP="006D3B62">
      <w:pPr>
        <w:spacing w:line="360" w:lineRule="auto"/>
        <w:jc w:val="both"/>
      </w:pPr>
      <w:r>
        <w:t xml:space="preserve">The gamma component consists </w:t>
      </w:r>
    </w:p>
    <w:p w:rsidR="007E15C7" w:rsidRDefault="007E15C7" w:rsidP="006D3B62">
      <w:pPr>
        <w:pStyle w:val="ListParagraph"/>
        <w:numPr>
          <w:ilvl w:val="0"/>
          <w:numId w:val="6"/>
        </w:numPr>
        <w:spacing w:line="360" w:lineRule="auto"/>
        <w:jc w:val="both"/>
      </w:pPr>
      <w:r>
        <w:t xml:space="preserve">main effect of species, and treatment, </w:t>
      </w:r>
    </w:p>
    <w:p w:rsidR="007E15C7" w:rsidRDefault="007E15C7" w:rsidP="006D3B62">
      <w:pPr>
        <w:pStyle w:val="ListParagraph"/>
        <w:numPr>
          <w:ilvl w:val="0"/>
          <w:numId w:val="6"/>
        </w:numPr>
        <w:spacing w:line="360" w:lineRule="auto"/>
        <w:jc w:val="both"/>
      </w:pPr>
      <w:r>
        <w:t xml:space="preserve">Interaction between species and treatment, and </w:t>
      </w:r>
    </w:p>
    <w:p w:rsidR="007E15C7" w:rsidRDefault="007E15C7" w:rsidP="006D3B62">
      <w:pPr>
        <w:pStyle w:val="ListParagraph"/>
        <w:numPr>
          <w:ilvl w:val="0"/>
          <w:numId w:val="6"/>
        </w:numPr>
        <w:spacing w:line="360" w:lineRule="auto"/>
        <w:jc w:val="both"/>
      </w:pPr>
      <w:r>
        <w:t>The random effects for dose nested within treatment.</w:t>
      </w:r>
    </w:p>
    <w:p w:rsidR="00C42F6E" w:rsidRDefault="007E15C7" w:rsidP="006D3B62">
      <w:pPr>
        <w:spacing w:line="360" w:lineRule="auto"/>
        <w:jc w:val="both"/>
      </w:pPr>
      <w:r>
        <w:t xml:space="preserve"> The zero-inflated component includes only the intercept assuming a constant probability of excess zeros across groups. </w:t>
      </w:r>
    </w:p>
    <w:p w:rsidR="00A872EC" w:rsidRPr="006D3B62" w:rsidRDefault="009A43FC" w:rsidP="006D3B62">
      <w:pPr>
        <w:spacing w:line="360" w:lineRule="auto"/>
        <w:jc w:val="center"/>
        <w:rPr>
          <w:b/>
        </w:rPr>
      </w:pPr>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 xml:space="preserve"> ~ Zero inflated Gamma (π</m:t>
        </m:r>
      </m:oMath>
      <w:r w:rsidR="00A872EC">
        <w:rPr>
          <w:rFonts w:cstheme="minorHAnsi"/>
        </w:rPr>
        <w:t xml:space="preserve">, </w:t>
      </w:r>
      <m:oMath>
        <m:r>
          <w:rPr>
            <w:rFonts w:ascii="Cambria Math" w:hAnsi="Cambria Math"/>
          </w:rPr>
          <m:t>α,  β)</m:t>
        </m:r>
      </m:oMath>
      <w:r w:rsidR="006D3B62">
        <w:rPr>
          <w:b/>
        </w:rPr>
        <w:t xml:space="preserve">, </w:t>
      </w:r>
      <w:r w:rsidR="006D3B62">
        <w:t>w</w:t>
      </w:r>
      <w:r w:rsidR="00A872EC">
        <w:t>here</w:t>
      </w:r>
    </w:p>
    <w:p w:rsidR="00A872EC" w:rsidRDefault="00A872EC" w:rsidP="006D3B62">
      <w:pPr>
        <w:pStyle w:val="ListParagraph"/>
        <w:numPr>
          <w:ilvl w:val="0"/>
          <w:numId w:val="7"/>
        </w:numPr>
        <w:spacing w:line="360" w:lineRule="auto"/>
        <w:jc w:val="both"/>
      </w:pPr>
      <m:oMath>
        <m:r>
          <w:rPr>
            <w:rFonts w:ascii="Cambria Math" w:hAnsi="Cambria Math"/>
          </w:rPr>
          <m:t xml:space="preserve">Log(E[Y_ijkl |Y_ijkl&gt;0]) </m:t>
        </m:r>
      </m:oMath>
      <w:r>
        <w:t xml:space="preserve">= </w:t>
      </w:r>
      <m:oMath>
        <m:r>
          <w:rPr>
            <w:rFonts w:ascii="Cambria Math" w:hAnsi="Cambria Math"/>
          </w:rPr>
          <m:t xml:space="preserve">μ+ </m:t>
        </m:r>
        <m:sSub>
          <m:sSubPr>
            <m:ctrlPr>
              <w:rPr>
                <w:rFonts w:ascii="Cambria Math" w:hAnsi="Cambria Math"/>
                <w:i/>
              </w:rPr>
            </m:ctrlPr>
          </m:sSubPr>
          <m:e>
            <m:r>
              <w:rPr>
                <w:rFonts w:ascii="Cambria Math" w:hAnsi="Cambria Math"/>
              </w:rPr>
              <m:t>Species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Treatment</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(Species*Treatment)</m:t>
            </m:r>
          </m:e>
          <m:sub>
            <m:r>
              <w:rPr>
                <w:rFonts w:ascii="Cambria Math" w:hAnsi="Cambria Math"/>
              </w:rPr>
              <m:t>ij</m:t>
            </m:r>
          </m:sub>
        </m:sSub>
        <m:r>
          <w:rPr>
            <w:rFonts w:ascii="Cambria Math" w:hAnsi="Cambria Math"/>
          </w:rPr>
          <m:t>+(1|Dose:Treatment)+(1|Species:Dose:Treatment)</m:t>
        </m:r>
      </m:oMath>
      <w:r>
        <w:t xml:space="preserve"> </w:t>
      </w:r>
    </w:p>
    <w:p w:rsidR="00A872EC" w:rsidRDefault="00A872EC" w:rsidP="006D3B62">
      <w:pPr>
        <w:pStyle w:val="ListParagraph"/>
        <w:numPr>
          <w:ilvl w:val="0"/>
          <w:numId w:val="7"/>
        </w:numPr>
        <w:spacing w:before="100" w:beforeAutospacing="1" w:after="100" w:afterAutospacing="1" w:line="360" w:lineRule="auto"/>
      </w:pPr>
      <w:r>
        <w:t>Logit(</w:t>
      </w:r>
      <m:oMath>
        <m:sSub>
          <m:sSubPr>
            <m:ctrlPr>
              <w:rPr>
                <w:rFonts w:ascii="Cambria Math" w:hAnsi="Cambria Math"/>
                <w:i/>
              </w:rPr>
            </m:ctrlPr>
          </m:sSubPr>
          <m:e>
            <m:r>
              <w:rPr>
                <w:rFonts w:ascii="Cambria Math" w:hAnsi="Cambria Math"/>
              </w:rPr>
              <m:t>π</m:t>
            </m:r>
          </m:e>
          <m:sub>
            <m:r>
              <w:rPr>
                <w:rFonts w:ascii="Cambria Math" w:hAnsi="Cambria Math"/>
              </w:rPr>
              <m:t>ijkl</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w:t>
      </w:r>
    </w:p>
    <w:p w:rsidR="00A872EC" w:rsidRDefault="009A43FC" w:rsidP="006D3B62">
      <w:pPr>
        <w:pStyle w:val="ListParagraph"/>
        <w:numPr>
          <w:ilvl w:val="0"/>
          <w:numId w:val="7"/>
        </w:numPr>
        <w:spacing w:line="360" w:lineRule="auto"/>
        <w:jc w:val="both"/>
      </w:pPr>
      <m:oMath>
        <m:sSub>
          <m:sSubPr>
            <m:ctrlPr>
              <w:rPr>
                <w:rFonts w:ascii="Cambria Math" w:hAnsi="Cambria Math"/>
                <w:i/>
              </w:rPr>
            </m:ctrlPr>
          </m:sSubPr>
          <m:e>
            <m:r>
              <w:rPr>
                <w:rFonts w:ascii="Cambria Math" w:hAnsi="Cambria Math"/>
              </w:rPr>
              <m:t>e</m:t>
            </m:r>
          </m:e>
          <m:sub>
            <m:r>
              <w:rPr>
                <w:rFonts w:ascii="Cambria Math" w:hAnsi="Cambria Math"/>
              </w:rPr>
              <m:t>ijkl</m:t>
            </m:r>
          </m:sub>
        </m:sSub>
        <m:r>
          <w:rPr>
            <w:rFonts w:ascii="Cambria Math" w:hAnsi="Cambria Math"/>
          </w:rPr>
          <m:t xml:space="preserve"> ~ Gamma(α,  β)</m:t>
        </m:r>
      </m:oMath>
      <w:r w:rsidR="00A872EC">
        <w:t xml:space="preserve"> </w:t>
      </w:r>
    </w:p>
    <w:p w:rsidR="00A872EC" w:rsidRDefault="009A43FC" w:rsidP="006D3B62">
      <w:pPr>
        <w:spacing w:before="100" w:beforeAutospacing="1" w:after="100" w:afterAutospacing="1" w:line="360" w:lineRule="auto"/>
      </w:pPr>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A872EC">
        <w:t xml:space="preserve"> is the average measurement for the ith species, jth fungicide treatment, kth dose and ith dish.</w:t>
      </w:r>
    </w:p>
    <w:p w:rsidR="00A872EC" w:rsidRDefault="00A872EC" w:rsidP="006D3B62">
      <w:pPr>
        <w:spacing w:before="100" w:beforeAutospacing="1" w:after="100" w:afterAutospacing="1" w:line="360" w:lineRule="auto"/>
      </w:pPr>
      <m:oMath>
        <m:r>
          <w:rPr>
            <w:rFonts w:ascii="Cambria Math" w:hAnsi="Cambria Math"/>
          </w:rPr>
          <m:t>μ</m:t>
        </m:r>
      </m:oMath>
      <w:r>
        <w:t xml:space="preserve"> is the baseline log mean fungal growth</w:t>
      </w:r>
    </w:p>
    <w:p w:rsidR="00A872EC" w:rsidRDefault="009A43FC" w:rsidP="006D3B62">
      <w:pPr>
        <w:spacing w:before="100" w:beforeAutospacing="1" w:after="100" w:afterAutospacing="1" w:line="360" w:lineRule="auto"/>
      </w:pPr>
      <m:oMath>
        <m:sSub>
          <m:sSubPr>
            <m:ctrlPr>
              <w:rPr>
                <w:rFonts w:ascii="Cambria Math" w:hAnsi="Cambria Math"/>
                <w:i/>
              </w:rPr>
            </m:ctrlPr>
          </m:sSubPr>
          <m:e>
            <m:r>
              <w:rPr>
                <w:rFonts w:ascii="Cambria Math" w:hAnsi="Cambria Math"/>
              </w:rPr>
              <m:t>e</m:t>
            </m:r>
          </m:e>
          <m:sub>
            <m:r>
              <w:rPr>
                <w:rFonts w:ascii="Cambria Math" w:hAnsi="Cambria Math"/>
              </w:rPr>
              <m:t xml:space="preserve">ijkl </m:t>
            </m:r>
          </m:sub>
        </m:sSub>
      </m:oMath>
      <w:r w:rsidR="00A872EC">
        <w:t>is the overall error term.</w:t>
      </w:r>
    </w:p>
    <w:p w:rsidR="00A872EC" w:rsidRPr="00A872EC" w:rsidRDefault="00A872EC" w:rsidP="006D3B62">
      <w:pPr>
        <w:spacing w:before="100" w:beforeAutospacing="1" w:after="100" w:afterAutospacing="1" w:line="360" w:lineRule="auto"/>
        <w:rPr>
          <w:b/>
        </w:rPr>
      </w:pPr>
      <w:r w:rsidRPr="00A872EC">
        <w:rPr>
          <w:b/>
        </w:rPr>
        <w:t>Zero Inflation Model</w:t>
      </w:r>
    </w:p>
    <w:p w:rsidR="00A872EC" w:rsidRPr="00E715B0" w:rsidRDefault="009A43FC" w:rsidP="006D3B62">
      <w:pPr>
        <w:spacing w:before="100" w:beforeAutospacing="1" w:after="100" w:afterAutospacing="1" w:line="360" w:lineRule="auto"/>
      </w:pP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A872EC">
        <w:t xml:space="preserve"> is the intercept </w:t>
      </w:r>
    </w:p>
    <w:p w:rsidR="00A20655" w:rsidRDefault="00A20655" w:rsidP="00AA068C">
      <w:pPr>
        <w:rPr>
          <w:b/>
          <w:sz w:val="28"/>
          <w:szCs w:val="28"/>
        </w:rPr>
      </w:pPr>
    </w:p>
    <w:p w:rsidR="00CE42F7" w:rsidRDefault="00CE42F7" w:rsidP="00AA068C">
      <w:pPr>
        <w:rPr>
          <w:b/>
          <w:sz w:val="28"/>
          <w:szCs w:val="28"/>
        </w:rPr>
      </w:pPr>
      <w:r>
        <w:rPr>
          <w:b/>
          <w:sz w:val="28"/>
          <w:szCs w:val="28"/>
        </w:rPr>
        <w:t>Explanatory Analysis</w:t>
      </w:r>
    </w:p>
    <w:p w:rsidR="00A20655" w:rsidRDefault="00A20655" w:rsidP="006D3B62">
      <w:pPr>
        <w:spacing w:line="360" w:lineRule="auto"/>
        <w:jc w:val="both"/>
      </w:pPr>
      <w:r>
        <w:t>Figure 1 shows the distribution of fungal growth across different type of treatments. Since the fungus spreads out like a circle as they grow, four measurements were taken: from the center to the top (measurement 1), center to the right (measurement 2), center to bottom (measurement 3), and center to the left (measurement 4). Figure 1 thus shows that the mean growth across the various measurements were similar across directions, thus we took the average of the four values for each experimental unit. Figure 2 shows the average fungal growth across different treatments. The plot shows Quadris 1 active ingredient has the highest average fungal growth followed by Endura 1 active ingredient, Topguard EQ 2 active ingredient and Topguard 1 active ingredient. As also observed from figure 3, Quadris 1 active ingredient (Azoxystrobin) showed the highest median fungal growth and the greatest variability, this suggests that this treatment was less effective in fungal control compared to the other treatments. Endura 1 active ingredient (Boscalid) had the next highest median growth but exhibited slightly less variability. Topguard 1 active ingredient (Flutriafol), Topguard EQ 2 active ingredients (Flutriafol + Azoxystrobin), and DelaroComplete 3 active ingredients (Prothioconazole + Trifloxystrobin + Fluopyram) had lower median fungal growth, which suggest better overall control of fungal spread.</w:t>
      </w:r>
    </w:p>
    <w:p w:rsidR="00CE42F7" w:rsidRDefault="00E715B0" w:rsidP="00A20655">
      <w:pPr>
        <w:jc w:val="center"/>
        <w:rPr>
          <w:b/>
          <w:sz w:val="28"/>
          <w:szCs w:val="28"/>
        </w:rPr>
      </w:pPr>
      <w:r>
        <w:rPr>
          <w:b/>
          <w:noProof/>
          <w:sz w:val="28"/>
          <w:szCs w:val="28"/>
        </w:rPr>
        <w:lastRenderedPageBreak/>
        <w:drawing>
          <wp:inline distT="0" distB="0" distL="0" distR="0">
            <wp:extent cx="4762500" cy="355559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lot06.jpeg"/>
                    <pic:cNvPicPr/>
                  </pic:nvPicPr>
                  <pic:blipFill>
                    <a:blip r:embed="rId8">
                      <a:extLst>
                        <a:ext uri="{28A0092B-C50C-407E-A947-70E740481C1C}">
                          <a14:useLocalDpi xmlns:a14="http://schemas.microsoft.com/office/drawing/2010/main" val="0"/>
                        </a:ext>
                      </a:extLst>
                    </a:blip>
                    <a:stretch>
                      <a:fillRect/>
                    </a:stretch>
                  </pic:blipFill>
                  <pic:spPr>
                    <a:xfrm>
                      <a:off x="0" y="0"/>
                      <a:ext cx="4762500" cy="3555593"/>
                    </a:xfrm>
                    <a:prstGeom prst="rect">
                      <a:avLst/>
                    </a:prstGeom>
                  </pic:spPr>
                </pic:pic>
              </a:graphicData>
            </a:graphic>
          </wp:inline>
        </w:drawing>
      </w:r>
    </w:p>
    <w:p w:rsidR="00A20655" w:rsidRPr="00A20655" w:rsidRDefault="00A20655" w:rsidP="00A20655">
      <w:pPr>
        <w:jc w:val="both"/>
        <w:rPr>
          <w:i/>
          <w:sz w:val="24"/>
          <w:szCs w:val="24"/>
        </w:rPr>
      </w:pPr>
      <w:r w:rsidRPr="00A20655">
        <w:rPr>
          <w:i/>
          <w:sz w:val="24"/>
          <w:szCs w:val="24"/>
        </w:rPr>
        <w:t xml:space="preserve">Figure 1: </w:t>
      </w:r>
      <w:r>
        <w:rPr>
          <w:i/>
          <w:sz w:val="24"/>
          <w:szCs w:val="24"/>
        </w:rPr>
        <w:t xml:space="preserve">Circular </w:t>
      </w:r>
      <w:r w:rsidRPr="00A20655">
        <w:rPr>
          <w:i/>
          <w:sz w:val="24"/>
          <w:szCs w:val="24"/>
        </w:rPr>
        <w:t xml:space="preserve">plot showing the distribution of </w:t>
      </w:r>
      <w:r>
        <w:rPr>
          <w:i/>
          <w:sz w:val="24"/>
          <w:szCs w:val="24"/>
        </w:rPr>
        <w:t>fungal</w:t>
      </w:r>
      <w:r w:rsidRPr="00A20655">
        <w:rPr>
          <w:i/>
          <w:sz w:val="24"/>
          <w:szCs w:val="24"/>
        </w:rPr>
        <w:t xml:space="preserve"> growth</w:t>
      </w:r>
      <w:r>
        <w:rPr>
          <w:i/>
          <w:sz w:val="24"/>
          <w:szCs w:val="24"/>
        </w:rPr>
        <w:t xml:space="preserve"> values for each measurement taken </w:t>
      </w:r>
      <w:r w:rsidRPr="00A20655">
        <w:rPr>
          <w:i/>
          <w:sz w:val="24"/>
          <w:szCs w:val="24"/>
        </w:rPr>
        <w:t xml:space="preserve">across different fungicide treatments. </w:t>
      </w:r>
    </w:p>
    <w:p w:rsidR="009E6CB4" w:rsidRDefault="009E6CB4" w:rsidP="00A20655">
      <w:pPr>
        <w:jc w:val="center"/>
        <w:rPr>
          <w:b/>
          <w:sz w:val="28"/>
          <w:szCs w:val="28"/>
        </w:rPr>
      </w:pPr>
      <w:r>
        <w:rPr>
          <w:b/>
          <w:noProof/>
          <w:sz w:val="28"/>
          <w:szCs w:val="28"/>
        </w:rPr>
        <w:drawing>
          <wp:inline distT="0" distB="0" distL="0" distR="0" wp14:anchorId="58507725" wp14:editId="21F7AC0C">
            <wp:extent cx="4638675" cy="346314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11.jpeg"/>
                    <pic:cNvPicPr/>
                  </pic:nvPicPr>
                  <pic:blipFill>
                    <a:blip r:embed="rId9">
                      <a:extLst>
                        <a:ext uri="{28A0092B-C50C-407E-A947-70E740481C1C}">
                          <a14:useLocalDpi xmlns:a14="http://schemas.microsoft.com/office/drawing/2010/main" val="0"/>
                        </a:ext>
                      </a:extLst>
                    </a:blip>
                    <a:stretch>
                      <a:fillRect/>
                    </a:stretch>
                  </pic:blipFill>
                  <pic:spPr>
                    <a:xfrm>
                      <a:off x="0" y="0"/>
                      <a:ext cx="4638675" cy="3463147"/>
                    </a:xfrm>
                    <a:prstGeom prst="rect">
                      <a:avLst/>
                    </a:prstGeom>
                  </pic:spPr>
                </pic:pic>
              </a:graphicData>
            </a:graphic>
          </wp:inline>
        </w:drawing>
      </w:r>
    </w:p>
    <w:p w:rsidR="00A20655" w:rsidRPr="00A20655" w:rsidRDefault="00A20655" w:rsidP="00A20655">
      <w:pPr>
        <w:jc w:val="both"/>
        <w:rPr>
          <w:i/>
          <w:sz w:val="24"/>
          <w:szCs w:val="24"/>
        </w:rPr>
      </w:pPr>
      <w:r>
        <w:rPr>
          <w:i/>
          <w:sz w:val="24"/>
          <w:szCs w:val="24"/>
        </w:rPr>
        <w:t>Figure 2</w:t>
      </w:r>
      <w:r w:rsidRPr="00A20655">
        <w:rPr>
          <w:i/>
          <w:sz w:val="24"/>
          <w:szCs w:val="24"/>
        </w:rPr>
        <w:t xml:space="preserve">: </w:t>
      </w:r>
      <w:r>
        <w:rPr>
          <w:i/>
          <w:sz w:val="24"/>
          <w:szCs w:val="24"/>
        </w:rPr>
        <w:t xml:space="preserve">Circular </w:t>
      </w:r>
      <w:r w:rsidRPr="00A20655">
        <w:rPr>
          <w:i/>
          <w:sz w:val="24"/>
          <w:szCs w:val="24"/>
        </w:rPr>
        <w:t xml:space="preserve">plot showing the distribution of </w:t>
      </w:r>
      <w:r>
        <w:rPr>
          <w:i/>
          <w:sz w:val="24"/>
          <w:szCs w:val="24"/>
        </w:rPr>
        <w:t>average fungal</w:t>
      </w:r>
      <w:r w:rsidRPr="00A20655">
        <w:rPr>
          <w:i/>
          <w:sz w:val="24"/>
          <w:szCs w:val="24"/>
        </w:rPr>
        <w:t xml:space="preserve"> growth across different fungicide treatments. </w:t>
      </w:r>
    </w:p>
    <w:p w:rsidR="009E6CB4" w:rsidRDefault="009E6CB4" w:rsidP="00A20655">
      <w:pPr>
        <w:jc w:val="center"/>
        <w:rPr>
          <w:b/>
          <w:sz w:val="28"/>
          <w:szCs w:val="28"/>
        </w:rPr>
      </w:pPr>
      <w:r>
        <w:rPr>
          <w:b/>
          <w:noProof/>
          <w:sz w:val="28"/>
          <w:szCs w:val="28"/>
        </w:rPr>
        <w:lastRenderedPageBreak/>
        <w:drawing>
          <wp:inline distT="0" distB="0" distL="0" distR="0" wp14:anchorId="5D3B14F4" wp14:editId="3E9FB872">
            <wp:extent cx="4362450" cy="325692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10.jpeg"/>
                    <pic:cNvPicPr/>
                  </pic:nvPicPr>
                  <pic:blipFill>
                    <a:blip r:embed="rId10">
                      <a:extLst>
                        <a:ext uri="{28A0092B-C50C-407E-A947-70E740481C1C}">
                          <a14:useLocalDpi xmlns:a14="http://schemas.microsoft.com/office/drawing/2010/main" val="0"/>
                        </a:ext>
                      </a:extLst>
                    </a:blip>
                    <a:stretch>
                      <a:fillRect/>
                    </a:stretch>
                  </pic:blipFill>
                  <pic:spPr>
                    <a:xfrm>
                      <a:off x="0" y="0"/>
                      <a:ext cx="4381958" cy="3271487"/>
                    </a:xfrm>
                    <a:prstGeom prst="rect">
                      <a:avLst/>
                    </a:prstGeom>
                  </pic:spPr>
                </pic:pic>
              </a:graphicData>
            </a:graphic>
          </wp:inline>
        </w:drawing>
      </w:r>
    </w:p>
    <w:p w:rsidR="00A20655" w:rsidRDefault="00A20655" w:rsidP="00A20655">
      <w:pPr>
        <w:jc w:val="both"/>
        <w:rPr>
          <w:i/>
          <w:sz w:val="24"/>
          <w:szCs w:val="24"/>
        </w:rPr>
      </w:pPr>
      <w:r>
        <w:rPr>
          <w:i/>
          <w:sz w:val="24"/>
          <w:szCs w:val="24"/>
        </w:rPr>
        <w:t>Figure 3</w:t>
      </w:r>
      <w:r w:rsidRPr="00A20655">
        <w:rPr>
          <w:i/>
          <w:sz w:val="24"/>
          <w:szCs w:val="24"/>
        </w:rPr>
        <w:t xml:space="preserve">: Boxplot showing the distribution of average fungal growth measurements across different fungicide treatments. </w:t>
      </w:r>
    </w:p>
    <w:p w:rsidR="00A20655" w:rsidRDefault="00A20655" w:rsidP="00A20655">
      <w:pPr>
        <w:jc w:val="both"/>
        <w:rPr>
          <w:i/>
          <w:sz w:val="24"/>
          <w:szCs w:val="24"/>
        </w:rPr>
      </w:pPr>
    </w:p>
    <w:p w:rsidR="00A20655" w:rsidRPr="00A20655" w:rsidRDefault="00A20655" w:rsidP="006D3B62">
      <w:pPr>
        <w:spacing w:line="360" w:lineRule="auto"/>
        <w:jc w:val="both"/>
        <w:rPr>
          <w:rFonts w:eastAsia="Times New Roman" w:cstheme="minorHAnsi"/>
        </w:rPr>
      </w:pPr>
      <w:r w:rsidRPr="00A20655">
        <w:rPr>
          <w:rFonts w:cstheme="minorHAnsi"/>
        </w:rPr>
        <w:t>Figure 4 shows the distribution of fungal growth across different species. As also observed in Figure 1, the the mean growth across the various measurements were similar across directions, Figure 5 shows the average fungal growth across species. Fusarium oxysporum grows the highest, followed by Rhizoctonia solani, Fusarium solani and Diaporthe longicolla. Also, from figure 6,</w:t>
      </w:r>
      <w:r w:rsidRPr="00A20655">
        <w:rPr>
          <w:rFonts w:eastAsia="Times New Roman" w:cstheme="minorHAnsi"/>
          <w:iCs/>
        </w:rPr>
        <w:t xml:space="preserve"> we were able to confirm that</w:t>
      </w:r>
      <w:r w:rsidRPr="00A20655">
        <w:rPr>
          <w:rFonts w:eastAsia="Times New Roman" w:cstheme="minorHAnsi"/>
        </w:rPr>
        <w:t xml:space="preserve">. </w:t>
      </w:r>
      <w:r w:rsidRPr="00A20655">
        <w:rPr>
          <w:rFonts w:eastAsia="Times New Roman" w:cstheme="minorHAnsi"/>
          <w:iCs/>
        </w:rPr>
        <w:t>Fusarium oxysporum</w:t>
      </w:r>
      <w:r w:rsidRPr="00A20655">
        <w:rPr>
          <w:rFonts w:eastAsia="Times New Roman" w:cstheme="minorHAnsi"/>
        </w:rPr>
        <w:t xml:space="preserve"> has the highest growth under the experimental conditions, while </w:t>
      </w:r>
      <w:r w:rsidRPr="00A20655">
        <w:rPr>
          <w:rFonts w:eastAsia="Times New Roman" w:cstheme="minorHAnsi"/>
          <w:iCs/>
        </w:rPr>
        <w:t>Diaporthe longicolla</w:t>
      </w:r>
      <w:r w:rsidRPr="00A20655">
        <w:rPr>
          <w:rFonts w:eastAsia="Times New Roman" w:cstheme="minorHAnsi"/>
        </w:rPr>
        <w:t xml:space="preserve"> has the least.</w:t>
      </w:r>
    </w:p>
    <w:p w:rsidR="00E715B0" w:rsidRDefault="00E715B0" w:rsidP="00A20655">
      <w:pPr>
        <w:jc w:val="center"/>
        <w:rPr>
          <w:b/>
          <w:sz w:val="28"/>
          <w:szCs w:val="28"/>
        </w:rPr>
      </w:pPr>
      <w:r>
        <w:rPr>
          <w:b/>
          <w:noProof/>
          <w:sz w:val="28"/>
          <w:szCs w:val="28"/>
        </w:rPr>
        <w:lastRenderedPageBreak/>
        <w:drawing>
          <wp:inline distT="0" distB="0" distL="0" distR="0">
            <wp:extent cx="3636075" cy="2714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plot07.jpeg"/>
                    <pic:cNvPicPr/>
                  </pic:nvPicPr>
                  <pic:blipFill>
                    <a:blip r:embed="rId11">
                      <a:extLst>
                        <a:ext uri="{28A0092B-C50C-407E-A947-70E740481C1C}">
                          <a14:useLocalDpi xmlns:a14="http://schemas.microsoft.com/office/drawing/2010/main" val="0"/>
                        </a:ext>
                      </a:extLst>
                    </a:blip>
                    <a:stretch>
                      <a:fillRect/>
                    </a:stretch>
                  </pic:blipFill>
                  <pic:spPr>
                    <a:xfrm>
                      <a:off x="0" y="0"/>
                      <a:ext cx="3710947" cy="2770523"/>
                    </a:xfrm>
                    <a:prstGeom prst="rect">
                      <a:avLst/>
                    </a:prstGeom>
                  </pic:spPr>
                </pic:pic>
              </a:graphicData>
            </a:graphic>
          </wp:inline>
        </w:drawing>
      </w:r>
    </w:p>
    <w:p w:rsidR="00A20655" w:rsidRPr="00A20655" w:rsidRDefault="00A20655" w:rsidP="00A20655">
      <w:pPr>
        <w:jc w:val="both"/>
        <w:rPr>
          <w:i/>
          <w:sz w:val="24"/>
          <w:szCs w:val="24"/>
        </w:rPr>
      </w:pPr>
      <w:r>
        <w:rPr>
          <w:i/>
          <w:sz w:val="24"/>
          <w:szCs w:val="24"/>
        </w:rPr>
        <w:t>Figure 4</w:t>
      </w:r>
      <w:r w:rsidRPr="00A20655">
        <w:rPr>
          <w:i/>
          <w:sz w:val="24"/>
          <w:szCs w:val="24"/>
        </w:rPr>
        <w:t xml:space="preserve">: </w:t>
      </w:r>
      <w:r>
        <w:rPr>
          <w:i/>
          <w:sz w:val="24"/>
          <w:szCs w:val="24"/>
        </w:rPr>
        <w:t xml:space="preserve">Circular </w:t>
      </w:r>
      <w:r w:rsidRPr="00A20655">
        <w:rPr>
          <w:i/>
          <w:sz w:val="24"/>
          <w:szCs w:val="24"/>
        </w:rPr>
        <w:t xml:space="preserve">plot showing the distribution of </w:t>
      </w:r>
      <w:r>
        <w:rPr>
          <w:i/>
          <w:sz w:val="24"/>
          <w:szCs w:val="24"/>
        </w:rPr>
        <w:t>fungal</w:t>
      </w:r>
      <w:r w:rsidRPr="00A20655">
        <w:rPr>
          <w:i/>
          <w:sz w:val="24"/>
          <w:szCs w:val="24"/>
        </w:rPr>
        <w:t xml:space="preserve"> growth</w:t>
      </w:r>
      <w:r>
        <w:rPr>
          <w:i/>
          <w:sz w:val="24"/>
          <w:szCs w:val="24"/>
        </w:rPr>
        <w:t xml:space="preserve"> values for each measurement taken </w:t>
      </w:r>
      <w:r w:rsidRPr="00A20655">
        <w:rPr>
          <w:i/>
          <w:sz w:val="24"/>
          <w:szCs w:val="24"/>
        </w:rPr>
        <w:t xml:space="preserve">across different </w:t>
      </w:r>
      <w:r>
        <w:rPr>
          <w:i/>
          <w:sz w:val="24"/>
          <w:szCs w:val="24"/>
        </w:rPr>
        <w:t>species</w:t>
      </w:r>
      <w:r w:rsidRPr="00A20655">
        <w:rPr>
          <w:i/>
          <w:sz w:val="24"/>
          <w:szCs w:val="24"/>
        </w:rPr>
        <w:t xml:space="preserve">. </w:t>
      </w:r>
    </w:p>
    <w:p w:rsidR="00CE42F7" w:rsidRDefault="009E6CB4" w:rsidP="00A20655">
      <w:pPr>
        <w:jc w:val="center"/>
        <w:rPr>
          <w:b/>
          <w:sz w:val="28"/>
          <w:szCs w:val="28"/>
        </w:rPr>
      </w:pPr>
      <w:r>
        <w:rPr>
          <w:b/>
          <w:noProof/>
          <w:sz w:val="28"/>
          <w:szCs w:val="28"/>
        </w:rPr>
        <w:drawing>
          <wp:inline distT="0" distB="0" distL="0" distR="0">
            <wp:extent cx="3914775" cy="29226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13.jpeg"/>
                    <pic:cNvPicPr/>
                  </pic:nvPicPr>
                  <pic:blipFill>
                    <a:blip r:embed="rId12">
                      <a:extLst>
                        <a:ext uri="{28A0092B-C50C-407E-A947-70E740481C1C}">
                          <a14:useLocalDpi xmlns:a14="http://schemas.microsoft.com/office/drawing/2010/main" val="0"/>
                        </a:ext>
                      </a:extLst>
                    </a:blip>
                    <a:stretch>
                      <a:fillRect/>
                    </a:stretch>
                  </pic:blipFill>
                  <pic:spPr>
                    <a:xfrm>
                      <a:off x="0" y="0"/>
                      <a:ext cx="3961528" cy="2957602"/>
                    </a:xfrm>
                    <a:prstGeom prst="rect">
                      <a:avLst/>
                    </a:prstGeom>
                  </pic:spPr>
                </pic:pic>
              </a:graphicData>
            </a:graphic>
          </wp:inline>
        </w:drawing>
      </w:r>
    </w:p>
    <w:p w:rsidR="00A20655" w:rsidRPr="00A20655" w:rsidRDefault="00A20655" w:rsidP="00A20655">
      <w:pPr>
        <w:jc w:val="both"/>
        <w:rPr>
          <w:i/>
          <w:sz w:val="24"/>
          <w:szCs w:val="24"/>
        </w:rPr>
      </w:pPr>
      <w:r>
        <w:rPr>
          <w:i/>
          <w:sz w:val="24"/>
          <w:szCs w:val="24"/>
        </w:rPr>
        <w:t>Figure 5</w:t>
      </w:r>
      <w:r w:rsidRPr="00A20655">
        <w:rPr>
          <w:i/>
          <w:sz w:val="24"/>
          <w:szCs w:val="24"/>
        </w:rPr>
        <w:t xml:space="preserve">: </w:t>
      </w:r>
      <w:r>
        <w:rPr>
          <w:i/>
          <w:sz w:val="24"/>
          <w:szCs w:val="24"/>
        </w:rPr>
        <w:t xml:space="preserve">Circular </w:t>
      </w:r>
      <w:r w:rsidRPr="00A20655">
        <w:rPr>
          <w:i/>
          <w:sz w:val="24"/>
          <w:szCs w:val="24"/>
        </w:rPr>
        <w:t xml:space="preserve">plot showing the distribution of </w:t>
      </w:r>
      <w:r>
        <w:rPr>
          <w:i/>
          <w:sz w:val="24"/>
          <w:szCs w:val="24"/>
        </w:rPr>
        <w:t>average fungal</w:t>
      </w:r>
      <w:r w:rsidRPr="00A20655">
        <w:rPr>
          <w:i/>
          <w:sz w:val="24"/>
          <w:szCs w:val="24"/>
        </w:rPr>
        <w:t xml:space="preserve"> growth across different </w:t>
      </w:r>
      <w:r>
        <w:rPr>
          <w:i/>
          <w:sz w:val="24"/>
          <w:szCs w:val="24"/>
        </w:rPr>
        <w:t>species</w:t>
      </w:r>
      <w:r w:rsidRPr="00A20655">
        <w:rPr>
          <w:i/>
          <w:sz w:val="24"/>
          <w:szCs w:val="24"/>
        </w:rPr>
        <w:t xml:space="preserve">. </w:t>
      </w:r>
    </w:p>
    <w:p w:rsidR="009E6CB4" w:rsidRDefault="009E6CB4" w:rsidP="00A20655">
      <w:pPr>
        <w:jc w:val="center"/>
        <w:rPr>
          <w:b/>
          <w:sz w:val="28"/>
          <w:szCs w:val="28"/>
        </w:rPr>
      </w:pPr>
      <w:r>
        <w:rPr>
          <w:b/>
          <w:noProof/>
          <w:sz w:val="28"/>
          <w:szCs w:val="28"/>
        </w:rPr>
        <w:lastRenderedPageBreak/>
        <w:drawing>
          <wp:inline distT="0" distB="0" distL="0" distR="0">
            <wp:extent cx="3714750" cy="2773361"/>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plot14.jpeg"/>
                    <pic:cNvPicPr/>
                  </pic:nvPicPr>
                  <pic:blipFill>
                    <a:blip r:embed="rId13">
                      <a:extLst>
                        <a:ext uri="{28A0092B-C50C-407E-A947-70E740481C1C}">
                          <a14:useLocalDpi xmlns:a14="http://schemas.microsoft.com/office/drawing/2010/main" val="0"/>
                        </a:ext>
                      </a:extLst>
                    </a:blip>
                    <a:stretch>
                      <a:fillRect/>
                    </a:stretch>
                  </pic:blipFill>
                  <pic:spPr>
                    <a:xfrm>
                      <a:off x="0" y="0"/>
                      <a:ext cx="3763709" cy="2809913"/>
                    </a:xfrm>
                    <a:prstGeom prst="rect">
                      <a:avLst/>
                    </a:prstGeom>
                  </pic:spPr>
                </pic:pic>
              </a:graphicData>
            </a:graphic>
          </wp:inline>
        </w:drawing>
      </w:r>
    </w:p>
    <w:p w:rsidR="009E6CB4" w:rsidRPr="00A20655" w:rsidRDefault="00A20655" w:rsidP="00A20655">
      <w:pPr>
        <w:jc w:val="both"/>
        <w:rPr>
          <w:i/>
          <w:sz w:val="24"/>
          <w:szCs w:val="24"/>
        </w:rPr>
      </w:pPr>
      <w:r>
        <w:rPr>
          <w:i/>
          <w:sz w:val="24"/>
          <w:szCs w:val="24"/>
        </w:rPr>
        <w:t>Figure 6</w:t>
      </w:r>
      <w:r w:rsidRPr="00A20655">
        <w:rPr>
          <w:i/>
          <w:sz w:val="24"/>
          <w:szCs w:val="24"/>
        </w:rPr>
        <w:t>: Boxplot showing the distribution of average fungal growt</w:t>
      </w:r>
      <w:r>
        <w:rPr>
          <w:i/>
          <w:sz w:val="24"/>
          <w:szCs w:val="24"/>
        </w:rPr>
        <w:t>h measurements across species.</w:t>
      </w:r>
      <w:r w:rsidRPr="00A20655">
        <w:rPr>
          <w:i/>
          <w:sz w:val="24"/>
          <w:szCs w:val="24"/>
        </w:rPr>
        <w:t xml:space="preserve"> </w:t>
      </w:r>
    </w:p>
    <w:p w:rsidR="00A20655" w:rsidRDefault="00A20655" w:rsidP="00A20655">
      <w:pPr>
        <w:jc w:val="both"/>
      </w:pPr>
      <w:r>
        <w:t>Figure 7 shows the distribution of average fungal growth measurements across different fungicide dose levels, split by fungal species. For Diaporthe longicolla species, the following dose: 6.292, 5.7975, 4.9128, 0.6292, 0.57975, 0.49128, 0.06292, and 0.057975, resulted in complete death of fungal growth, as shown by an absence of measured growth i.e. growth = 0. Also, for Fusarium solani, the following doses: 6.292, 0.6292, and 0.06292 completely killed the development of the fungus. However, for Fusarium oxysporum, we saw some resistance to the fungicide treatment dose as there were observable groth of the fungus across all dose level. Same was also observed for Rhizotonia solani.</w:t>
      </w:r>
    </w:p>
    <w:p w:rsidR="00A20655" w:rsidRPr="00A20655" w:rsidRDefault="00A20655" w:rsidP="00A20655">
      <w:pPr>
        <w:rPr>
          <w:i/>
          <w:sz w:val="24"/>
          <w:szCs w:val="24"/>
        </w:rPr>
      </w:pPr>
      <w:r>
        <w:rPr>
          <w:b/>
          <w:noProof/>
          <w:sz w:val="28"/>
          <w:szCs w:val="28"/>
        </w:rPr>
        <w:drawing>
          <wp:inline distT="0" distB="0" distL="0" distR="0" wp14:anchorId="15C55750" wp14:editId="4EB35FFE">
            <wp:extent cx="4029075" cy="3008033"/>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plot15.jpeg"/>
                    <pic:cNvPicPr/>
                  </pic:nvPicPr>
                  <pic:blipFill>
                    <a:blip r:embed="rId14">
                      <a:extLst>
                        <a:ext uri="{28A0092B-C50C-407E-A947-70E740481C1C}">
                          <a14:useLocalDpi xmlns:a14="http://schemas.microsoft.com/office/drawing/2010/main" val="0"/>
                        </a:ext>
                      </a:extLst>
                    </a:blip>
                    <a:stretch>
                      <a:fillRect/>
                    </a:stretch>
                  </pic:blipFill>
                  <pic:spPr>
                    <a:xfrm>
                      <a:off x="0" y="0"/>
                      <a:ext cx="4130185" cy="3083520"/>
                    </a:xfrm>
                    <a:prstGeom prst="rect">
                      <a:avLst/>
                    </a:prstGeom>
                  </pic:spPr>
                </pic:pic>
              </a:graphicData>
            </a:graphic>
          </wp:inline>
        </w:drawing>
      </w:r>
      <w:r>
        <w:rPr>
          <w:i/>
          <w:sz w:val="24"/>
          <w:szCs w:val="24"/>
        </w:rPr>
        <w:br/>
        <w:t>Figure 7</w:t>
      </w:r>
      <w:r w:rsidRPr="00A20655">
        <w:rPr>
          <w:i/>
          <w:sz w:val="24"/>
          <w:szCs w:val="24"/>
        </w:rPr>
        <w:t xml:space="preserve">: Boxplot showing the distribution of average fungal growth measurements across different </w:t>
      </w:r>
      <w:r>
        <w:rPr>
          <w:i/>
          <w:sz w:val="24"/>
          <w:szCs w:val="24"/>
        </w:rPr>
        <w:t>doses for each species.</w:t>
      </w:r>
      <w:r>
        <w:rPr>
          <w:i/>
          <w:sz w:val="24"/>
          <w:szCs w:val="24"/>
        </w:rPr>
        <w:br/>
      </w:r>
    </w:p>
    <w:p w:rsidR="009E6CB4" w:rsidRPr="00A20655" w:rsidRDefault="00A20655" w:rsidP="00A20655">
      <w:pPr>
        <w:jc w:val="both"/>
      </w:pPr>
      <w:r>
        <w:lastRenderedPageBreak/>
        <w:t xml:space="preserve">Figure 8 shows the distribution of average fungal growth across different fungicide dose levels, split by fungicide treatment.  This plot showed that specific dose was used in each of the treatment, this showed the nested structure of dose within treatment. From the plot, we observed that across all the treatments, fungal growth decreased with increase in the level of the fungicide dose. </w:t>
      </w:r>
    </w:p>
    <w:p w:rsidR="009E6CB4" w:rsidRDefault="009E6CB4" w:rsidP="00A20655">
      <w:pPr>
        <w:jc w:val="center"/>
        <w:rPr>
          <w:b/>
          <w:sz w:val="28"/>
          <w:szCs w:val="28"/>
        </w:rPr>
      </w:pPr>
      <w:r>
        <w:rPr>
          <w:b/>
          <w:noProof/>
          <w:sz w:val="28"/>
          <w:szCs w:val="28"/>
        </w:rPr>
        <w:drawing>
          <wp:inline distT="0" distB="0" distL="0" distR="0">
            <wp:extent cx="4619625" cy="34489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plot16.jpeg"/>
                    <pic:cNvPicPr/>
                  </pic:nvPicPr>
                  <pic:blipFill>
                    <a:blip r:embed="rId15">
                      <a:extLst>
                        <a:ext uri="{28A0092B-C50C-407E-A947-70E740481C1C}">
                          <a14:useLocalDpi xmlns:a14="http://schemas.microsoft.com/office/drawing/2010/main" val="0"/>
                        </a:ext>
                      </a:extLst>
                    </a:blip>
                    <a:stretch>
                      <a:fillRect/>
                    </a:stretch>
                  </pic:blipFill>
                  <pic:spPr>
                    <a:xfrm>
                      <a:off x="0" y="0"/>
                      <a:ext cx="4659101" cy="3478398"/>
                    </a:xfrm>
                    <a:prstGeom prst="rect">
                      <a:avLst/>
                    </a:prstGeom>
                  </pic:spPr>
                </pic:pic>
              </a:graphicData>
            </a:graphic>
          </wp:inline>
        </w:drawing>
      </w:r>
    </w:p>
    <w:p w:rsidR="00A20655" w:rsidRDefault="00A20655" w:rsidP="00A20655">
      <w:pPr>
        <w:rPr>
          <w:i/>
          <w:sz w:val="24"/>
          <w:szCs w:val="24"/>
        </w:rPr>
      </w:pPr>
      <w:r>
        <w:rPr>
          <w:i/>
          <w:sz w:val="24"/>
          <w:szCs w:val="24"/>
        </w:rPr>
        <w:t>Figure 8</w:t>
      </w:r>
      <w:r w:rsidRPr="00A20655">
        <w:rPr>
          <w:i/>
          <w:sz w:val="24"/>
          <w:szCs w:val="24"/>
        </w:rPr>
        <w:t xml:space="preserve">: Boxplot showing the distribution of average fungal growth measurements across </w:t>
      </w:r>
    </w:p>
    <w:p w:rsidR="00A20655" w:rsidRDefault="00A20655" w:rsidP="00A20655">
      <w:pPr>
        <w:jc w:val="both"/>
        <w:rPr>
          <w:b/>
          <w:sz w:val="28"/>
          <w:szCs w:val="28"/>
        </w:rPr>
      </w:pPr>
      <w:r>
        <w:t xml:space="preserve">Figure 9 shows the </w:t>
      </w:r>
      <w:r w:rsidRPr="00A20655">
        <w:t>histogram of the average fungal measurements</w:t>
      </w:r>
      <w:r>
        <w:t xml:space="preserve">. The distribution is </w:t>
      </w:r>
      <w:r w:rsidRPr="00A20655">
        <w:t>right-skewed, with a high concentration of observations cl</w:t>
      </w:r>
      <w:r>
        <w:t xml:space="preserve">ustered at lower growth values. </w:t>
      </w:r>
    </w:p>
    <w:p w:rsidR="00A20655" w:rsidRDefault="00A20655" w:rsidP="00A20655">
      <w:pPr>
        <w:jc w:val="center"/>
        <w:rPr>
          <w:b/>
          <w:sz w:val="28"/>
          <w:szCs w:val="28"/>
        </w:rPr>
      </w:pPr>
      <w:r>
        <w:rPr>
          <w:b/>
          <w:noProof/>
          <w:sz w:val="28"/>
          <w:szCs w:val="28"/>
        </w:rPr>
        <w:drawing>
          <wp:inline distT="0" distB="0" distL="0" distR="0" wp14:anchorId="189FFE31" wp14:editId="4CE7697A">
            <wp:extent cx="3543300" cy="264535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08.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71956" cy="2666753"/>
                    </a:xfrm>
                    <a:prstGeom prst="rect">
                      <a:avLst/>
                    </a:prstGeom>
                  </pic:spPr>
                </pic:pic>
              </a:graphicData>
            </a:graphic>
          </wp:inline>
        </w:drawing>
      </w:r>
    </w:p>
    <w:p w:rsidR="00A20655" w:rsidRDefault="00A20655" w:rsidP="00AA068C">
      <w:pPr>
        <w:rPr>
          <w:b/>
          <w:sz w:val="28"/>
          <w:szCs w:val="28"/>
        </w:rPr>
      </w:pPr>
      <w:r>
        <w:t>Figure 9: Histogram of</w:t>
      </w:r>
      <w:r w:rsidRPr="00A20655">
        <w:t xml:space="preserve"> average fungal measurements</w:t>
      </w:r>
    </w:p>
    <w:p w:rsidR="00AA068C" w:rsidRDefault="00CE42F7" w:rsidP="00AA068C">
      <w:pPr>
        <w:rPr>
          <w:b/>
          <w:sz w:val="28"/>
          <w:szCs w:val="28"/>
        </w:rPr>
      </w:pPr>
      <w:r>
        <w:rPr>
          <w:b/>
          <w:sz w:val="28"/>
          <w:szCs w:val="28"/>
        </w:rPr>
        <w:lastRenderedPageBreak/>
        <w:t>Advanced Analysis</w:t>
      </w:r>
    </w:p>
    <w:p w:rsidR="00DB6282" w:rsidRPr="00DB6282" w:rsidRDefault="00DB6282" w:rsidP="00DB6282">
      <w:r w:rsidRPr="00DB6282">
        <w:t>The major goal of performing this experiment is to determine the effectiveness of fungicides against resistant pathogens</w:t>
      </w:r>
      <w:r>
        <w:t>.</w:t>
      </w:r>
    </w:p>
    <w:p w:rsidR="00C37309" w:rsidRPr="00C37309" w:rsidRDefault="00C37309" w:rsidP="00C70799">
      <w:pPr>
        <w:rPr>
          <w:b/>
        </w:rPr>
      </w:pPr>
      <w:r w:rsidRPr="00C37309">
        <w:rPr>
          <w:b/>
        </w:rPr>
        <w:t xml:space="preserve">Random Effect Structure: </w:t>
      </w:r>
    </w:p>
    <w:p w:rsidR="00C37309" w:rsidRDefault="00C37309" w:rsidP="00C70799">
      <w:r>
        <w:t>This part of the result shows the nested structure variability in both the conditional and the zero-inflated model.</w:t>
      </w:r>
    </w:p>
    <w:p w:rsidR="00CC4247" w:rsidRPr="00CC4247" w:rsidRDefault="00C37309" w:rsidP="00C37309">
      <w:pPr>
        <w:rPr>
          <w:b/>
        </w:rPr>
      </w:pPr>
      <w:r w:rsidRPr="00C37309">
        <w:rPr>
          <w:b/>
        </w:rPr>
        <w:t>Conditional Model Variance Components:</w:t>
      </w:r>
    </w:p>
    <w:p w:rsidR="00CC4247" w:rsidRPr="00C37309" w:rsidRDefault="00CC4247" w:rsidP="00C37309">
      <w:pPr>
        <w:rPr>
          <w:b/>
        </w:rPr>
      </w:pPr>
      <w:r>
        <w:rPr>
          <w:noProof/>
        </w:rPr>
        <w:drawing>
          <wp:inline distT="0" distB="0" distL="0" distR="0" wp14:anchorId="43F4842D" wp14:editId="364E9DD1">
            <wp:extent cx="5524500" cy="154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4500" cy="1543050"/>
                    </a:xfrm>
                    <a:prstGeom prst="rect">
                      <a:avLst/>
                    </a:prstGeom>
                  </pic:spPr>
                </pic:pic>
              </a:graphicData>
            </a:graphic>
          </wp:inline>
        </w:drawing>
      </w:r>
    </w:p>
    <w:p w:rsidR="00C37309" w:rsidRPr="00C37309" w:rsidRDefault="00C37309" w:rsidP="00C37309">
      <w:pPr>
        <w:rPr>
          <w:i/>
        </w:rPr>
      </w:pPr>
      <w:r w:rsidRPr="00C37309">
        <w:rPr>
          <w:i/>
        </w:rPr>
        <w:t>Dose:Treatments: Variance = 0.3823 (SD = 0.6183)</w:t>
      </w:r>
    </w:p>
    <w:p w:rsidR="00C37309" w:rsidRDefault="00C37309" w:rsidP="00C37309">
      <w:pPr>
        <w:rPr>
          <w:i/>
        </w:rPr>
      </w:pPr>
      <w:r w:rsidRPr="00C37309">
        <w:rPr>
          <w:i/>
        </w:rPr>
        <w:t>Species:Dose:Treatments: Variance = 0.1007 (SD = 0.3173)</w:t>
      </w:r>
    </w:p>
    <w:p w:rsidR="00570D0A" w:rsidRDefault="00C37309" w:rsidP="00A639E7">
      <w:pPr>
        <w:jc w:val="both"/>
      </w:pPr>
      <w:r>
        <w:t>This result shows the variability in the</w:t>
      </w:r>
      <w:r w:rsidR="00B4647C">
        <w:t xml:space="preserve"> pathogens</w:t>
      </w:r>
      <w:r>
        <w:t xml:space="preserve"> </w:t>
      </w:r>
      <w:r w:rsidR="00B4647C">
        <w:t>growth</w:t>
      </w:r>
      <w:r>
        <w:t xml:space="preserve"> for dose nested in treatment and also for species crossed </w:t>
      </w:r>
      <w:r w:rsidR="00B4647C">
        <w:t xml:space="preserve">with </w:t>
      </w:r>
      <w:r>
        <w:t>treatment</w:t>
      </w:r>
      <w:r w:rsidR="00B4647C">
        <w:t xml:space="preserve"> nested within dose</w:t>
      </w:r>
      <w:r w:rsidR="00476434">
        <w:t xml:space="preserve"> i.e. variability in how each species respond to the different fungicide (dose treatment combination)</w:t>
      </w:r>
      <w:r w:rsidR="00B4647C">
        <w:t xml:space="preserve">. </w:t>
      </w:r>
      <w:r w:rsidR="00B4647C" w:rsidRPr="00B4647C">
        <w:t>The variation in the growth of the pathogens due to the random effect of dose ne</w:t>
      </w:r>
      <w:r w:rsidR="00B4647C">
        <w:t>sted within treatments is 0.3823</w:t>
      </w:r>
      <w:r w:rsidR="00B4647C" w:rsidRPr="00B4647C">
        <w:t xml:space="preserve"> and the variation in the growth of the pathogens due to the random effect of species crossed with treatme</w:t>
      </w:r>
      <w:r w:rsidR="00B4647C">
        <w:t>nts nested within dose is 0.1007</w:t>
      </w:r>
      <w:r w:rsidR="00B4647C" w:rsidRPr="00B4647C">
        <w:t>.</w:t>
      </w:r>
    </w:p>
    <w:p w:rsidR="000958BA" w:rsidRDefault="00476434" w:rsidP="0041531A">
      <w:pPr>
        <w:jc w:val="both"/>
        <w:rPr>
          <w:b/>
        </w:rPr>
      </w:pPr>
      <w:r w:rsidRPr="00476434">
        <w:rPr>
          <w:b/>
        </w:rPr>
        <w:t>Fixed Effect Structure:</w:t>
      </w:r>
    </w:p>
    <w:p w:rsidR="000958BA" w:rsidRDefault="000958BA" w:rsidP="0041531A">
      <w:pPr>
        <w:jc w:val="both"/>
        <w:rPr>
          <w:b/>
        </w:rPr>
      </w:pPr>
      <w:r>
        <w:rPr>
          <w:noProof/>
        </w:rPr>
        <w:drawing>
          <wp:inline distT="0" distB="0" distL="0" distR="0" wp14:anchorId="2D5B87D9" wp14:editId="02A4D146">
            <wp:extent cx="4505325" cy="1438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5325" cy="1438275"/>
                    </a:xfrm>
                    <a:prstGeom prst="rect">
                      <a:avLst/>
                    </a:prstGeom>
                  </pic:spPr>
                </pic:pic>
              </a:graphicData>
            </a:graphic>
          </wp:inline>
        </w:drawing>
      </w:r>
    </w:p>
    <w:p w:rsidR="00F14031" w:rsidRDefault="00F14031" w:rsidP="0041531A">
      <w:pPr>
        <w:jc w:val="both"/>
      </w:pPr>
    </w:p>
    <w:p w:rsidR="00476082" w:rsidRPr="00FD166A" w:rsidRDefault="00476082" w:rsidP="00476082">
      <w:pPr>
        <w:jc w:val="both"/>
      </w:pPr>
      <w:r w:rsidRPr="00FD166A">
        <w:t>The result above shows the ANOVA table for the effect of species, treatments and the interaction between treatments and species for the gamma regression section of the zero-inflated model.</w:t>
      </w:r>
      <w:r>
        <w:t xml:space="preserve"> The result showed that a marginal significant interaction between species and treatment (p &gt; 0.05). We looked further to see which of the treatment and species combination differs in growth.</w:t>
      </w:r>
    </w:p>
    <w:p w:rsidR="00476082" w:rsidRDefault="00476082" w:rsidP="00476082">
      <w:pPr>
        <w:jc w:val="both"/>
      </w:pPr>
      <w:r>
        <w:lastRenderedPageBreak/>
        <w:t>The table below shows the interaction between fungal species and different treatment with respect to their average growth. The result showed a statistically significant interaction between fusarium oxysporum species and asoxystrobin treatments (p = 0.0115).</w:t>
      </w:r>
    </w:p>
    <w:p w:rsidR="00476082" w:rsidRDefault="00476082" w:rsidP="00476082">
      <w:pPr>
        <w:jc w:val="both"/>
      </w:pPr>
      <w:r>
        <w:t>Table: Interaction between</w:t>
      </w:r>
      <w:r w:rsidRPr="00E408AB">
        <w:t xml:space="preserve"> Species and Treatments on Average Growth</w:t>
      </w:r>
    </w:p>
    <w:tbl>
      <w:tblPr>
        <w:tblW w:w="10043" w:type="dxa"/>
        <w:tblLook w:val="04A0" w:firstRow="1" w:lastRow="0" w:firstColumn="1" w:lastColumn="0" w:noHBand="0" w:noVBand="1"/>
      </w:tblPr>
      <w:tblGrid>
        <w:gridCol w:w="2740"/>
        <w:gridCol w:w="2103"/>
        <w:gridCol w:w="449"/>
        <w:gridCol w:w="1303"/>
        <w:gridCol w:w="809"/>
        <w:gridCol w:w="809"/>
        <w:gridCol w:w="809"/>
        <w:gridCol w:w="1021"/>
      </w:tblGrid>
      <w:tr w:rsidR="00476082" w:rsidRPr="00FD166A" w:rsidTr="009A43FC">
        <w:trPr>
          <w:trHeight w:val="271"/>
        </w:trPr>
        <w:tc>
          <w:tcPr>
            <w:tcW w:w="2740" w:type="dxa"/>
            <w:tcBorders>
              <w:top w:val="single" w:sz="4" w:space="0" w:color="auto"/>
              <w:left w:val="nil"/>
              <w:bottom w:val="single" w:sz="4" w:space="0" w:color="auto"/>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Species</w:t>
            </w:r>
          </w:p>
        </w:tc>
        <w:tc>
          <w:tcPr>
            <w:tcW w:w="2103" w:type="dxa"/>
            <w:tcBorders>
              <w:top w:val="single" w:sz="4" w:space="0" w:color="auto"/>
              <w:left w:val="nil"/>
              <w:bottom w:val="single" w:sz="4" w:space="0" w:color="auto"/>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Treatments</w:t>
            </w:r>
          </w:p>
        </w:tc>
        <w:tc>
          <w:tcPr>
            <w:tcW w:w="449" w:type="dxa"/>
            <w:tcBorders>
              <w:top w:val="single" w:sz="4" w:space="0" w:color="auto"/>
              <w:left w:val="nil"/>
              <w:bottom w:val="single" w:sz="4" w:space="0" w:color="auto"/>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df</w:t>
            </w:r>
          </w:p>
        </w:tc>
        <w:tc>
          <w:tcPr>
            <w:tcW w:w="1303" w:type="dxa"/>
            <w:tcBorders>
              <w:top w:val="single" w:sz="4" w:space="0" w:color="auto"/>
              <w:left w:val="nil"/>
              <w:bottom w:val="single" w:sz="4" w:space="0" w:color="auto"/>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Pr>
                <w:rFonts w:ascii="Calibri" w:eastAsia="Times New Roman" w:hAnsi="Calibri" w:cs="Calibri"/>
                <w:color w:val="000000"/>
              </w:rPr>
              <w:t>Average Growth</w:t>
            </w:r>
          </w:p>
        </w:tc>
        <w:tc>
          <w:tcPr>
            <w:tcW w:w="809" w:type="dxa"/>
            <w:tcBorders>
              <w:top w:val="single" w:sz="4" w:space="0" w:color="auto"/>
              <w:left w:val="nil"/>
              <w:bottom w:val="single" w:sz="4" w:space="0" w:color="auto"/>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SE</w:t>
            </w:r>
          </w:p>
        </w:tc>
        <w:tc>
          <w:tcPr>
            <w:tcW w:w="809" w:type="dxa"/>
            <w:tcBorders>
              <w:top w:val="single" w:sz="4" w:space="0" w:color="auto"/>
              <w:left w:val="nil"/>
              <w:bottom w:val="single" w:sz="4" w:space="0" w:color="auto"/>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LCL</w:t>
            </w:r>
          </w:p>
        </w:tc>
        <w:tc>
          <w:tcPr>
            <w:tcW w:w="809" w:type="dxa"/>
            <w:tcBorders>
              <w:top w:val="single" w:sz="4" w:space="0" w:color="auto"/>
              <w:left w:val="nil"/>
              <w:bottom w:val="single" w:sz="4" w:space="0" w:color="auto"/>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UCL</w:t>
            </w:r>
          </w:p>
        </w:tc>
        <w:tc>
          <w:tcPr>
            <w:tcW w:w="1021" w:type="dxa"/>
            <w:tcBorders>
              <w:top w:val="single" w:sz="4" w:space="0" w:color="auto"/>
              <w:left w:val="nil"/>
              <w:bottom w:val="single" w:sz="4" w:space="0" w:color="auto"/>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p</w:t>
            </w:r>
          </w:p>
        </w:tc>
      </w:tr>
      <w:tr w:rsidR="00476082" w:rsidRPr="00FD166A" w:rsidTr="009A43FC">
        <w:trPr>
          <w:trHeight w:val="271"/>
        </w:trPr>
        <w:tc>
          <w:tcPr>
            <w:tcW w:w="2740"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Diaporthe longicolla</w:t>
            </w:r>
          </w:p>
        </w:tc>
        <w:tc>
          <w:tcPr>
            <w:tcW w:w="2103"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(Proth+Trif+Fluop)</w:t>
            </w:r>
          </w:p>
        </w:tc>
        <w:tc>
          <w:tcPr>
            <w:tcW w:w="44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3</w:t>
            </w:r>
          </w:p>
        </w:tc>
        <w:tc>
          <w:tcPr>
            <w:tcW w:w="1303"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1.96</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1.01</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0.711</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5.38</w:t>
            </w:r>
          </w:p>
        </w:tc>
        <w:tc>
          <w:tcPr>
            <w:tcW w:w="1021"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0.4564</w:t>
            </w:r>
          </w:p>
        </w:tc>
      </w:tr>
      <w:tr w:rsidR="00476082" w:rsidRPr="00FD166A" w:rsidTr="009A43FC">
        <w:trPr>
          <w:trHeight w:val="271"/>
        </w:trPr>
        <w:tc>
          <w:tcPr>
            <w:tcW w:w="2740"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Fusarium oxysporum</w:t>
            </w:r>
          </w:p>
        </w:tc>
        <w:tc>
          <w:tcPr>
            <w:tcW w:w="2103"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(Proth+Trif+Fluop)</w:t>
            </w:r>
          </w:p>
        </w:tc>
        <w:tc>
          <w:tcPr>
            <w:tcW w:w="44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3</w:t>
            </w:r>
          </w:p>
        </w:tc>
        <w:tc>
          <w:tcPr>
            <w:tcW w:w="1303"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2.2</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0.78</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1.098</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4.41</w:t>
            </w:r>
          </w:p>
        </w:tc>
        <w:tc>
          <w:tcPr>
            <w:tcW w:w="1021"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0.4081</w:t>
            </w:r>
          </w:p>
        </w:tc>
      </w:tr>
      <w:tr w:rsidR="00476082" w:rsidRPr="00FD166A" w:rsidTr="009A43FC">
        <w:trPr>
          <w:trHeight w:val="271"/>
        </w:trPr>
        <w:tc>
          <w:tcPr>
            <w:tcW w:w="2740"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Fusarium solani</w:t>
            </w:r>
          </w:p>
        </w:tc>
        <w:tc>
          <w:tcPr>
            <w:tcW w:w="2103"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(Proth+Trif+Fluop)</w:t>
            </w:r>
          </w:p>
        </w:tc>
        <w:tc>
          <w:tcPr>
            <w:tcW w:w="44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3</w:t>
            </w:r>
          </w:p>
        </w:tc>
        <w:tc>
          <w:tcPr>
            <w:tcW w:w="1303"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1.2</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0.618</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0.435</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3.29</w:t>
            </w:r>
          </w:p>
        </w:tc>
        <w:tc>
          <w:tcPr>
            <w:tcW w:w="1021"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0.1263</w:t>
            </w:r>
          </w:p>
        </w:tc>
      </w:tr>
      <w:tr w:rsidR="00476082" w:rsidRPr="00FD166A" w:rsidTr="009A43FC">
        <w:trPr>
          <w:trHeight w:val="271"/>
        </w:trPr>
        <w:tc>
          <w:tcPr>
            <w:tcW w:w="2740"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Rhizoctonia solani</w:t>
            </w:r>
          </w:p>
        </w:tc>
        <w:tc>
          <w:tcPr>
            <w:tcW w:w="2103"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(Proth+Trif+Fluop)</w:t>
            </w:r>
          </w:p>
        </w:tc>
        <w:tc>
          <w:tcPr>
            <w:tcW w:w="44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3</w:t>
            </w:r>
          </w:p>
        </w:tc>
        <w:tc>
          <w:tcPr>
            <w:tcW w:w="1303"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2.05</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0.778</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0.975</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4.31</w:t>
            </w:r>
          </w:p>
        </w:tc>
        <w:tc>
          <w:tcPr>
            <w:tcW w:w="1021"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0.3553</w:t>
            </w:r>
          </w:p>
        </w:tc>
      </w:tr>
      <w:tr w:rsidR="00476082" w:rsidRPr="00FD166A" w:rsidTr="009A43FC">
        <w:trPr>
          <w:trHeight w:val="271"/>
        </w:trPr>
        <w:tc>
          <w:tcPr>
            <w:tcW w:w="2740" w:type="dxa"/>
            <w:tcBorders>
              <w:top w:val="single" w:sz="4" w:space="0" w:color="auto"/>
              <w:left w:val="nil"/>
              <w:bottom w:val="nil"/>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Diaporthe longicolla</w:t>
            </w:r>
          </w:p>
        </w:tc>
        <w:tc>
          <w:tcPr>
            <w:tcW w:w="2103" w:type="dxa"/>
            <w:tcBorders>
              <w:top w:val="single" w:sz="4" w:space="0" w:color="auto"/>
              <w:left w:val="nil"/>
              <w:bottom w:val="nil"/>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(Boscalid)</w:t>
            </w:r>
          </w:p>
        </w:tc>
        <w:tc>
          <w:tcPr>
            <w:tcW w:w="449" w:type="dxa"/>
            <w:tcBorders>
              <w:top w:val="single" w:sz="4" w:space="0" w:color="auto"/>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w:t>
            </w:r>
          </w:p>
        </w:tc>
        <w:tc>
          <w:tcPr>
            <w:tcW w:w="1303" w:type="dxa"/>
            <w:tcBorders>
              <w:top w:val="single" w:sz="4" w:space="0" w:color="auto"/>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3.31</w:t>
            </w:r>
          </w:p>
        </w:tc>
        <w:tc>
          <w:tcPr>
            <w:tcW w:w="809" w:type="dxa"/>
            <w:tcBorders>
              <w:top w:val="single" w:sz="4" w:space="0" w:color="auto"/>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1.17</w:t>
            </w:r>
          </w:p>
        </w:tc>
        <w:tc>
          <w:tcPr>
            <w:tcW w:w="809" w:type="dxa"/>
            <w:tcBorders>
              <w:top w:val="single" w:sz="4" w:space="0" w:color="auto"/>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1.651</w:t>
            </w:r>
          </w:p>
        </w:tc>
        <w:tc>
          <w:tcPr>
            <w:tcW w:w="809" w:type="dxa"/>
            <w:tcBorders>
              <w:top w:val="single" w:sz="4" w:space="0" w:color="auto"/>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6.62</w:t>
            </w:r>
          </w:p>
        </w:tc>
        <w:tc>
          <w:tcPr>
            <w:tcW w:w="1021" w:type="dxa"/>
            <w:tcBorders>
              <w:top w:val="single" w:sz="4" w:space="0" w:color="auto"/>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0.9614</w:t>
            </w:r>
          </w:p>
        </w:tc>
      </w:tr>
      <w:tr w:rsidR="00476082" w:rsidRPr="00FD166A" w:rsidTr="009A43FC">
        <w:trPr>
          <w:trHeight w:val="271"/>
        </w:trPr>
        <w:tc>
          <w:tcPr>
            <w:tcW w:w="2740"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Fusarium oxysporum</w:t>
            </w:r>
          </w:p>
        </w:tc>
        <w:tc>
          <w:tcPr>
            <w:tcW w:w="2103"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(Boscalid)</w:t>
            </w:r>
          </w:p>
        </w:tc>
        <w:tc>
          <w:tcPr>
            <w:tcW w:w="44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w:t>
            </w:r>
          </w:p>
        </w:tc>
        <w:tc>
          <w:tcPr>
            <w:tcW w:w="1303"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6.52</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2.31</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3.255</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13.06</w:t>
            </w:r>
          </w:p>
        </w:tc>
        <w:tc>
          <w:tcPr>
            <w:tcW w:w="1021"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0.1217</w:t>
            </w:r>
          </w:p>
        </w:tc>
      </w:tr>
      <w:tr w:rsidR="00476082" w:rsidRPr="00FD166A" w:rsidTr="009A43FC">
        <w:trPr>
          <w:trHeight w:val="271"/>
        </w:trPr>
        <w:tc>
          <w:tcPr>
            <w:tcW w:w="2740"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Fusarium solani</w:t>
            </w:r>
          </w:p>
        </w:tc>
        <w:tc>
          <w:tcPr>
            <w:tcW w:w="2103"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(Boscalid)</w:t>
            </w:r>
          </w:p>
        </w:tc>
        <w:tc>
          <w:tcPr>
            <w:tcW w:w="44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w:t>
            </w:r>
          </w:p>
        </w:tc>
        <w:tc>
          <w:tcPr>
            <w:tcW w:w="1303"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3.58</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1.27</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1.787</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7.17</w:t>
            </w:r>
          </w:p>
        </w:tc>
        <w:tc>
          <w:tcPr>
            <w:tcW w:w="1021"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0.8737</w:t>
            </w:r>
          </w:p>
        </w:tc>
      </w:tr>
      <w:tr w:rsidR="00476082" w:rsidRPr="00FD166A" w:rsidTr="009A43FC">
        <w:trPr>
          <w:trHeight w:val="271"/>
        </w:trPr>
        <w:tc>
          <w:tcPr>
            <w:tcW w:w="2740" w:type="dxa"/>
            <w:tcBorders>
              <w:top w:val="nil"/>
              <w:left w:val="nil"/>
              <w:bottom w:val="single" w:sz="4" w:space="0" w:color="auto"/>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Rhizoctonia solani</w:t>
            </w:r>
          </w:p>
        </w:tc>
        <w:tc>
          <w:tcPr>
            <w:tcW w:w="2103" w:type="dxa"/>
            <w:tcBorders>
              <w:top w:val="nil"/>
              <w:left w:val="nil"/>
              <w:bottom w:val="single" w:sz="4" w:space="0" w:color="auto"/>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(Boscalid)</w:t>
            </w:r>
          </w:p>
        </w:tc>
        <w:tc>
          <w:tcPr>
            <w:tcW w:w="449" w:type="dxa"/>
            <w:tcBorders>
              <w:top w:val="nil"/>
              <w:left w:val="nil"/>
              <w:bottom w:val="single" w:sz="4" w:space="0" w:color="auto"/>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w:t>
            </w:r>
          </w:p>
        </w:tc>
        <w:tc>
          <w:tcPr>
            <w:tcW w:w="1303" w:type="dxa"/>
            <w:tcBorders>
              <w:top w:val="nil"/>
              <w:left w:val="nil"/>
              <w:bottom w:val="single" w:sz="4" w:space="0" w:color="auto"/>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5.61</w:t>
            </w:r>
          </w:p>
        </w:tc>
        <w:tc>
          <w:tcPr>
            <w:tcW w:w="809" w:type="dxa"/>
            <w:tcBorders>
              <w:top w:val="nil"/>
              <w:left w:val="nil"/>
              <w:bottom w:val="single" w:sz="4" w:space="0" w:color="auto"/>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1.99</w:t>
            </w:r>
          </w:p>
        </w:tc>
        <w:tc>
          <w:tcPr>
            <w:tcW w:w="809" w:type="dxa"/>
            <w:tcBorders>
              <w:top w:val="nil"/>
              <w:left w:val="nil"/>
              <w:bottom w:val="single" w:sz="4" w:space="0" w:color="auto"/>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2.802</w:t>
            </w:r>
          </w:p>
        </w:tc>
        <w:tc>
          <w:tcPr>
            <w:tcW w:w="809" w:type="dxa"/>
            <w:tcBorders>
              <w:top w:val="nil"/>
              <w:left w:val="nil"/>
              <w:bottom w:val="single" w:sz="4" w:space="0" w:color="auto"/>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11.24</w:t>
            </w:r>
          </w:p>
        </w:tc>
        <w:tc>
          <w:tcPr>
            <w:tcW w:w="1021" w:type="dxa"/>
            <w:tcBorders>
              <w:top w:val="nil"/>
              <w:left w:val="nil"/>
              <w:bottom w:val="single" w:sz="4" w:space="0" w:color="auto"/>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0.2203</w:t>
            </w:r>
          </w:p>
        </w:tc>
      </w:tr>
      <w:tr w:rsidR="00476082" w:rsidRPr="00FD166A" w:rsidTr="009A43FC">
        <w:trPr>
          <w:trHeight w:val="271"/>
        </w:trPr>
        <w:tc>
          <w:tcPr>
            <w:tcW w:w="2740"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Diaporthe longicolla</w:t>
            </w:r>
          </w:p>
        </w:tc>
        <w:tc>
          <w:tcPr>
            <w:tcW w:w="2103"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(Azoxystrobin)</w:t>
            </w:r>
          </w:p>
        </w:tc>
        <w:tc>
          <w:tcPr>
            <w:tcW w:w="44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w:t>
            </w:r>
          </w:p>
        </w:tc>
        <w:tc>
          <w:tcPr>
            <w:tcW w:w="1303"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3.27</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1.16</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1.631</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6.55</w:t>
            </w:r>
          </w:p>
        </w:tc>
        <w:tc>
          <w:tcPr>
            <w:tcW w:w="1021"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0.9614</w:t>
            </w:r>
          </w:p>
        </w:tc>
      </w:tr>
      <w:tr w:rsidR="00476082" w:rsidRPr="00FD166A" w:rsidTr="009A43FC">
        <w:trPr>
          <w:trHeight w:val="271"/>
        </w:trPr>
        <w:tc>
          <w:tcPr>
            <w:tcW w:w="2740" w:type="dxa"/>
            <w:tcBorders>
              <w:top w:val="nil"/>
              <w:left w:val="nil"/>
              <w:bottom w:val="nil"/>
              <w:right w:val="nil"/>
            </w:tcBorders>
            <w:shd w:val="clear" w:color="auto" w:fill="FFFF00"/>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Fusarium oxysporum</w:t>
            </w:r>
          </w:p>
        </w:tc>
        <w:tc>
          <w:tcPr>
            <w:tcW w:w="2103" w:type="dxa"/>
            <w:tcBorders>
              <w:top w:val="nil"/>
              <w:left w:val="nil"/>
              <w:bottom w:val="nil"/>
              <w:right w:val="nil"/>
            </w:tcBorders>
            <w:shd w:val="clear" w:color="auto" w:fill="FFFF00"/>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(Azoxystrobin)</w:t>
            </w:r>
          </w:p>
        </w:tc>
        <w:tc>
          <w:tcPr>
            <w:tcW w:w="449" w:type="dxa"/>
            <w:tcBorders>
              <w:top w:val="nil"/>
              <w:left w:val="nil"/>
              <w:bottom w:val="nil"/>
              <w:right w:val="nil"/>
            </w:tcBorders>
            <w:shd w:val="clear" w:color="auto" w:fill="FFFF00"/>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w:t>
            </w:r>
          </w:p>
        </w:tc>
        <w:tc>
          <w:tcPr>
            <w:tcW w:w="1303" w:type="dxa"/>
            <w:tcBorders>
              <w:top w:val="nil"/>
              <w:left w:val="nil"/>
              <w:bottom w:val="nil"/>
              <w:right w:val="nil"/>
            </w:tcBorders>
            <w:shd w:val="clear" w:color="auto" w:fill="FFFF00"/>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9.9</w:t>
            </w:r>
          </w:p>
        </w:tc>
        <w:tc>
          <w:tcPr>
            <w:tcW w:w="809" w:type="dxa"/>
            <w:tcBorders>
              <w:top w:val="nil"/>
              <w:left w:val="nil"/>
              <w:bottom w:val="nil"/>
              <w:right w:val="nil"/>
            </w:tcBorders>
            <w:shd w:val="clear" w:color="auto" w:fill="FFFF00"/>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3.51</w:t>
            </w:r>
          </w:p>
        </w:tc>
        <w:tc>
          <w:tcPr>
            <w:tcW w:w="809" w:type="dxa"/>
            <w:tcBorders>
              <w:top w:val="nil"/>
              <w:left w:val="nil"/>
              <w:bottom w:val="nil"/>
              <w:right w:val="nil"/>
            </w:tcBorders>
            <w:shd w:val="clear" w:color="auto" w:fill="FFFF00"/>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4.941</w:t>
            </w:r>
          </w:p>
        </w:tc>
        <w:tc>
          <w:tcPr>
            <w:tcW w:w="809" w:type="dxa"/>
            <w:tcBorders>
              <w:top w:val="nil"/>
              <w:left w:val="nil"/>
              <w:bottom w:val="nil"/>
              <w:right w:val="nil"/>
            </w:tcBorders>
            <w:shd w:val="clear" w:color="auto" w:fill="FFFF00"/>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19.83</w:t>
            </w:r>
          </w:p>
        </w:tc>
        <w:tc>
          <w:tcPr>
            <w:tcW w:w="1021" w:type="dxa"/>
            <w:tcBorders>
              <w:top w:val="nil"/>
              <w:left w:val="nil"/>
              <w:bottom w:val="nil"/>
              <w:right w:val="nil"/>
            </w:tcBorders>
            <w:shd w:val="clear" w:color="auto" w:fill="FFFF00"/>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0.0115</w:t>
            </w:r>
          </w:p>
        </w:tc>
      </w:tr>
      <w:tr w:rsidR="00476082" w:rsidRPr="00FD166A" w:rsidTr="009A43FC">
        <w:trPr>
          <w:trHeight w:val="271"/>
        </w:trPr>
        <w:tc>
          <w:tcPr>
            <w:tcW w:w="2740"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Fusarium solani</w:t>
            </w:r>
          </w:p>
        </w:tc>
        <w:tc>
          <w:tcPr>
            <w:tcW w:w="2103"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(Azoxystrobin)</w:t>
            </w:r>
          </w:p>
        </w:tc>
        <w:tc>
          <w:tcPr>
            <w:tcW w:w="44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w:t>
            </w:r>
          </w:p>
        </w:tc>
        <w:tc>
          <w:tcPr>
            <w:tcW w:w="1303"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3.61</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1.28</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1.803</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7.24</w:t>
            </w:r>
          </w:p>
        </w:tc>
        <w:tc>
          <w:tcPr>
            <w:tcW w:w="1021"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0.8737</w:t>
            </w:r>
          </w:p>
        </w:tc>
      </w:tr>
      <w:tr w:rsidR="00476082" w:rsidRPr="00FD166A" w:rsidTr="009A43FC">
        <w:trPr>
          <w:trHeight w:val="271"/>
        </w:trPr>
        <w:tc>
          <w:tcPr>
            <w:tcW w:w="2740"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Rhizoctonia solani</w:t>
            </w:r>
          </w:p>
        </w:tc>
        <w:tc>
          <w:tcPr>
            <w:tcW w:w="2103"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(Azoxystrobin)</w:t>
            </w:r>
          </w:p>
        </w:tc>
        <w:tc>
          <w:tcPr>
            <w:tcW w:w="44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w:t>
            </w:r>
          </w:p>
        </w:tc>
        <w:tc>
          <w:tcPr>
            <w:tcW w:w="1303"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5.99</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2.12</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2.988</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11.99</w:t>
            </w:r>
          </w:p>
        </w:tc>
        <w:tc>
          <w:tcPr>
            <w:tcW w:w="1021"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0.1632</w:t>
            </w:r>
          </w:p>
        </w:tc>
      </w:tr>
      <w:tr w:rsidR="00476082" w:rsidRPr="00FD166A" w:rsidTr="009A43FC">
        <w:trPr>
          <w:trHeight w:val="271"/>
        </w:trPr>
        <w:tc>
          <w:tcPr>
            <w:tcW w:w="2740" w:type="dxa"/>
            <w:tcBorders>
              <w:top w:val="single" w:sz="4" w:space="0" w:color="auto"/>
              <w:left w:val="nil"/>
              <w:bottom w:val="nil"/>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Diaporthe longicolla</w:t>
            </w:r>
          </w:p>
        </w:tc>
        <w:tc>
          <w:tcPr>
            <w:tcW w:w="2103" w:type="dxa"/>
            <w:tcBorders>
              <w:top w:val="single" w:sz="4" w:space="0" w:color="auto"/>
              <w:left w:val="nil"/>
              <w:bottom w:val="nil"/>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(Flutriafol)</w:t>
            </w:r>
          </w:p>
        </w:tc>
        <w:tc>
          <w:tcPr>
            <w:tcW w:w="449" w:type="dxa"/>
            <w:tcBorders>
              <w:top w:val="single" w:sz="4" w:space="0" w:color="auto"/>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w:t>
            </w:r>
          </w:p>
        </w:tc>
        <w:tc>
          <w:tcPr>
            <w:tcW w:w="1303" w:type="dxa"/>
            <w:tcBorders>
              <w:top w:val="single" w:sz="4" w:space="0" w:color="auto"/>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1.05</w:t>
            </w:r>
          </w:p>
        </w:tc>
        <w:tc>
          <w:tcPr>
            <w:tcW w:w="809" w:type="dxa"/>
            <w:tcBorders>
              <w:top w:val="single" w:sz="4" w:space="0" w:color="auto"/>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0.52</w:t>
            </w:r>
          </w:p>
        </w:tc>
        <w:tc>
          <w:tcPr>
            <w:tcW w:w="809" w:type="dxa"/>
            <w:tcBorders>
              <w:top w:val="single" w:sz="4" w:space="0" w:color="auto"/>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0.399</w:t>
            </w:r>
          </w:p>
        </w:tc>
        <w:tc>
          <w:tcPr>
            <w:tcW w:w="809" w:type="dxa"/>
            <w:tcBorders>
              <w:top w:val="single" w:sz="4" w:space="0" w:color="auto"/>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2.77</w:t>
            </w:r>
          </w:p>
        </w:tc>
        <w:tc>
          <w:tcPr>
            <w:tcW w:w="1021" w:type="dxa"/>
            <w:tcBorders>
              <w:top w:val="single" w:sz="4" w:space="0" w:color="auto"/>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0.1029</w:t>
            </w:r>
          </w:p>
        </w:tc>
      </w:tr>
      <w:tr w:rsidR="00476082" w:rsidRPr="00FD166A" w:rsidTr="009A43FC">
        <w:trPr>
          <w:trHeight w:val="271"/>
        </w:trPr>
        <w:tc>
          <w:tcPr>
            <w:tcW w:w="2740"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Fusarium oxysporum</w:t>
            </w:r>
          </w:p>
        </w:tc>
        <w:tc>
          <w:tcPr>
            <w:tcW w:w="2103"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(Flutriafol)</w:t>
            </w:r>
          </w:p>
        </w:tc>
        <w:tc>
          <w:tcPr>
            <w:tcW w:w="44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w:t>
            </w:r>
          </w:p>
        </w:tc>
        <w:tc>
          <w:tcPr>
            <w:tcW w:w="1303"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6.61</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2.34</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3.3</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13.25</w:t>
            </w:r>
          </w:p>
        </w:tc>
        <w:tc>
          <w:tcPr>
            <w:tcW w:w="1021"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0.1217</w:t>
            </w:r>
          </w:p>
        </w:tc>
      </w:tr>
      <w:tr w:rsidR="00476082" w:rsidRPr="00FD166A" w:rsidTr="009A43FC">
        <w:trPr>
          <w:trHeight w:val="271"/>
        </w:trPr>
        <w:tc>
          <w:tcPr>
            <w:tcW w:w="2740"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Fusarium solani</w:t>
            </w:r>
          </w:p>
        </w:tc>
        <w:tc>
          <w:tcPr>
            <w:tcW w:w="2103"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(Flutriafol)</w:t>
            </w:r>
          </w:p>
        </w:tc>
        <w:tc>
          <w:tcPr>
            <w:tcW w:w="44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w:t>
            </w:r>
          </w:p>
        </w:tc>
        <w:tc>
          <w:tcPr>
            <w:tcW w:w="1303"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2.03</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0.719</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1.012</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4.06</w:t>
            </w:r>
          </w:p>
        </w:tc>
        <w:tc>
          <w:tcPr>
            <w:tcW w:w="1021"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0.3336</w:t>
            </w:r>
          </w:p>
        </w:tc>
      </w:tr>
      <w:tr w:rsidR="00476082" w:rsidRPr="00FD166A" w:rsidTr="009A43FC">
        <w:trPr>
          <w:trHeight w:val="271"/>
        </w:trPr>
        <w:tc>
          <w:tcPr>
            <w:tcW w:w="2740" w:type="dxa"/>
            <w:tcBorders>
              <w:top w:val="nil"/>
              <w:left w:val="nil"/>
              <w:bottom w:val="single" w:sz="4" w:space="0" w:color="auto"/>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Rhizoctonia solani</w:t>
            </w:r>
          </w:p>
        </w:tc>
        <w:tc>
          <w:tcPr>
            <w:tcW w:w="2103" w:type="dxa"/>
            <w:tcBorders>
              <w:top w:val="nil"/>
              <w:left w:val="nil"/>
              <w:bottom w:val="single" w:sz="4" w:space="0" w:color="auto"/>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(Flutriafol)</w:t>
            </w:r>
          </w:p>
        </w:tc>
        <w:tc>
          <w:tcPr>
            <w:tcW w:w="449" w:type="dxa"/>
            <w:tcBorders>
              <w:top w:val="nil"/>
              <w:left w:val="nil"/>
              <w:bottom w:val="single" w:sz="4" w:space="0" w:color="auto"/>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w:t>
            </w:r>
          </w:p>
        </w:tc>
        <w:tc>
          <w:tcPr>
            <w:tcW w:w="1303" w:type="dxa"/>
            <w:tcBorders>
              <w:top w:val="nil"/>
              <w:left w:val="nil"/>
              <w:bottom w:val="single" w:sz="4" w:space="0" w:color="auto"/>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3.32</w:t>
            </w:r>
          </w:p>
        </w:tc>
        <w:tc>
          <w:tcPr>
            <w:tcW w:w="809" w:type="dxa"/>
            <w:tcBorders>
              <w:top w:val="nil"/>
              <w:left w:val="nil"/>
              <w:bottom w:val="single" w:sz="4" w:space="0" w:color="auto"/>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1.18</w:t>
            </w:r>
          </w:p>
        </w:tc>
        <w:tc>
          <w:tcPr>
            <w:tcW w:w="809" w:type="dxa"/>
            <w:tcBorders>
              <w:top w:val="nil"/>
              <w:left w:val="nil"/>
              <w:bottom w:val="single" w:sz="4" w:space="0" w:color="auto"/>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1.657</w:t>
            </w:r>
          </w:p>
        </w:tc>
        <w:tc>
          <w:tcPr>
            <w:tcW w:w="809" w:type="dxa"/>
            <w:tcBorders>
              <w:top w:val="nil"/>
              <w:left w:val="nil"/>
              <w:bottom w:val="single" w:sz="4" w:space="0" w:color="auto"/>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6.67</w:t>
            </w:r>
          </w:p>
        </w:tc>
        <w:tc>
          <w:tcPr>
            <w:tcW w:w="1021" w:type="dxa"/>
            <w:tcBorders>
              <w:top w:val="nil"/>
              <w:left w:val="nil"/>
              <w:bottom w:val="single" w:sz="4" w:space="0" w:color="auto"/>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0.9614</w:t>
            </w:r>
          </w:p>
        </w:tc>
      </w:tr>
      <w:tr w:rsidR="00476082" w:rsidRPr="00FD166A" w:rsidTr="009A43FC">
        <w:trPr>
          <w:trHeight w:val="271"/>
        </w:trPr>
        <w:tc>
          <w:tcPr>
            <w:tcW w:w="2740"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Diaporthe longicolla</w:t>
            </w:r>
          </w:p>
        </w:tc>
        <w:tc>
          <w:tcPr>
            <w:tcW w:w="2103"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(Flut+Azoxys)</w:t>
            </w:r>
          </w:p>
        </w:tc>
        <w:tc>
          <w:tcPr>
            <w:tcW w:w="44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2</w:t>
            </w:r>
          </w:p>
        </w:tc>
        <w:tc>
          <w:tcPr>
            <w:tcW w:w="1303"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1.89</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0.785</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0.835</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4.27</w:t>
            </w:r>
          </w:p>
        </w:tc>
        <w:tc>
          <w:tcPr>
            <w:tcW w:w="1021"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0.3336</w:t>
            </w:r>
          </w:p>
        </w:tc>
      </w:tr>
      <w:tr w:rsidR="00476082" w:rsidRPr="00FD166A" w:rsidTr="009A43FC">
        <w:trPr>
          <w:trHeight w:val="271"/>
        </w:trPr>
        <w:tc>
          <w:tcPr>
            <w:tcW w:w="2740"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Fusarium oxysporum</w:t>
            </w:r>
          </w:p>
        </w:tc>
        <w:tc>
          <w:tcPr>
            <w:tcW w:w="2103"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(Flut+Azoxys)</w:t>
            </w:r>
          </w:p>
        </w:tc>
        <w:tc>
          <w:tcPr>
            <w:tcW w:w="44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2</w:t>
            </w:r>
          </w:p>
        </w:tc>
        <w:tc>
          <w:tcPr>
            <w:tcW w:w="1303"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8.01</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2.84</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3.999</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16.05</w:t>
            </w:r>
          </w:p>
        </w:tc>
        <w:tc>
          <w:tcPr>
            <w:tcW w:w="1021"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0.0519</w:t>
            </w:r>
          </w:p>
        </w:tc>
      </w:tr>
      <w:tr w:rsidR="00476082" w:rsidRPr="00FD166A" w:rsidTr="009A43FC">
        <w:trPr>
          <w:trHeight w:val="271"/>
        </w:trPr>
        <w:tc>
          <w:tcPr>
            <w:tcW w:w="2740"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Fusarium solani</w:t>
            </w:r>
          </w:p>
        </w:tc>
        <w:tc>
          <w:tcPr>
            <w:tcW w:w="2103"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(Flut+Azoxys)</w:t>
            </w:r>
          </w:p>
        </w:tc>
        <w:tc>
          <w:tcPr>
            <w:tcW w:w="44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2</w:t>
            </w:r>
          </w:p>
        </w:tc>
        <w:tc>
          <w:tcPr>
            <w:tcW w:w="1303"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2.37</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0.841</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1.184</w:t>
            </w:r>
          </w:p>
        </w:tc>
        <w:tc>
          <w:tcPr>
            <w:tcW w:w="809"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4.75</w:t>
            </w:r>
          </w:p>
        </w:tc>
        <w:tc>
          <w:tcPr>
            <w:tcW w:w="1021" w:type="dxa"/>
            <w:tcBorders>
              <w:top w:val="nil"/>
              <w:left w:val="nil"/>
              <w:bottom w:val="nil"/>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0.5016</w:t>
            </w:r>
          </w:p>
        </w:tc>
      </w:tr>
      <w:tr w:rsidR="00476082" w:rsidRPr="00FD166A" w:rsidTr="009A43FC">
        <w:trPr>
          <w:trHeight w:val="271"/>
        </w:trPr>
        <w:tc>
          <w:tcPr>
            <w:tcW w:w="2740" w:type="dxa"/>
            <w:tcBorders>
              <w:top w:val="nil"/>
              <w:left w:val="nil"/>
              <w:bottom w:val="single" w:sz="4" w:space="0" w:color="auto"/>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Rhizoctonia solani</w:t>
            </w:r>
          </w:p>
        </w:tc>
        <w:tc>
          <w:tcPr>
            <w:tcW w:w="2103" w:type="dxa"/>
            <w:tcBorders>
              <w:top w:val="nil"/>
              <w:left w:val="nil"/>
              <w:bottom w:val="single" w:sz="4" w:space="0" w:color="auto"/>
              <w:right w:val="nil"/>
            </w:tcBorders>
            <w:shd w:val="clear" w:color="auto" w:fill="auto"/>
            <w:noWrap/>
            <w:vAlign w:val="center"/>
            <w:hideMark/>
          </w:tcPr>
          <w:p w:rsidR="00476082" w:rsidRPr="00FD166A" w:rsidRDefault="00476082" w:rsidP="009A43FC">
            <w:pPr>
              <w:spacing w:after="0" w:line="240" w:lineRule="auto"/>
              <w:rPr>
                <w:rFonts w:ascii="Calibri" w:eastAsia="Times New Roman" w:hAnsi="Calibri" w:cs="Calibri"/>
                <w:color w:val="000000"/>
              </w:rPr>
            </w:pPr>
            <w:r w:rsidRPr="00FD166A">
              <w:rPr>
                <w:rFonts w:ascii="Calibri" w:eastAsia="Times New Roman" w:hAnsi="Calibri" w:cs="Calibri"/>
                <w:color w:val="000000"/>
              </w:rPr>
              <w:t>(Flut+Azoxys)</w:t>
            </w:r>
          </w:p>
        </w:tc>
        <w:tc>
          <w:tcPr>
            <w:tcW w:w="449" w:type="dxa"/>
            <w:tcBorders>
              <w:top w:val="nil"/>
              <w:left w:val="nil"/>
              <w:bottom w:val="single" w:sz="4" w:space="0" w:color="auto"/>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2</w:t>
            </w:r>
          </w:p>
        </w:tc>
        <w:tc>
          <w:tcPr>
            <w:tcW w:w="1303" w:type="dxa"/>
            <w:tcBorders>
              <w:top w:val="nil"/>
              <w:left w:val="nil"/>
              <w:bottom w:val="single" w:sz="4" w:space="0" w:color="auto"/>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2.6</w:t>
            </w:r>
          </w:p>
        </w:tc>
        <w:tc>
          <w:tcPr>
            <w:tcW w:w="809" w:type="dxa"/>
            <w:tcBorders>
              <w:top w:val="nil"/>
              <w:left w:val="nil"/>
              <w:bottom w:val="single" w:sz="4" w:space="0" w:color="auto"/>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0.926</w:t>
            </w:r>
          </w:p>
        </w:tc>
        <w:tc>
          <w:tcPr>
            <w:tcW w:w="809" w:type="dxa"/>
            <w:tcBorders>
              <w:top w:val="nil"/>
              <w:left w:val="nil"/>
              <w:bottom w:val="single" w:sz="4" w:space="0" w:color="auto"/>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1.298</w:t>
            </w:r>
          </w:p>
        </w:tc>
        <w:tc>
          <w:tcPr>
            <w:tcW w:w="809" w:type="dxa"/>
            <w:tcBorders>
              <w:top w:val="nil"/>
              <w:left w:val="nil"/>
              <w:bottom w:val="single" w:sz="4" w:space="0" w:color="auto"/>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5.23</w:t>
            </w:r>
          </w:p>
        </w:tc>
        <w:tc>
          <w:tcPr>
            <w:tcW w:w="1021" w:type="dxa"/>
            <w:tcBorders>
              <w:top w:val="nil"/>
              <w:left w:val="nil"/>
              <w:bottom w:val="single" w:sz="4" w:space="0" w:color="auto"/>
              <w:right w:val="nil"/>
            </w:tcBorders>
            <w:shd w:val="clear" w:color="auto" w:fill="auto"/>
            <w:noWrap/>
            <w:vAlign w:val="center"/>
            <w:hideMark/>
          </w:tcPr>
          <w:p w:rsidR="00476082" w:rsidRPr="00FD166A" w:rsidRDefault="00476082" w:rsidP="009A43FC">
            <w:pPr>
              <w:spacing w:after="0" w:line="240" w:lineRule="auto"/>
              <w:jc w:val="center"/>
              <w:rPr>
                <w:rFonts w:ascii="Calibri" w:eastAsia="Times New Roman" w:hAnsi="Calibri" w:cs="Calibri"/>
                <w:color w:val="000000"/>
              </w:rPr>
            </w:pPr>
            <w:r w:rsidRPr="00FD166A">
              <w:rPr>
                <w:rFonts w:ascii="Calibri" w:eastAsia="Times New Roman" w:hAnsi="Calibri" w:cs="Calibri"/>
                <w:color w:val="000000"/>
              </w:rPr>
              <w:t>0.6934</w:t>
            </w:r>
          </w:p>
        </w:tc>
      </w:tr>
    </w:tbl>
    <w:p w:rsidR="00476082" w:rsidRDefault="00476082" w:rsidP="00476082">
      <w:pPr>
        <w:jc w:val="both"/>
      </w:pPr>
    </w:p>
    <w:p w:rsidR="00476082" w:rsidRPr="0040138B" w:rsidRDefault="00476082" w:rsidP="00476082">
      <w:pPr>
        <w:jc w:val="both"/>
        <w:rPr>
          <w:rFonts w:ascii="Calibri" w:eastAsia="Times New Roman" w:hAnsi="Calibri" w:cs="Calibri"/>
          <w:color w:val="000000"/>
        </w:rPr>
      </w:pPr>
      <w:r>
        <w:t>The table showed the significant pairwise comparisons between species and treatment combinations. Diaporthe longicolla showed 0.33 times</w:t>
      </w:r>
      <w:r w:rsidRPr="00984372">
        <w:t xml:space="preserve"> lower</w:t>
      </w:r>
      <w:r>
        <w:t xml:space="preserve"> average growth compared to</w:t>
      </w:r>
      <w:r w:rsidRPr="00984372">
        <w:t xml:space="preserve"> Fusarium oxysporum under Flutriafol</w:t>
      </w:r>
      <w:r>
        <w:t xml:space="preserve"> treatment</w:t>
      </w:r>
      <w:r w:rsidRPr="00984372">
        <w:t>.</w:t>
      </w:r>
      <w:r>
        <w:t xml:space="preserve"> Fusarium oxysporum showed</w:t>
      </w:r>
      <w:r w:rsidRPr="00984372">
        <w:t xml:space="preserve"> 2.74</w:t>
      </w:r>
      <w:r>
        <w:t>1</w:t>
      </w:r>
      <w:r w:rsidRPr="00984372">
        <w:t xml:space="preserve"> </w:t>
      </w:r>
      <w:r>
        <w:t>times higher average growth compared to</w:t>
      </w:r>
      <w:r w:rsidRPr="00984372">
        <w:t xml:space="preserve"> Fusarium solani under Azoxystrobin treatment</w:t>
      </w:r>
      <w:r>
        <w:t xml:space="preserve">. </w:t>
      </w:r>
      <w:r w:rsidRPr="00651F59">
        <w:rPr>
          <w:rFonts w:ascii="Calibri" w:eastAsia="Times New Roman" w:hAnsi="Calibri" w:cs="Calibri"/>
          <w:color w:val="000000"/>
        </w:rPr>
        <w:t>Fusarium oxysporum</w:t>
      </w:r>
      <w:r>
        <w:rPr>
          <w:rFonts w:ascii="Calibri" w:eastAsia="Times New Roman" w:hAnsi="Calibri" w:cs="Calibri"/>
          <w:color w:val="000000"/>
        </w:rPr>
        <w:t xml:space="preserve"> under </w:t>
      </w:r>
      <w:r w:rsidRPr="00651F59">
        <w:rPr>
          <w:rFonts w:ascii="Calibri" w:eastAsia="Times New Roman" w:hAnsi="Calibri" w:cs="Calibri"/>
          <w:color w:val="000000"/>
        </w:rPr>
        <w:t>Azoxystrobin</w:t>
      </w:r>
      <w:r>
        <w:rPr>
          <w:rFonts w:ascii="Calibri" w:eastAsia="Times New Roman" w:hAnsi="Calibri" w:cs="Calibri"/>
          <w:color w:val="000000"/>
        </w:rPr>
        <w:t xml:space="preserve"> treatment showed 9.412 times higher average growth compared to </w:t>
      </w:r>
      <w:r w:rsidRPr="00651F59">
        <w:rPr>
          <w:rFonts w:ascii="Calibri" w:eastAsia="Times New Roman" w:hAnsi="Calibri" w:cs="Calibri"/>
          <w:color w:val="000000"/>
        </w:rPr>
        <w:t>Diaporthe longicolla</w:t>
      </w:r>
      <w:r>
        <w:rPr>
          <w:rFonts w:ascii="Calibri" w:eastAsia="Times New Roman" w:hAnsi="Calibri" w:cs="Calibri"/>
          <w:color w:val="000000"/>
        </w:rPr>
        <w:t xml:space="preserve"> under </w:t>
      </w:r>
      <w:r w:rsidRPr="00651F59">
        <w:rPr>
          <w:rFonts w:ascii="Calibri" w:eastAsia="Times New Roman" w:hAnsi="Calibri" w:cs="Calibri"/>
          <w:color w:val="000000"/>
        </w:rPr>
        <w:t>Flutriafol</w:t>
      </w:r>
      <w:r>
        <w:rPr>
          <w:rFonts w:ascii="Calibri" w:eastAsia="Times New Roman" w:hAnsi="Calibri" w:cs="Calibri"/>
          <w:color w:val="000000"/>
        </w:rPr>
        <w:t xml:space="preserve"> treatment. </w:t>
      </w:r>
      <w:r w:rsidRPr="00651F59">
        <w:rPr>
          <w:rFonts w:ascii="Calibri" w:eastAsia="Times New Roman" w:hAnsi="Calibri" w:cs="Calibri"/>
          <w:color w:val="000000"/>
        </w:rPr>
        <w:t>Diaporthe longicolla</w:t>
      </w:r>
      <w:r>
        <w:rPr>
          <w:rFonts w:ascii="Calibri" w:eastAsia="Times New Roman" w:hAnsi="Calibri" w:cs="Calibri"/>
          <w:color w:val="000000"/>
        </w:rPr>
        <w:t xml:space="preserve"> average growth is 0.159 times lower than </w:t>
      </w:r>
      <w:r w:rsidRPr="00651F59">
        <w:rPr>
          <w:rFonts w:ascii="Calibri" w:eastAsia="Times New Roman" w:hAnsi="Calibri" w:cs="Calibri"/>
          <w:color w:val="000000"/>
        </w:rPr>
        <w:t>Fusarium oxysporum</w:t>
      </w:r>
      <w:r>
        <w:rPr>
          <w:rFonts w:ascii="Calibri" w:eastAsia="Times New Roman" w:hAnsi="Calibri" w:cs="Calibri"/>
          <w:color w:val="000000"/>
        </w:rPr>
        <w:t xml:space="preserve"> average growth under Flutriafol treatment. </w:t>
      </w:r>
      <w:r w:rsidRPr="00651F59">
        <w:rPr>
          <w:rFonts w:ascii="Calibri" w:eastAsia="Times New Roman" w:hAnsi="Calibri" w:cs="Calibri"/>
          <w:color w:val="000000"/>
        </w:rPr>
        <w:t>Fusarium oxysporum</w:t>
      </w:r>
      <w:r>
        <w:rPr>
          <w:rFonts w:ascii="Calibri" w:eastAsia="Times New Roman" w:hAnsi="Calibri" w:cs="Calibri"/>
          <w:color w:val="000000"/>
        </w:rPr>
        <w:t xml:space="preserve"> species average growth is 3.26 greater than </w:t>
      </w:r>
      <w:r w:rsidRPr="00651F59">
        <w:rPr>
          <w:rFonts w:ascii="Calibri" w:eastAsia="Times New Roman" w:hAnsi="Calibri" w:cs="Calibri"/>
          <w:color w:val="000000"/>
        </w:rPr>
        <w:t>Fusarium solani</w:t>
      </w:r>
      <w:r>
        <w:rPr>
          <w:rFonts w:ascii="Calibri" w:eastAsia="Times New Roman" w:hAnsi="Calibri" w:cs="Calibri"/>
          <w:color w:val="000000"/>
        </w:rPr>
        <w:t xml:space="preserve"> species average growth when treated with Flutriafol. </w:t>
      </w:r>
      <w:r w:rsidRPr="00651F59">
        <w:rPr>
          <w:rFonts w:ascii="Calibri" w:eastAsia="Times New Roman" w:hAnsi="Calibri" w:cs="Calibri"/>
          <w:color w:val="000000"/>
        </w:rPr>
        <w:t>Diaporthe longicolla</w:t>
      </w:r>
      <w:r>
        <w:rPr>
          <w:rFonts w:ascii="Calibri" w:eastAsia="Times New Roman" w:hAnsi="Calibri" w:cs="Calibri"/>
          <w:color w:val="000000"/>
        </w:rPr>
        <w:t xml:space="preserve"> species average growth is 0.236 lower than </w:t>
      </w:r>
      <w:r w:rsidRPr="00651F59">
        <w:rPr>
          <w:rFonts w:ascii="Calibri" w:eastAsia="Times New Roman" w:hAnsi="Calibri" w:cs="Calibri"/>
          <w:color w:val="000000"/>
        </w:rPr>
        <w:t>Fusarium oxysporum</w:t>
      </w:r>
      <w:r>
        <w:rPr>
          <w:rFonts w:ascii="Calibri" w:eastAsia="Times New Roman" w:hAnsi="Calibri" w:cs="Calibri"/>
          <w:color w:val="000000"/>
        </w:rPr>
        <w:t xml:space="preserve"> species average growth when treated with </w:t>
      </w:r>
      <w:r w:rsidRPr="00651F59">
        <w:rPr>
          <w:rFonts w:ascii="Calibri" w:eastAsia="Times New Roman" w:hAnsi="Calibri" w:cs="Calibri"/>
          <w:color w:val="000000"/>
        </w:rPr>
        <w:t>Flut+Azoxys</w:t>
      </w:r>
      <w:r>
        <w:rPr>
          <w:rFonts w:ascii="Calibri" w:eastAsia="Times New Roman" w:hAnsi="Calibri" w:cs="Calibri"/>
          <w:color w:val="000000"/>
        </w:rPr>
        <w:t xml:space="preserve">. </w:t>
      </w:r>
      <w:r w:rsidRPr="00651F59">
        <w:rPr>
          <w:rFonts w:ascii="Calibri" w:eastAsia="Times New Roman" w:hAnsi="Calibri" w:cs="Calibri"/>
          <w:color w:val="000000"/>
        </w:rPr>
        <w:t>Fusarium oxysporum</w:t>
      </w:r>
      <w:r>
        <w:rPr>
          <w:rFonts w:ascii="Calibri" w:eastAsia="Times New Roman" w:hAnsi="Calibri" w:cs="Calibri"/>
          <w:color w:val="000000"/>
        </w:rPr>
        <w:t xml:space="preserve"> species average growth is 3.378 greater than </w:t>
      </w:r>
      <w:r w:rsidRPr="00651F59">
        <w:rPr>
          <w:rFonts w:ascii="Calibri" w:eastAsia="Times New Roman" w:hAnsi="Calibri" w:cs="Calibri"/>
          <w:color w:val="000000"/>
        </w:rPr>
        <w:t>Fusarium solani</w:t>
      </w:r>
      <w:r>
        <w:rPr>
          <w:rFonts w:ascii="Calibri" w:eastAsia="Times New Roman" w:hAnsi="Calibri" w:cs="Calibri"/>
          <w:color w:val="000000"/>
        </w:rPr>
        <w:t xml:space="preserve"> species average growth when treated with </w:t>
      </w:r>
      <w:r w:rsidRPr="00651F59">
        <w:rPr>
          <w:rFonts w:ascii="Calibri" w:eastAsia="Times New Roman" w:hAnsi="Calibri" w:cs="Calibri"/>
          <w:color w:val="000000"/>
        </w:rPr>
        <w:t>Flut+Azoxys</w:t>
      </w:r>
      <w:r>
        <w:rPr>
          <w:rFonts w:ascii="Calibri" w:eastAsia="Times New Roman" w:hAnsi="Calibri" w:cs="Calibri"/>
          <w:color w:val="000000"/>
        </w:rPr>
        <w:t xml:space="preserve">. </w:t>
      </w:r>
      <w:r w:rsidRPr="00651F59">
        <w:rPr>
          <w:rFonts w:ascii="Calibri" w:eastAsia="Times New Roman" w:hAnsi="Calibri" w:cs="Calibri"/>
          <w:color w:val="000000"/>
        </w:rPr>
        <w:t>Fusarium oxysporum</w:t>
      </w:r>
      <w:r>
        <w:rPr>
          <w:rFonts w:ascii="Calibri" w:eastAsia="Times New Roman" w:hAnsi="Calibri" w:cs="Calibri"/>
          <w:color w:val="000000"/>
        </w:rPr>
        <w:t xml:space="preserve"> species average growth is 3.075 greater than </w:t>
      </w:r>
      <w:r w:rsidRPr="00651F59">
        <w:rPr>
          <w:rFonts w:ascii="Calibri" w:eastAsia="Times New Roman" w:hAnsi="Calibri" w:cs="Calibri"/>
          <w:color w:val="000000"/>
        </w:rPr>
        <w:t>Rhizoctonia solani</w:t>
      </w:r>
      <w:r>
        <w:rPr>
          <w:rFonts w:ascii="Calibri" w:eastAsia="Times New Roman" w:hAnsi="Calibri" w:cs="Calibri"/>
          <w:color w:val="000000"/>
        </w:rPr>
        <w:t xml:space="preserve"> species average growth when treated with </w:t>
      </w:r>
      <w:r w:rsidRPr="00651F59">
        <w:rPr>
          <w:rFonts w:ascii="Calibri" w:eastAsia="Times New Roman" w:hAnsi="Calibri" w:cs="Calibri"/>
          <w:color w:val="000000"/>
        </w:rPr>
        <w:t>Flut+Azoxys</w:t>
      </w:r>
      <w:r>
        <w:rPr>
          <w:rFonts w:ascii="Calibri" w:eastAsia="Times New Roman" w:hAnsi="Calibri" w:cs="Calibri"/>
          <w:color w:val="000000"/>
        </w:rPr>
        <w:t>.</w:t>
      </w:r>
    </w:p>
    <w:p w:rsidR="00476082" w:rsidRDefault="00476082" w:rsidP="00476082">
      <w:pPr>
        <w:jc w:val="both"/>
      </w:pPr>
      <w:r>
        <w:t>Table: Pairwise Difference</w:t>
      </w:r>
    </w:p>
    <w:tbl>
      <w:tblPr>
        <w:tblW w:w="11625" w:type="dxa"/>
        <w:tblInd w:w="-1170" w:type="dxa"/>
        <w:tblLook w:val="04A0" w:firstRow="1" w:lastRow="0" w:firstColumn="1" w:lastColumn="0" w:noHBand="0" w:noVBand="1"/>
      </w:tblPr>
      <w:tblGrid>
        <w:gridCol w:w="7033"/>
        <w:gridCol w:w="846"/>
        <w:gridCol w:w="972"/>
        <w:gridCol w:w="972"/>
        <w:gridCol w:w="858"/>
        <w:gridCol w:w="944"/>
      </w:tblGrid>
      <w:tr w:rsidR="00476082" w:rsidRPr="00651F59" w:rsidTr="009A43FC">
        <w:trPr>
          <w:trHeight w:val="274"/>
        </w:trPr>
        <w:tc>
          <w:tcPr>
            <w:tcW w:w="7033" w:type="dxa"/>
            <w:tcBorders>
              <w:top w:val="single" w:sz="4" w:space="0" w:color="auto"/>
              <w:left w:val="nil"/>
              <w:bottom w:val="single" w:sz="4" w:space="0" w:color="auto"/>
              <w:right w:val="nil"/>
            </w:tcBorders>
            <w:shd w:val="clear" w:color="auto" w:fill="auto"/>
            <w:noWrap/>
            <w:vAlign w:val="center"/>
            <w:hideMark/>
          </w:tcPr>
          <w:p w:rsidR="00476082" w:rsidRPr="00651F59" w:rsidRDefault="00476082" w:rsidP="009A43FC">
            <w:pPr>
              <w:spacing w:after="0" w:line="240" w:lineRule="auto"/>
              <w:rPr>
                <w:rFonts w:ascii="Calibri" w:eastAsia="Times New Roman" w:hAnsi="Calibri" w:cs="Calibri"/>
                <w:color w:val="000000"/>
              </w:rPr>
            </w:pPr>
            <w:r w:rsidRPr="00651F59">
              <w:rPr>
                <w:rFonts w:ascii="Calibri" w:eastAsia="Times New Roman" w:hAnsi="Calibri" w:cs="Calibri"/>
                <w:color w:val="000000"/>
              </w:rPr>
              <w:t> </w:t>
            </w:r>
          </w:p>
        </w:tc>
        <w:tc>
          <w:tcPr>
            <w:tcW w:w="846" w:type="dxa"/>
            <w:tcBorders>
              <w:top w:val="single" w:sz="4" w:space="0" w:color="auto"/>
              <w:left w:val="nil"/>
              <w:bottom w:val="single" w:sz="4" w:space="0" w:color="auto"/>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Ratio</w:t>
            </w:r>
          </w:p>
        </w:tc>
        <w:tc>
          <w:tcPr>
            <w:tcW w:w="972" w:type="dxa"/>
            <w:tcBorders>
              <w:top w:val="single" w:sz="4" w:space="0" w:color="auto"/>
              <w:left w:val="nil"/>
              <w:bottom w:val="single" w:sz="4" w:space="0" w:color="auto"/>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SE</w:t>
            </w:r>
          </w:p>
        </w:tc>
        <w:tc>
          <w:tcPr>
            <w:tcW w:w="972" w:type="dxa"/>
            <w:tcBorders>
              <w:top w:val="single" w:sz="4" w:space="0" w:color="auto"/>
              <w:left w:val="nil"/>
              <w:bottom w:val="single" w:sz="4" w:space="0" w:color="auto"/>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LCL</w:t>
            </w:r>
          </w:p>
        </w:tc>
        <w:tc>
          <w:tcPr>
            <w:tcW w:w="858" w:type="dxa"/>
            <w:tcBorders>
              <w:top w:val="single" w:sz="4" w:space="0" w:color="auto"/>
              <w:left w:val="nil"/>
              <w:bottom w:val="single" w:sz="4" w:space="0" w:color="auto"/>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UCL</w:t>
            </w:r>
          </w:p>
        </w:tc>
        <w:tc>
          <w:tcPr>
            <w:tcW w:w="944" w:type="dxa"/>
            <w:tcBorders>
              <w:top w:val="single" w:sz="4" w:space="0" w:color="auto"/>
              <w:left w:val="nil"/>
              <w:bottom w:val="single" w:sz="4" w:space="0" w:color="auto"/>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p-value</w:t>
            </w:r>
          </w:p>
        </w:tc>
      </w:tr>
      <w:tr w:rsidR="00476082" w:rsidRPr="00651F59" w:rsidTr="009A43FC">
        <w:trPr>
          <w:trHeight w:val="274"/>
        </w:trPr>
        <w:tc>
          <w:tcPr>
            <w:tcW w:w="7033" w:type="dxa"/>
            <w:tcBorders>
              <w:top w:val="nil"/>
              <w:left w:val="nil"/>
              <w:bottom w:val="nil"/>
              <w:right w:val="nil"/>
            </w:tcBorders>
            <w:shd w:val="clear" w:color="auto" w:fill="auto"/>
            <w:noWrap/>
            <w:vAlign w:val="bottom"/>
            <w:hideMark/>
          </w:tcPr>
          <w:p w:rsidR="00476082" w:rsidRPr="00651F59" w:rsidRDefault="00476082" w:rsidP="009A43FC">
            <w:pPr>
              <w:spacing w:after="0" w:line="240" w:lineRule="auto"/>
              <w:rPr>
                <w:rFonts w:ascii="Calibri" w:eastAsia="Times New Roman" w:hAnsi="Calibri" w:cs="Calibri"/>
                <w:color w:val="000000"/>
              </w:rPr>
            </w:pPr>
            <w:r w:rsidRPr="00651F59">
              <w:rPr>
                <w:rFonts w:ascii="Calibri" w:eastAsia="Times New Roman" w:hAnsi="Calibri" w:cs="Calibri"/>
                <w:color w:val="000000"/>
              </w:rPr>
              <w:t>Diaporthe longicolla (Azoxystrobin) / Fusarium oxysporum (Azoxystrobin)</w:t>
            </w:r>
          </w:p>
        </w:tc>
        <w:tc>
          <w:tcPr>
            <w:tcW w:w="846" w:type="dxa"/>
            <w:tcBorders>
              <w:top w:val="nil"/>
              <w:left w:val="nil"/>
              <w:bottom w:val="nil"/>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0.33</w:t>
            </w:r>
          </w:p>
        </w:tc>
        <w:tc>
          <w:tcPr>
            <w:tcW w:w="972" w:type="dxa"/>
            <w:tcBorders>
              <w:top w:val="nil"/>
              <w:left w:val="nil"/>
              <w:bottom w:val="nil"/>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0.081</w:t>
            </w:r>
          </w:p>
        </w:tc>
        <w:tc>
          <w:tcPr>
            <w:tcW w:w="972" w:type="dxa"/>
            <w:tcBorders>
              <w:top w:val="nil"/>
              <w:left w:val="nil"/>
              <w:bottom w:val="nil"/>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0.1384</w:t>
            </w:r>
          </w:p>
        </w:tc>
        <w:tc>
          <w:tcPr>
            <w:tcW w:w="858" w:type="dxa"/>
            <w:tcBorders>
              <w:top w:val="nil"/>
              <w:left w:val="nil"/>
              <w:bottom w:val="nil"/>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0.787</w:t>
            </w:r>
          </w:p>
        </w:tc>
        <w:tc>
          <w:tcPr>
            <w:tcW w:w="944" w:type="dxa"/>
            <w:tcBorders>
              <w:top w:val="nil"/>
              <w:left w:val="nil"/>
              <w:bottom w:val="nil"/>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0.0011</w:t>
            </w:r>
          </w:p>
        </w:tc>
      </w:tr>
      <w:tr w:rsidR="00476082" w:rsidRPr="00651F59" w:rsidTr="009A43FC">
        <w:trPr>
          <w:trHeight w:val="274"/>
        </w:trPr>
        <w:tc>
          <w:tcPr>
            <w:tcW w:w="7033" w:type="dxa"/>
            <w:tcBorders>
              <w:top w:val="nil"/>
              <w:left w:val="nil"/>
              <w:bottom w:val="nil"/>
              <w:right w:val="nil"/>
            </w:tcBorders>
            <w:shd w:val="clear" w:color="auto" w:fill="auto"/>
            <w:noWrap/>
            <w:vAlign w:val="bottom"/>
            <w:hideMark/>
          </w:tcPr>
          <w:p w:rsidR="00476082" w:rsidRPr="00651F59" w:rsidRDefault="00476082" w:rsidP="009A43FC">
            <w:pPr>
              <w:spacing w:after="0" w:line="240" w:lineRule="auto"/>
              <w:rPr>
                <w:rFonts w:ascii="Calibri" w:eastAsia="Times New Roman" w:hAnsi="Calibri" w:cs="Calibri"/>
                <w:color w:val="000000"/>
              </w:rPr>
            </w:pPr>
            <w:r w:rsidRPr="00651F59">
              <w:rPr>
                <w:rFonts w:ascii="Calibri" w:eastAsia="Times New Roman" w:hAnsi="Calibri" w:cs="Calibri"/>
                <w:color w:val="000000"/>
              </w:rPr>
              <w:t xml:space="preserve">Fusarium oxysporum (Azoxystrobin) / Fusarium solani (Azoxystrobin) </w:t>
            </w:r>
          </w:p>
        </w:tc>
        <w:tc>
          <w:tcPr>
            <w:tcW w:w="846" w:type="dxa"/>
            <w:tcBorders>
              <w:top w:val="nil"/>
              <w:left w:val="nil"/>
              <w:bottom w:val="nil"/>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2.741</w:t>
            </w:r>
          </w:p>
        </w:tc>
        <w:tc>
          <w:tcPr>
            <w:tcW w:w="972" w:type="dxa"/>
            <w:tcBorders>
              <w:top w:val="nil"/>
              <w:left w:val="nil"/>
              <w:bottom w:val="nil"/>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0.672</w:t>
            </w:r>
          </w:p>
        </w:tc>
        <w:tc>
          <w:tcPr>
            <w:tcW w:w="972" w:type="dxa"/>
            <w:tcBorders>
              <w:top w:val="nil"/>
              <w:left w:val="nil"/>
              <w:bottom w:val="nil"/>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1.1489</w:t>
            </w:r>
          </w:p>
        </w:tc>
        <w:tc>
          <w:tcPr>
            <w:tcW w:w="858" w:type="dxa"/>
            <w:tcBorders>
              <w:top w:val="nil"/>
              <w:left w:val="nil"/>
              <w:bottom w:val="nil"/>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6.537</w:t>
            </w:r>
          </w:p>
        </w:tc>
        <w:tc>
          <w:tcPr>
            <w:tcW w:w="944" w:type="dxa"/>
            <w:tcBorders>
              <w:top w:val="nil"/>
              <w:left w:val="nil"/>
              <w:bottom w:val="nil"/>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0.0063</w:t>
            </w:r>
          </w:p>
        </w:tc>
      </w:tr>
      <w:tr w:rsidR="00476082" w:rsidRPr="00651F59" w:rsidTr="009A43FC">
        <w:trPr>
          <w:trHeight w:val="274"/>
        </w:trPr>
        <w:tc>
          <w:tcPr>
            <w:tcW w:w="7033" w:type="dxa"/>
            <w:tcBorders>
              <w:top w:val="nil"/>
              <w:left w:val="nil"/>
              <w:bottom w:val="nil"/>
              <w:right w:val="nil"/>
            </w:tcBorders>
            <w:shd w:val="clear" w:color="auto" w:fill="auto"/>
            <w:noWrap/>
            <w:vAlign w:val="bottom"/>
            <w:hideMark/>
          </w:tcPr>
          <w:p w:rsidR="00476082" w:rsidRPr="00651F59" w:rsidRDefault="00476082" w:rsidP="009A43FC">
            <w:pPr>
              <w:spacing w:after="0" w:line="240" w:lineRule="auto"/>
              <w:rPr>
                <w:rFonts w:ascii="Calibri" w:eastAsia="Times New Roman" w:hAnsi="Calibri" w:cs="Calibri"/>
                <w:color w:val="000000"/>
              </w:rPr>
            </w:pPr>
            <w:r w:rsidRPr="00651F59">
              <w:rPr>
                <w:rFonts w:ascii="Calibri" w:eastAsia="Times New Roman" w:hAnsi="Calibri" w:cs="Calibri"/>
                <w:color w:val="000000"/>
              </w:rPr>
              <w:lastRenderedPageBreak/>
              <w:t xml:space="preserve">Fusarium oxysporum (Azoxystrobin) / Diaporthe longicolla (Flutriafol) </w:t>
            </w:r>
          </w:p>
        </w:tc>
        <w:tc>
          <w:tcPr>
            <w:tcW w:w="846" w:type="dxa"/>
            <w:tcBorders>
              <w:top w:val="nil"/>
              <w:left w:val="nil"/>
              <w:bottom w:val="nil"/>
              <w:right w:val="nil"/>
            </w:tcBorders>
            <w:shd w:val="clear" w:color="auto" w:fill="auto"/>
            <w:noWrap/>
            <w:vAlign w:val="center"/>
            <w:hideMark/>
          </w:tcPr>
          <w:p w:rsidR="00476082" w:rsidRPr="00651F59" w:rsidRDefault="00476082" w:rsidP="009A43FC">
            <w:pPr>
              <w:spacing w:after="0" w:line="240" w:lineRule="auto"/>
              <w:jc w:val="center"/>
              <w:rPr>
                <w:rFonts w:ascii="Lucida Console" w:eastAsia="Times New Roman" w:hAnsi="Lucida Console" w:cs="Calibri"/>
                <w:color w:val="000000"/>
                <w:sz w:val="20"/>
                <w:szCs w:val="20"/>
              </w:rPr>
            </w:pPr>
            <w:r w:rsidRPr="00651F59">
              <w:rPr>
                <w:rFonts w:ascii="Lucida Console" w:eastAsia="Times New Roman" w:hAnsi="Lucida Console" w:cs="Calibri"/>
                <w:color w:val="000000"/>
                <w:sz w:val="20"/>
                <w:szCs w:val="20"/>
              </w:rPr>
              <w:t>9.412</w:t>
            </w:r>
          </w:p>
        </w:tc>
        <w:tc>
          <w:tcPr>
            <w:tcW w:w="972" w:type="dxa"/>
            <w:tcBorders>
              <w:top w:val="nil"/>
              <w:left w:val="nil"/>
              <w:bottom w:val="nil"/>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5.73</w:t>
            </w:r>
          </w:p>
        </w:tc>
        <w:tc>
          <w:tcPr>
            <w:tcW w:w="972" w:type="dxa"/>
            <w:tcBorders>
              <w:top w:val="nil"/>
              <w:left w:val="nil"/>
              <w:bottom w:val="nil"/>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1.0886</w:t>
            </w:r>
          </w:p>
        </w:tc>
        <w:tc>
          <w:tcPr>
            <w:tcW w:w="858" w:type="dxa"/>
            <w:tcBorders>
              <w:top w:val="nil"/>
              <w:left w:val="nil"/>
              <w:bottom w:val="nil"/>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81.381</w:t>
            </w:r>
          </w:p>
        </w:tc>
        <w:tc>
          <w:tcPr>
            <w:tcW w:w="944" w:type="dxa"/>
            <w:tcBorders>
              <w:top w:val="nil"/>
              <w:left w:val="nil"/>
              <w:bottom w:val="nil"/>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0.0313</w:t>
            </w:r>
          </w:p>
        </w:tc>
      </w:tr>
      <w:tr w:rsidR="00476082" w:rsidRPr="00651F59" w:rsidTr="009A43FC">
        <w:trPr>
          <w:trHeight w:val="274"/>
        </w:trPr>
        <w:tc>
          <w:tcPr>
            <w:tcW w:w="7033" w:type="dxa"/>
            <w:tcBorders>
              <w:top w:val="nil"/>
              <w:left w:val="nil"/>
              <w:bottom w:val="nil"/>
              <w:right w:val="nil"/>
            </w:tcBorders>
            <w:shd w:val="clear" w:color="auto" w:fill="auto"/>
            <w:noWrap/>
            <w:vAlign w:val="bottom"/>
            <w:hideMark/>
          </w:tcPr>
          <w:p w:rsidR="00476082" w:rsidRPr="00651F59" w:rsidRDefault="00476082" w:rsidP="009A43FC">
            <w:pPr>
              <w:spacing w:after="0" w:line="240" w:lineRule="auto"/>
              <w:rPr>
                <w:rFonts w:ascii="Calibri" w:eastAsia="Times New Roman" w:hAnsi="Calibri" w:cs="Calibri"/>
                <w:color w:val="000000"/>
              </w:rPr>
            </w:pPr>
            <w:r w:rsidRPr="00651F59">
              <w:rPr>
                <w:rFonts w:ascii="Calibri" w:eastAsia="Times New Roman" w:hAnsi="Calibri" w:cs="Calibri"/>
                <w:color w:val="000000"/>
              </w:rPr>
              <w:t xml:space="preserve">Diaporthe longicolla (Flutriafol) / Fusarium oxysporum (Flutriafol) </w:t>
            </w:r>
          </w:p>
        </w:tc>
        <w:tc>
          <w:tcPr>
            <w:tcW w:w="846" w:type="dxa"/>
            <w:tcBorders>
              <w:top w:val="nil"/>
              <w:left w:val="nil"/>
              <w:bottom w:val="nil"/>
              <w:right w:val="nil"/>
            </w:tcBorders>
            <w:shd w:val="clear" w:color="auto" w:fill="auto"/>
            <w:noWrap/>
            <w:vAlign w:val="center"/>
            <w:hideMark/>
          </w:tcPr>
          <w:p w:rsidR="00476082" w:rsidRPr="00651F59" w:rsidRDefault="00476082" w:rsidP="009A43FC">
            <w:pPr>
              <w:spacing w:after="0" w:line="240" w:lineRule="auto"/>
              <w:jc w:val="center"/>
              <w:rPr>
                <w:rFonts w:ascii="Lucida Console" w:eastAsia="Times New Roman" w:hAnsi="Lucida Console" w:cs="Calibri"/>
                <w:color w:val="000000"/>
                <w:sz w:val="20"/>
                <w:szCs w:val="20"/>
              </w:rPr>
            </w:pPr>
            <w:r w:rsidRPr="00651F59">
              <w:rPr>
                <w:rFonts w:ascii="Lucida Console" w:eastAsia="Times New Roman" w:hAnsi="Lucida Console" w:cs="Calibri"/>
                <w:color w:val="000000"/>
                <w:sz w:val="20"/>
                <w:szCs w:val="20"/>
              </w:rPr>
              <w:t>0.159</w:t>
            </w:r>
          </w:p>
        </w:tc>
        <w:tc>
          <w:tcPr>
            <w:tcW w:w="972" w:type="dxa"/>
            <w:tcBorders>
              <w:top w:val="nil"/>
              <w:left w:val="nil"/>
              <w:bottom w:val="nil"/>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0.0674</w:t>
            </w:r>
          </w:p>
        </w:tc>
        <w:tc>
          <w:tcPr>
            <w:tcW w:w="972" w:type="dxa"/>
            <w:tcBorders>
              <w:top w:val="nil"/>
              <w:left w:val="nil"/>
              <w:bottom w:val="nil"/>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0.0354</w:t>
            </w:r>
          </w:p>
        </w:tc>
        <w:tc>
          <w:tcPr>
            <w:tcW w:w="858" w:type="dxa"/>
            <w:tcBorders>
              <w:top w:val="nil"/>
              <w:left w:val="nil"/>
              <w:bottom w:val="nil"/>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0.714</w:t>
            </w:r>
          </w:p>
        </w:tc>
        <w:tc>
          <w:tcPr>
            <w:tcW w:w="944" w:type="dxa"/>
            <w:tcBorders>
              <w:top w:val="nil"/>
              <w:left w:val="nil"/>
              <w:bottom w:val="nil"/>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0.0024</w:t>
            </w:r>
          </w:p>
        </w:tc>
      </w:tr>
      <w:tr w:rsidR="00476082" w:rsidRPr="00651F59" w:rsidTr="009A43FC">
        <w:trPr>
          <w:trHeight w:val="274"/>
        </w:trPr>
        <w:tc>
          <w:tcPr>
            <w:tcW w:w="7033" w:type="dxa"/>
            <w:tcBorders>
              <w:top w:val="nil"/>
              <w:left w:val="nil"/>
              <w:bottom w:val="nil"/>
              <w:right w:val="nil"/>
            </w:tcBorders>
            <w:shd w:val="clear" w:color="auto" w:fill="auto"/>
            <w:noWrap/>
            <w:vAlign w:val="bottom"/>
            <w:hideMark/>
          </w:tcPr>
          <w:p w:rsidR="00476082" w:rsidRPr="00651F59" w:rsidRDefault="00476082" w:rsidP="009A43FC">
            <w:pPr>
              <w:spacing w:after="0" w:line="240" w:lineRule="auto"/>
              <w:rPr>
                <w:rFonts w:ascii="Calibri" w:eastAsia="Times New Roman" w:hAnsi="Calibri" w:cs="Calibri"/>
                <w:color w:val="000000"/>
              </w:rPr>
            </w:pPr>
            <w:r w:rsidRPr="00651F59">
              <w:rPr>
                <w:rFonts w:ascii="Calibri" w:eastAsia="Times New Roman" w:hAnsi="Calibri" w:cs="Calibri"/>
                <w:color w:val="000000"/>
              </w:rPr>
              <w:t xml:space="preserve">Fusarium oxysporum (Flutriafol) / Fusarium solani (Flutriafol) </w:t>
            </w:r>
          </w:p>
        </w:tc>
        <w:tc>
          <w:tcPr>
            <w:tcW w:w="846" w:type="dxa"/>
            <w:tcBorders>
              <w:top w:val="nil"/>
              <w:left w:val="nil"/>
              <w:bottom w:val="nil"/>
              <w:right w:val="nil"/>
            </w:tcBorders>
            <w:shd w:val="clear" w:color="auto" w:fill="auto"/>
            <w:noWrap/>
            <w:vAlign w:val="center"/>
            <w:hideMark/>
          </w:tcPr>
          <w:p w:rsidR="00476082" w:rsidRPr="00651F59" w:rsidRDefault="00476082" w:rsidP="009A43FC">
            <w:pPr>
              <w:spacing w:after="0" w:line="240" w:lineRule="auto"/>
              <w:jc w:val="center"/>
              <w:rPr>
                <w:rFonts w:ascii="Lucida Console" w:eastAsia="Times New Roman" w:hAnsi="Lucida Console" w:cs="Calibri"/>
                <w:color w:val="000000"/>
                <w:sz w:val="20"/>
                <w:szCs w:val="20"/>
              </w:rPr>
            </w:pPr>
            <w:r w:rsidRPr="00651F59">
              <w:rPr>
                <w:rFonts w:ascii="Lucida Console" w:eastAsia="Times New Roman" w:hAnsi="Lucida Console" w:cs="Calibri"/>
                <w:color w:val="000000"/>
                <w:sz w:val="20"/>
                <w:szCs w:val="20"/>
              </w:rPr>
              <w:t>3.26</w:t>
            </w:r>
          </w:p>
        </w:tc>
        <w:tc>
          <w:tcPr>
            <w:tcW w:w="972" w:type="dxa"/>
            <w:tcBorders>
              <w:top w:val="nil"/>
              <w:left w:val="nil"/>
              <w:bottom w:val="nil"/>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0.8</w:t>
            </w:r>
          </w:p>
        </w:tc>
        <w:tc>
          <w:tcPr>
            <w:tcW w:w="972" w:type="dxa"/>
            <w:tcBorders>
              <w:top w:val="nil"/>
              <w:left w:val="nil"/>
              <w:bottom w:val="nil"/>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1.3664</w:t>
            </w:r>
          </w:p>
        </w:tc>
        <w:tc>
          <w:tcPr>
            <w:tcW w:w="858" w:type="dxa"/>
            <w:tcBorders>
              <w:top w:val="nil"/>
              <w:left w:val="nil"/>
              <w:bottom w:val="nil"/>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7.776</w:t>
            </w:r>
          </w:p>
        </w:tc>
        <w:tc>
          <w:tcPr>
            <w:tcW w:w="944" w:type="dxa"/>
            <w:tcBorders>
              <w:top w:val="nil"/>
              <w:left w:val="nil"/>
              <w:bottom w:val="nil"/>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0.0003</w:t>
            </w:r>
          </w:p>
        </w:tc>
      </w:tr>
      <w:tr w:rsidR="00476082" w:rsidRPr="00651F59" w:rsidTr="009A43FC">
        <w:trPr>
          <w:trHeight w:val="274"/>
        </w:trPr>
        <w:tc>
          <w:tcPr>
            <w:tcW w:w="7033" w:type="dxa"/>
            <w:tcBorders>
              <w:top w:val="nil"/>
              <w:left w:val="nil"/>
              <w:bottom w:val="nil"/>
              <w:right w:val="nil"/>
            </w:tcBorders>
            <w:shd w:val="clear" w:color="auto" w:fill="auto"/>
            <w:noWrap/>
            <w:vAlign w:val="bottom"/>
            <w:hideMark/>
          </w:tcPr>
          <w:p w:rsidR="00476082" w:rsidRPr="00651F59" w:rsidRDefault="00476082" w:rsidP="009A43FC">
            <w:pPr>
              <w:spacing w:after="0" w:line="240" w:lineRule="auto"/>
              <w:rPr>
                <w:rFonts w:ascii="Calibri" w:eastAsia="Times New Roman" w:hAnsi="Calibri" w:cs="Calibri"/>
                <w:color w:val="000000"/>
              </w:rPr>
            </w:pPr>
            <w:r w:rsidRPr="00651F59">
              <w:rPr>
                <w:rFonts w:ascii="Calibri" w:eastAsia="Times New Roman" w:hAnsi="Calibri" w:cs="Calibri"/>
                <w:color w:val="000000"/>
              </w:rPr>
              <w:t>Diaporthe longicolla (Flut+Azoxys) / Fusarium oxysporum (Flut+Azoxys)</w:t>
            </w:r>
          </w:p>
        </w:tc>
        <w:tc>
          <w:tcPr>
            <w:tcW w:w="846" w:type="dxa"/>
            <w:tcBorders>
              <w:top w:val="nil"/>
              <w:left w:val="nil"/>
              <w:bottom w:val="nil"/>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0.236</w:t>
            </w:r>
          </w:p>
        </w:tc>
        <w:tc>
          <w:tcPr>
            <w:tcW w:w="972" w:type="dxa"/>
            <w:tcBorders>
              <w:top w:val="nil"/>
              <w:left w:val="nil"/>
              <w:bottom w:val="nil"/>
              <w:right w:val="nil"/>
            </w:tcBorders>
            <w:shd w:val="clear" w:color="auto" w:fill="auto"/>
            <w:noWrap/>
            <w:vAlign w:val="center"/>
            <w:hideMark/>
          </w:tcPr>
          <w:p w:rsidR="00476082" w:rsidRPr="00651F59" w:rsidRDefault="00476082" w:rsidP="009A43FC">
            <w:pPr>
              <w:spacing w:after="0" w:line="240" w:lineRule="auto"/>
              <w:jc w:val="center"/>
              <w:rPr>
                <w:rFonts w:ascii="Lucida Console" w:eastAsia="Times New Roman" w:hAnsi="Lucida Console" w:cs="Calibri"/>
                <w:color w:val="000000"/>
                <w:sz w:val="20"/>
                <w:szCs w:val="20"/>
              </w:rPr>
            </w:pPr>
            <w:r w:rsidRPr="00651F59">
              <w:rPr>
                <w:rFonts w:ascii="Lucida Console" w:eastAsia="Times New Roman" w:hAnsi="Lucida Console" w:cs="Calibri"/>
                <w:color w:val="000000"/>
                <w:sz w:val="20"/>
                <w:szCs w:val="20"/>
              </w:rPr>
              <w:t>0.0773</w:t>
            </w:r>
          </w:p>
        </w:tc>
        <w:tc>
          <w:tcPr>
            <w:tcW w:w="972" w:type="dxa"/>
            <w:tcBorders>
              <w:top w:val="nil"/>
              <w:left w:val="nil"/>
              <w:bottom w:val="nil"/>
              <w:right w:val="nil"/>
            </w:tcBorders>
            <w:shd w:val="clear" w:color="auto" w:fill="auto"/>
            <w:noWrap/>
            <w:vAlign w:val="center"/>
            <w:hideMark/>
          </w:tcPr>
          <w:p w:rsidR="00476082" w:rsidRPr="00651F59" w:rsidRDefault="00476082" w:rsidP="009A43FC">
            <w:pPr>
              <w:spacing w:after="0" w:line="240" w:lineRule="auto"/>
              <w:jc w:val="center"/>
              <w:rPr>
                <w:rFonts w:ascii="Lucida Console" w:eastAsia="Times New Roman" w:hAnsi="Lucida Console" w:cs="Calibri"/>
                <w:color w:val="000000"/>
                <w:sz w:val="20"/>
                <w:szCs w:val="20"/>
              </w:rPr>
            </w:pPr>
            <w:r w:rsidRPr="00651F59">
              <w:rPr>
                <w:rFonts w:ascii="Lucida Console" w:eastAsia="Times New Roman" w:hAnsi="Lucida Console" w:cs="Calibri"/>
                <w:color w:val="000000"/>
                <w:sz w:val="20"/>
                <w:szCs w:val="20"/>
              </w:rPr>
              <w:t>0.0736</w:t>
            </w:r>
          </w:p>
        </w:tc>
        <w:tc>
          <w:tcPr>
            <w:tcW w:w="858" w:type="dxa"/>
            <w:tcBorders>
              <w:top w:val="nil"/>
              <w:left w:val="nil"/>
              <w:bottom w:val="nil"/>
              <w:right w:val="nil"/>
            </w:tcBorders>
            <w:shd w:val="clear" w:color="auto" w:fill="auto"/>
            <w:noWrap/>
            <w:vAlign w:val="center"/>
            <w:hideMark/>
          </w:tcPr>
          <w:p w:rsidR="00476082" w:rsidRPr="00651F59" w:rsidRDefault="00476082" w:rsidP="009A43FC">
            <w:pPr>
              <w:spacing w:after="0" w:line="240" w:lineRule="auto"/>
              <w:jc w:val="center"/>
              <w:rPr>
                <w:rFonts w:ascii="Lucida Console" w:eastAsia="Times New Roman" w:hAnsi="Lucida Console" w:cs="Calibri"/>
                <w:color w:val="000000"/>
                <w:sz w:val="20"/>
                <w:szCs w:val="20"/>
              </w:rPr>
            </w:pPr>
            <w:r w:rsidRPr="00651F59">
              <w:rPr>
                <w:rFonts w:ascii="Lucida Console" w:eastAsia="Times New Roman" w:hAnsi="Lucida Console" w:cs="Calibri"/>
                <w:color w:val="000000"/>
                <w:sz w:val="20"/>
                <w:szCs w:val="20"/>
              </w:rPr>
              <w:t>0.754</w:t>
            </w:r>
          </w:p>
        </w:tc>
        <w:tc>
          <w:tcPr>
            <w:tcW w:w="944" w:type="dxa"/>
            <w:tcBorders>
              <w:top w:val="nil"/>
              <w:left w:val="nil"/>
              <w:bottom w:val="nil"/>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0.0018</w:t>
            </w:r>
          </w:p>
        </w:tc>
      </w:tr>
      <w:tr w:rsidR="00476082" w:rsidRPr="00651F59" w:rsidTr="009A43FC">
        <w:trPr>
          <w:trHeight w:val="274"/>
        </w:trPr>
        <w:tc>
          <w:tcPr>
            <w:tcW w:w="7033" w:type="dxa"/>
            <w:tcBorders>
              <w:top w:val="nil"/>
              <w:left w:val="nil"/>
              <w:bottom w:val="nil"/>
              <w:right w:val="nil"/>
            </w:tcBorders>
            <w:shd w:val="clear" w:color="auto" w:fill="auto"/>
            <w:noWrap/>
            <w:vAlign w:val="bottom"/>
            <w:hideMark/>
          </w:tcPr>
          <w:p w:rsidR="00476082" w:rsidRPr="00651F59" w:rsidRDefault="00476082" w:rsidP="009A43FC">
            <w:pPr>
              <w:spacing w:after="0" w:line="240" w:lineRule="auto"/>
              <w:rPr>
                <w:rFonts w:ascii="Calibri" w:eastAsia="Times New Roman" w:hAnsi="Calibri" w:cs="Calibri"/>
                <w:color w:val="000000"/>
              </w:rPr>
            </w:pPr>
            <w:r w:rsidRPr="00651F59">
              <w:rPr>
                <w:rFonts w:ascii="Calibri" w:eastAsia="Times New Roman" w:hAnsi="Calibri" w:cs="Calibri"/>
                <w:color w:val="000000"/>
              </w:rPr>
              <w:t xml:space="preserve">Fusarium oxysporum (Flut+Azoxys) / Fusarium solani (Flut+Azoxys) </w:t>
            </w:r>
          </w:p>
        </w:tc>
        <w:tc>
          <w:tcPr>
            <w:tcW w:w="846" w:type="dxa"/>
            <w:tcBorders>
              <w:top w:val="nil"/>
              <w:left w:val="nil"/>
              <w:bottom w:val="nil"/>
              <w:right w:val="nil"/>
            </w:tcBorders>
            <w:shd w:val="clear" w:color="auto" w:fill="auto"/>
            <w:noWrap/>
            <w:vAlign w:val="center"/>
            <w:hideMark/>
          </w:tcPr>
          <w:p w:rsidR="00476082" w:rsidRPr="00651F59" w:rsidRDefault="00476082" w:rsidP="009A43FC">
            <w:pPr>
              <w:spacing w:after="0" w:line="240" w:lineRule="auto"/>
              <w:jc w:val="center"/>
              <w:rPr>
                <w:rFonts w:ascii="Lucida Console" w:eastAsia="Times New Roman" w:hAnsi="Lucida Console" w:cs="Calibri"/>
                <w:color w:val="000000"/>
                <w:sz w:val="20"/>
                <w:szCs w:val="20"/>
              </w:rPr>
            </w:pPr>
            <w:r w:rsidRPr="00651F59">
              <w:rPr>
                <w:rFonts w:ascii="Lucida Console" w:eastAsia="Times New Roman" w:hAnsi="Lucida Console" w:cs="Calibri"/>
                <w:color w:val="000000"/>
                <w:sz w:val="20"/>
                <w:szCs w:val="20"/>
              </w:rPr>
              <w:t>3.378</w:t>
            </w:r>
          </w:p>
        </w:tc>
        <w:tc>
          <w:tcPr>
            <w:tcW w:w="972" w:type="dxa"/>
            <w:tcBorders>
              <w:top w:val="nil"/>
              <w:left w:val="nil"/>
              <w:bottom w:val="nil"/>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0.829</w:t>
            </w:r>
          </w:p>
        </w:tc>
        <w:tc>
          <w:tcPr>
            <w:tcW w:w="972" w:type="dxa"/>
            <w:tcBorders>
              <w:top w:val="nil"/>
              <w:left w:val="nil"/>
              <w:bottom w:val="nil"/>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1.416</w:t>
            </w:r>
          </w:p>
        </w:tc>
        <w:tc>
          <w:tcPr>
            <w:tcW w:w="858" w:type="dxa"/>
            <w:tcBorders>
              <w:top w:val="nil"/>
              <w:left w:val="nil"/>
              <w:bottom w:val="nil"/>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8.058</w:t>
            </w:r>
          </w:p>
        </w:tc>
        <w:tc>
          <w:tcPr>
            <w:tcW w:w="944" w:type="dxa"/>
            <w:tcBorders>
              <w:top w:val="nil"/>
              <w:left w:val="nil"/>
              <w:bottom w:val="nil"/>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0.0001</w:t>
            </w:r>
          </w:p>
        </w:tc>
      </w:tr>
      <w:tr w:rsidR="00476082" w:rsidRPr="00651F59" w:rsidTr="009A43FC">
        <w:trPr>
          <w:trHeight w:val="274"/>
        </w:trPr>
        <w:tc>
          <w:tcPr>
            <w:tcW w:w="7033" w:type="dxa"/>
            <w:tcBorders>
              <w:top w:val="nil"/>
              <w:left w:val="nil"/>
              <w:bottom w:val="single" w:sz="4" w:space="0" w:color="auto"/>
              <w:right w:val="nil"/>
            </w:tcBorders>
            <w:shd w:val="clear" w:color="auto" w:fill="auto"/>
            <w:noWrap/>
            <w:vAlign w:val="bottom"/>
            <w:hideMark/>
          </w:tcPr>
          <w:p w:rsidR="00476082" w:rsidRPr="00651F59" w:rsidRDefault="00476082" w:rsidP="009A43FC">
            <w:pPr>
              <w:spacing w:after="0" w:line="240" w:lineRule="auto"/>
              <w:rPr>
                <w:rFonts w:ascii="Calibri" w:eastAsia="Times New Roman" w:hAnsi="Calibri" w:cs="Calibri"/>
                <w:color w:val="000000"/>
              </w:rPr>
            </w:pPr>
            <w:r w:rsidRPr="00651F59">
              <w:rPr>
                <w:rFonts w:ascii="Calibri" w:eastAsia="Times New Roman" w:hAnsi="Calibri" w:cs="Calibri"/>
                <w:color w:val="000000"/>
              </w:rPr>
              <w:t>Fusarium oxysporum (Flut+Azoxys) / Rhizoctonia solani (Flut+Azoxys)</w:t>
            </w:r>
          </w:p>
        </w:tc>
        <w:tc>
          <w:tcPr>
            <w:tcW w:w="846" w:type="dxa"/>
            <w:tcBorders>
              <w:top w:val="nil"/>
              <w:left w:val="nil"/>
              <w:bottom w:val="single" w:sz="4" w:space="0" w:color="auto"/>
              <w:right w:val="nil"/>
            </w:tcBorders>
            <w:shd w:val="clear" w:color="auto" w:fill="auto"/>
            <w:noWrap/>
            <w:vAlign w:val="center"/>
            <w:hideMark/>
          </w:tcPr>
          <w:p w:rsidR="00476082" w:rsidRPr="00651F59" w:rsidRDefault="00476082" w:rsidP="009A43FC">
            <w:pPr>
              <w:spacing w:after="0" w:line="240" w:lineRule="auto"/>
              <w:jc w:val="center"/>
              <w:rPr>
                <w:rFonts w:ascii="Lucida Console" w:eastAsia="Times New Roman" w:hAnsi="Lucida Console" w:cs="Calibri"/>
                <w:color w:val="000000"/>
                <w:sz w:val="20"/>
                <w:szCs w:val="20"/>
              </w:rPr>
            </w:pPr>
            <w:r w:rsidRPr="00651F59">
              <w:rPr>
                <w:rFonts w:ascii="Lucida Console" w:eastAsia="Times New Roman" w:hAnsi="Lucida Console" w:cs="Calibri"/>
                <w:color w:val="000000"/>
                <w:sz w:val="20"/>
                <w:szCs w:val="20"/>
              </w:rPr>
              <w:t>3.075</w:t>
            </w:r>
          </w:p>
        </w:tc>
        <w:tc>
          <w:tcPr>
            <w:tcW w:w="972" w:type="dxa"/>
            <w:tcBorders>
              <w:top w:val="nil"/>
              <w:left w:val="nil"/>
              <w:bottom w:val="single" w:sz="4" w:space="0" w:color="auto"/>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0.759</w:t>
            </w:r>
          </w:p>
        </w:tc>
        <w:tc>
          <w:tcPr>
            <w:tcW w:w="972" w:type="dxa"/>
            <w:tcBorders>
              <w:top w:val="nil"/>
              <w:left w:val="nil"/>
              <w:bottom w:val="single" w:sz="4" w:space="0" w:color="auto"/>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1.2826</w:t>
            </w:r>
          </w:p>
        </w:tc>
        <w:tc>
          <w:tcPr>
            <w:tcW w:w="858" w:type="dxa"/>
            <w:tcBorders>
              <w:top w:val="nil"/>
              <w:left w:val="nil"/>
              <w:bottom w:val="single" w:sz="4" w:space="0" w:color="auto"/>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7.374</w:t>
            </w:r>
          </w:p>
        </w:tc>
        <w:tc>
          <w:tcPr>
            <w:tcW w:w="944" w:type="dxa"/>
            <w:tcBorders>
              <w:top w:val="nil"/>
              <w:left w:val="nil"/>
              <w:bottom w:val="single" w:sz="4" w:space="0" w:color="auto"/>
              <w:right w:val="nil"/>
            </w:tcBorders>
            <w:shd w:val="clear" w:color="auto" w:fill="auto"/>
            <w:noWrap/>
            <w:vAlign w:val="center"/>
            <w:hideMark/>
          </w:tcPr>
          <w:p w:rsidR="00476082" w:rsidRPr="00651F59" w:rsidRDefault="00476082" w:rsidP="009A43FC">
            <w:pPr>
              <w:spacing w:after="0" w:line="240" w:lineRule="auto"/>
              <w:jc w:val="center"/>
              <w:rPr>
                <w:rFonts w:ascii="Calibri" w:eastAsia="Times New Roman" w:hAnsi="Calibri" w:cs="Calibri"/>
                <w:color w:val="000000"/>
              </w:rPr>
            </w:pPr>
            <w:r w:rsidRPr="00651F59">
              <w:rPr>
                <w:rFonts w:ascii="Calibri" w:eastAsia="Times New Roman" w:hAnsi="Calibri" w:cs="Calibri"/>
                <w:color w:val="000000"/>
              </w:rPr>
              <w:t>0.0009</w:t>
            </w:r>
          </w:p>
        </w:tc>
      </w:tr>
    </w:tbl>
    <w:p w:rsidR="00476082" w:rsidRPr="00C20665" w:rsidRDefault="00476082" w:rsidP="00476082">
      <w:pPr>
        <w:jc w:val="both"/>
        <w:rPr>
          <w:b/>
        </w:rPr>
      </w:pPr>
      <w:r w:rsidRPr="00C20665">
        <w:rPr>
          <w:b/>
        </w:rPr>
        <w:t>Note: Only extracted significant pairwise difference</w:t>
      </w:r>
    </w:p>
    <w:p w:rsidR="00476082" w:rsidRDefault="00476082" w:rsidP="0041531A">
      <w:pPr>
        <w:jc w:val="both"/>
      </w:pPr>
    </w:p>
    <w:p w:rsidR="009E23C6" w:rsidRDefault="009E23C6" w:rsidP="0041531A">
      <w:pPr>
        <w:jc w:val="both"/>
      </w:pPr>
      <w:r>
        <w:t xml:space="preserve">The table below shows the Best Linear Unbiased Predictor (BLUP) for the random factor (dose nested within treatment and species crossed with dose nested within treatment) included in the model. The BLUP result describes the effect of each of the levels of the nested structure on </w:t>
      </w:r>
      <w:r w:rsidRPr="00EB0ABF">
        <w:t>average fungal growth</w:t>
      </w:r>
      <w:r>
        <w:t>. The value and sign as shown in the result below describes the size and direction of the effect respectively.</w:t>
      </w:r>
    </w:p>
    <w:p w:rsidR="008D4C67" w:rsidRDefault="008D4C67" w:rsidP="0041531A">
      <w:pPr>
        <w:jc w:val="both"/>
        <w:rPr>
          <w:rFonts w:ascii="Calibri" w:eastAsia="Times New Roman" w:hAnsi="Calibri" w:cs="Calibri"/>
          <w:color w:val="000000"/>
        </w:rPr>
      </w:pPr>
      <w:r>
        <w:t xml:space="preserve">The result from the BLUP output below shows that </w:t>
      </w:r>
      <w:r w:rsidR="00E51CFB">
        <w:t>the highest</w:t>
      </w:r>
      <w:r w:rsidR="00431960">
        <w:t xml:space="preserve"> predicted</w:t>
      </w:r>
      <w:r w:rsidR="00E51CFB">
        <w:t xml:space="preserve"> fungal growth per each of the treatment was observed when dose was equal to zero. A</w:t>
      </w:r>
      <w:r>
        <w:t xml:space="preserve">t dose = 0, the treatment </w:t>
      </w:r>
      <w:r w:rsidRPr="00F14031">
        <w:rPr>
          <w:rFonts w:ascii="Calibri" w:eastAsia="Times New Roman" w:hAnsi="Calibri" w:cs="Calibri"/>
          <w:color w:val="000000"/>
        </w:rPr>
        <w:t>DelaroComplete 3 active ingr (Proth+Trif+Fluop)</w:t>
      </w:r>
      <w:r>
        <w:rPr>
          <w:rFonts w:ascii="Calibri" w:eastAsia="Times New Roman" w:hAnsi="Calibri" w:cs="Calibri"/>
          <w:color w:val="000000"/>
        </w:rPr>
        <w:t xml:space="preserve"> has the highest predicted fungal growth (BLUP = 1.41), followed by </w:t>
      </w:r>
      <w:r w:rsidRPr="00F14031">
        <w:rPr>
          <w:rFonts w:ascii="Calibri" w:eastAsia="Times New Roman" w:hAnsi="Calibri" w:cs="Calibri"/>
          <w:color w:val="000000"/>
        </w:rPr>
        <w:t xml:space="preserve">Topguard 1 active ingr (Flutriafol)  </w:t>
      </w:r>
      <w:r>
        <w:rPr>
          <w:rFonts w:ascii="Calibri" w:eastAsia="Times New Roman" w:hAnsi="Calibri" w:cs="Calibri"/>
          <w:color w:val="000000"/>
        </w:rPr>
        <w:t xml:space="preserve">(BLUP = 0.98), </w:t>
      </w:r>
      <w:r w:rsidRPr="00F14031">
        <w:rPr>
          <w:rFonts w:ascii="Calibri" w:eastAsia="Times New Roman" w:hAnsi="Calibri" w:cs="Calibri"/>
          <w:color w:val="000000"/>
        </w:rPr>
        <w:t>Topguard EQ 2 active ingr (Flut+Azoxys)</w:t>
      </w:r>
      <w:r w:rsidR="00E51CFB">
        <w:rPr>
          <w:rFonts w:ascii="Calibri" w:eastAsia="Times New Roman" w:hAnsi="Calibri" w:cs="Calibri"/>
          <w:color w:val="000000"/>
        </w:rPr>
        <w:t xml:space="preserve"> (BLUP = 0.92), </w:t>
      </w:r>
      <w:r w:rsidR="00E51CFB" w:rsidRPr="00F14031">
        <w:rPr>
          <w:rFonts w:ascii="Calibri" w:eastAsia="Times New Roman" w:hAnsi="Calibri" w:cs="Calibri"/>
          <w:color w:val="000000"/>
        </w:rPr>
        <w:t>Endura 1 active ingr (Boscalid)</w:t>
      </w:r>
      <w:r w:rsidR="00E51CFB">
        <w:rPr>
          <w:rFonts w:ascii="Calibri" w:eastAsia="Times New Roman" w:hAnsi="Calibri" w:cs="Calibri"/>
          <w:color w:val="000000"/>
        </w:rPr>
        <w:t xml:space="preserve"> (BLUP = 0.46), and </w:t>
      </w:r>
      <w:r w:rsidR="00E51CFB" w:rsidRPr="00F14031">
        <w:rPr>
          <w:rFonts w:ascii="Calibri" w:eastAsia="Times New Roman" w:hAnsi="Calibri" w:cs="Calibri"/>
          <w:color w:val="000000"/>
        </w:rPr>
        <w:t>Quadris 1 active ingr (Azoxystrobin</w:t>
      </w:r>
      <w:r w:rsidR="00E51CFB">
        <w:rPr>
          <w:rFonts w:ascii="Calibri" w:eastAsia="Times New Roman" w:hAnsi="Calibri" w:cs="Calibri"/>
          <w:color w:val="000000"/>
        </w:rPr>
        <w:t>) (BLUP = 0.33).</w:t>
      </w:r>
    </w:p>
    <w:p w:rsidR="00E51CFB" w:rsidRDefault="00E51CFB" w:rsidP="0041531A">
      <w:pPr>
        <w:jc w:val="both"/>
        <w:rPr>
          <w:rFonts w:ascii="Calibri" w:eastAsia="Times New Roman" w:hAnsi="Calibri" w:cs="Calibri"/>
          <w:color w:val="000000"/>
        </w:rPr>
      </w:pPr>
      <w:r>
        <w:rPr>
          <w:rFonts w:ascii="Calibri" w:eastAsia="Times New Roman" w:hAnsi="Calibri" w:cs="Calibri"/>
          <w:color w:val="000000"/>
        </w:rPr>
        <w:t xml:space="preserve">For </w:t>
      </w:r>
      <w:r w:rsidRPr="00E51CFB">
        <w:rPr>
          <w:rFonts w:ascii="Calibri" w:eastAsia="Times New Roman" w:hAnsi="Calibri" w:cs="Calibri"/>
          <w:color w:val="000000"/>
        </w:rPr>
        <w:t>DelaroComplete 3 active ingr (Proth+Trif+Fluop)</w:t>
      </w:r>
      <w:r>
        <w:rPr>
          <w:rFonts w:ascii="Calibri" w:eastAsia="Times New Roman" w:hAnsi="Calibri" w:cs="Calibri"/>
          <w:color w:val="000000"/>
        </w:rPr>
        <w:t xml:space="preserve"> treatment, increasing the dose</w:t>
      </w:r>
      <w:r w:rsidR="008B00D1">
        <w:rPr>
          <w:rFonts w:ascii="Calibri" w:eastAsia="Times New Roman" w:hAnsi="Calibri" w:cs="Calibri"/>
          <w:color w:val="000000"/>
        </w:rPr>
        <w:t xml:space="preserve"> showed a deceasing trend in the BLUP values, suggesting that higher doses for this treatment is associated with a reduced fungal growth.</w:t>
      </w:r>
    </w:p>
    <w:p w:rsidR="00E51CFB" w:rsidRDefault="008B00D1" w:rsidP="0041531A">
      <w:pPr>
        <w:jc w:val="both"/>
        <w:rPr>
          <w:rFonts w:ascii="Calibri" w:eastAsia="Times New Roman" w:hAnsi="Calibri" w:cs="Calibri"/>
          <w:color w:val="000000"/>
        </w:rPr>
      </w:pPr>
      <w:r>
        <w:rPr>
          <w:rFonts w:ascii="Calibri" w:eastAsia="Times New Roman" w:hAnsi="Calibri" w:cs="Calibri"/>
          <w:color w:val="000000"/>
        </w:rPr>
        <w:t xml:space="preserve">For </w:t>
      </w:r>
      <w:r w:rsidRPr="00E51CFB">
        <w:rPr>
          <w:rFonts w:ascii="Calibri" w:eastAsia="Times New Roman" w:hAnsi="Calibri" w:cs="Calibri"/>
          <w:color w:val="000000"/>
        </w:rPr>
        <w:t>En</w:t>
      </w:r>
      <w:r>
        <w:rPr>
          <w:rFonts w:ascii="Calibri" w:eastAsia="Times New Roman" w:hAnsi="Calibri" w:cs="Calibri"/>
          <w:color w:val="000000"/>
        </w:rPr>
        <w:t xml:space="preserve">dura 1 active ingr (Boscalid), the predicted average growth </w:t>
      </w:r>
      <w:r w:rsidR="00431960">
        <w:rPr>
          <w:rFonts w:ascii="Calibri" w:eastAsia="Times New Roman" w:hAnsi="Calibri" w:cs="Calibri"/>
          <w:color w:val="000000"/>
        </w:rPr>
        <w:t>at</w:t>
      </w:r>
      <w:r>
        <w:rPr>
          <w:rFonts w:ascii="Calibri" w:eastAsia="Times New Roman" w:hAnsi="Calibri" w:cs="Calibri"/>
          <w:color w:val="000000"/>
        </w:rPr>
        <w:t xml:space="preserve"> dose </w:t>
      </w:r>
      <w:r w:rsidR="00431960">
        <w:rPr>
          <w:rFonts w:ascii="Calibri" w:eastAsia="Times New Roman" w:hAnsi="Calibri" w:cs="Calibri"/>
          <w:color w:val="000000"/>
        </w:rPr>
        <w:t>of</w:t>
      </w:r>
      <w:r>
        <w:rPr>
          <w:rFonts w:ascii="Calibri" w:eastAsia="Times New Roman" w:hAnsi="Calibri" w:cs="Calibri"/>
          <w:color w:val="000000"/>
        </w:rPr>
        <w:t xml:space="preserve"> 0.04011 is 0.13 i.e. the fungal are predicted to grow by 0.13 for the 0.04011:</w:t>
      </w:r>
      <w:r w:rsidRPr="008B00D1">
        <w:rPr>
          <w:rFonts w:ascii="Calibri" w:eastAsia="Times New Roman" w:hAnsi="Calibri" w:cs="Calibri"/>
          <w:color w:val="000000"/>
        </w:rPr>
        <w:t xml:space="preserve"> </w:t>
      </w:r>
      <w:r>
        <w:rPr>
          <w:rFonts w:ascii="Calibri" w:eastAsia="Times New Roman" w:hAnsi="Calibri" w:cs="Calibri"/>
          <w:color w:val="000000"/>
        </w:rPr>
        <w:t>Boscalid dose treatment combination, however increasing the dosage to 0.4011 and 4.011 showed a decrease in the average growth of the fungal.</w:t>
      </w:r>
    </w:p>
    <w:p w:rsidR="008D4C67" w:rsidRDefault="00431960" w:rsidP="0041531A">
      <w:pPr>
        <w:jc w:val="both"/>
        <w:rPr>
          <w:rFonts w:ascii="Calibri" w:eastAsia="Times New Roman" w:hAnsi="Calibri" w:cs="Calibri"/>
          <w:color w:val="000000"/>
        </w:rPr>
      </w:pPr>
      <w:r>
        <w:rPr>
          <w:rFonts w:ascii="Calibri" w:eastAsia="Times New Roman" w:hAnsi="Calibri" w:cs="Calibri"/>
          <w:color w:val="000000"/>
        </w:rPr>
        <w:t xml:space="preserve">For </w:t>
      </w:r>
      <w:r w:rsidRPr="00E51CFB">
        <w:rPr>
          <w:rFonts w:ascii="Calibri" w:eastAsia="Times New Roman" w:hAnsi="Calibri" w:cs="Calibri"/>
          <w:color w:val="000000"/>
        </w:rPr>
        <w:t>Quadris 1 active ingr (Azoxystrobin)</w:t>
      </w:r>
      <w:r>
        <w:rPr>
          <w:rFonts w:ascii="Calibri" w:eastAsia="Times New Roman" w:hAnsi="Calibri" w:cs="Calibri"/>
          <w:color w:val="000000"/>
        </w:rPr>
        <w:t xml:space="preserve">, </w:t>
      </w:r>
      <w:r w:rsidRPr="00E51CFB">
        <w:rPr>
          <w:rFonts w:ascii="Calibri" w:eastAsia="Times New Roman" w:hAnsi="Calibri" w:cs="Calibri"/>
          <w:color w:val="000000"/>
        </w:rPr>
        <w:t>Topgua</w:t>
      </w:r>
      <w:r>
        <w:rPr>
          <w:rFonts w:ascii="Calibri" w:eastAsia="Times New Roman" w:hAnsi="Calibri" w:cs="Calibri"/>
          <w:color w:val="000000"/>
        </w:rPr>
        <w:t xml:space="preserve">rd 1 active ingr (Flutriafol), and </w:t>
      </w:r>
      <w:r w:rsidRPr="00E51CFB">
        <w:rPr>
          <w:rFonts w:ascii="Calibri" w:eastAsia="Times New Roman" w:hAnsi="Calibri" w:cs="Calibri"/>
          <w:color w:val="000000"/>
        </w:rPr>
        <w:t>Topguard EQ 2 active ingr (Flut+Azoxys)</w:t>
      </w:r>
      <w:r>
        <w:rPr>
          <w:rFonts w:ascii="Calibri" w:eastAsia="Times New Roman" w:hAnsi="Calibri" w:cs="Calibri"/>
          <w:color w:val="000000"/>
        </w:rPr>
        <w:t>, we also observed an increase in the predicted growth of fungus for the second dose level. However, the third and fourth level showed a decrease in the predicted growth of fungus.</w:t>
      </w:r>
    </w:p>
    <w:p w:rsidR="00F14031" w:rsidRDefault="00F14031" w:rsidP="0041531A">
      <w:pPr>
        <w:jc w:val="both"/>
      </w:pPr>
      <w:r>
        <w:t xml:space="preserve">Table: Best Linear Unbiased Prediction for Dose nested </w:t>
      </w:r>
      <w:r w:rsidR="009E23C6">
        <w:t>within</w:t>
      </w:r>
      <w:r>
        <w:t xml:space="preserve"> treatment</w:t>
      </w:r>
    </w:p>
    <w:tbl>
      <w:tblPr>
        <w:tblW w:w="7732" w:type="dxa"/>
        <w:tblLook w:val="04A0" w:firstRow="1" w:lastRow="0" w:firstColumn="1" w:lastColumn="0" w:noHBand="0" w:noVBand="1"/>
      </w:tblPr>
      <w:tblGrid>
        <w:gridCol w:w="5435"/>
        <w:gridCol w:w="2297"/>
      </w:tblGrid>
      <w:tr w:rsidR="00E51CFB" w:rsidRPr="00E51CFB" w:rsidTr="00E51CFB">
        <w:trPr>
          <w:trHeight w:val="240"/>
        </w:trPr>
        <w:tc>
          <w:tcPr>
            <w:tcW w:w="5435" w:type="dxa"/>
            <w:tcBorders>
              <w:top w:val="single" w:sz="4" w:space="0" w:color="auto"/>
              <w:left w:val="nil"/>
              <w:bottom w:val="single" w:sz="4" w:space="0" w:color="auto"/>
              <w:right w:val="nil"/>
            </w:tcBorders>
            <w:shd w:val="clear" w:color="auto" w:fill="auto"/>
            <w:noWrap/>
            <w:vAlign w:val="center"/>
            <w:hideMark/>
          </w:tcPr>
          <w:p w:rsidR="00E51CFB" w:rsidRPr="00E51CFB" w:rsidRDefault="00E51CFB" w:rsidP="00E51CFB">
            <w:pPr>
              <w:spacing w:after="0" w:line="240" w:lineRule="auto"/>
              <w:rPr>
                <w:rFonts w:ascii="Calibri" w:eastAsia="Times New Roman" w:hAnsi="Calibri" w:cs="Calibri"/>
                <w:color w:val="000000"/>
              </w:rPr>
            </w:pPr>
            <w:r w:rsidRPr="00E51CFB">
              <w:rPr>
                <w:rFonts w:ascii="Calibri" w:eastAsia="Times New Roman" w:hAnsi="Calibri" w:cs="Calibri"/>
                <w:color w:val="000000"/>
              </w:rPr>
              <w:t>Dose:Treatments</w:t>
            </w:r>
          </w:p>
        </w:tc>
        <w:tc>
          <w:tcPr>
            <w:tcW w:w="2297" w:type="dxa"/>
            <w:tcBorders>
              <w:top w:val="single" w:sz="4" w:space="0" w:color="auto"/>
              <w:left w:val="nil"/>
              <w:bottom w:val="single" w:sz="4" w:space="0" w:color="auto"/>
              <w:right w:val="nil"/>
            </w:tcBorders>
            <w:shd w:val="clear" w:color="auto" w:fill="auto"/>
            <w:noWrap/>
            <w:vAlign w:val="center"/>
            <w:hideMark/>
          </w:tcPr>
          <w:p w:rsidR="00E51CFB" w:rsidRPr="00E51CFB" w:rsidRDefault="00E51CFB" w:rsidP="00E51CFB">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BLUP</w:t>
            </w:r>
          </w:p>
        </w:tc>
      </w:tr>
      <w:tr w:rsidR="00E51CFB" w:rsidRPr="00E51CFB" w:rsidTr="00E51CFB">
        <w:trPr>
          <w:trHeight w:val="240"/>
        </w:trPr>
        <w:tc>
          <w:tcPr>
            <w:tcW w:w="5435" w:type="dxa"/>
            <w:tcBorders>
              <w:top w:val="nil"/>
              <w:left w:val="nil"/>
              <w:bottom w:val="nil"/>
              <w:right w:val="nil"/>
            </w:tcBorders>
            <w:shd w:val="clear" w:color="auto" w:fill="auto"/>
            <w:noWrap/>
            <w:vAlign w:val="center"/>
            <w:hideMark/>
          </w:tcPr>
          <w:p w:rsidR="00E51CFB" w:rsidRPr="00E51CFB" w:rsidRDefault="00E51CFB" w:rsidP="00E51CFB">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0:DelaroComplete 3 active ingr (Proth+Trif+Fluop) </w:t>
            </w:r>
          </w:p>
        </w:tc>
        <w:tc>
          <w:tcPr>
            <w:tcW w:w="2297" w:type="dxa"/>
            <w:tcBorders>
              <w:top w:val="nil"/>
              <w:left w:val="nil"/>
              <w:bottom w:val="nil"/>
              <w:right w:val="nil"/>
            </w:tcBorders>
            <w:shd w:val="clear" w:color="auto" w:fill="auto"/>
            <w:noWrap/>
            <w:vAlign w:val="center"/>
            <w:hideMark/>
          </w:tcPr>
          <w:p w:rsidR="00E51CFB" w:rsidRPr="00E51CFB" w:rsidRDefault="00E51CFB" w:rsidP="00E51CFB">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1.41183167</w:t>
            </w:r>
          </w:p>
        </w:tc>
      </w:tr>
      <w:tr w:rsidR="00E51CFB" w:rsidRPr="00E51CFB" w:rsidTr="00E51CFB">
        <w:trPr>
          <w:trHeight w:val="240"/>
        </w:trPr>
        <w:tc>
          <w:tcPr>
            <w:tcW w:w="5435" w:type="dxa"/>
            <w:tcBorders>
              <w:top w:val="nil"/>
              <w:left w:val="nil"/>
              <w:bottom w:val="nil"/>
              <w:right w:val="nil"/>
            </w:tcBorders>
            <w:shd w:val="clear" w:color="auto" w:fill="auto"/>
            <w:noWrap/>
            <w:vAlign w:val="center"/>
            <w:hideMark/>
          </w:tcPr>
          <w:p w:rsidR="00E51CFB" w:rsidRPr="00E51CFB" w:rsidRDefault="00E51CFB" w:rsidP="00E51CFB">
            <w:pPr>
              <w:spacing w:after="0" w:line="240" w:lineRule="auto"/>
              <w:rPr>
                <w:rFonts w:ascii="Calibri" w:eastAsia="Times New Roman" w:hAnsi="Calibri" w:cs="Calibri"/>
                <w:color w:val="000000"/>
              </w:rPr>
            </w:pPr>
            <w:r w:rsidRPr="00E51CFB">
              <w:rPr>
                <w:rFonts w:ascii="Calibri" w:eastAsia="Times New Roman" w:hAnsi="Calibri" w:cs="Calibri"/>
                <w:color w:val="000000"/>
              </w:rPr>
              <w:t>0.06292:DelaroComplete 3 active ingr (Proth+Trif+Fluop)</w:t>
            </w:r>
          </w:p>
        </w:tc>
        <w:tc>
          <w:tcPr>
            <w:tcW w:w="2297" w:type="dxa"/>
            <w:tcBorders>
              <w:top w:val="nil"/>
              <w:left w:val="nil"/>
              <w:bottom w:val="nil"/>
              <w:right w:val="nil"/>
            </w:tcBorders>
            <w:shd w:val="clear" w:color="auto" w:fill="auto"/>
            <w:noWrap/>
            <w:vAlign w:val="center"/>
            <w:hideMark/>
          </w:tcPr>
          <w:p w:rsidR="00E51CFB" w:rsidRPr="00E51CFB" w:rsidRDefault="00E51CFB" w:rsidP="00E51CFB">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-0.29376098</w:t>
            </w:r>
          </w:p>
        </w:tc>
      </w:tr>
      <w:tr w:rsidR="00E51CFB" w:rsidRPr="00E51CFB" w:rsidTr="00E51CFB">
        <w:trPr>
          <w:trHeight w:val="240"/>
        </w:trPr>
        <w:tc>
          <w:tcPr>
            <w:tcW w:w="5435" w:type="dxa"/>
            <w:tcBorders>
              <w:top w:val="nil"/>
              <w:left w:val="nil"/>
              <w:bottom w:val="nil"/>
              <w:right w:val="nil"/>
            </w:tcBorders>
            <w:shd w:val="clear" w:color="auto" w:fill="auto"/>
            <w:noWrap/>
            <w:vAlign w:val="center"/>
            <w:hideMark/>
          </w:tcPr>
          <w:p w:rsidR="00E51CFB" w:rsidRPr="00E51CFB" w:rsidRDefault="00E51CFB" w:rsidP="00E51CFB">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0.6292:DelaroComplete 3 active ingr (Proth+Trif+Fluop) </w:t>
            </w:r>
          </w:p>
        </w:tc>
        <w:tc>
          <w:tcPr>
            <w:tcW w:w="2297" w:type="dxa"/>
            <w:tcBorders>
              <w:top w:val="nil"/>
              <w:left w:val="nil"/>
              <w:bottom w:val="nil"/>
              <w:right w:val="nil"/>
            </w:tcBorders>
            <w:shd w:val="clear" w:color="auto" w:fill="auto"/>
            <w:noWrap/>
            <w:vAlign w:val="center"/>
            <w:hideMark/>
          </w:tcPr>
          <w:p w:rsidR="00E51CFB" w:rsidRPr="00E51CFB" w:rsidRDefault="00E51CFB" w:rsidP="00E51CFB">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-0.63164527</w:t>
            </w:r>
          </w:p>
        </w:tc>
      </w:tr>
      <w:tr w:rsidR="00E51CFB" w:rsidRPr="00E51CFB" w:rsidTr="00E51CFB">
        <w:trPr>
          <w:trHeight w:val="240"/>
        </w:trPr>
        <w:tc>
          <w:tcPr>
            <w:tcW w:w="5435" w:type="dxa"/>
            <w:tcBorders>
              <w:top w:val="nil"/>
              <w:left w:val="nil"/>
              <w:bottom w:val="single" w:sz="4" w:space="0" w:color="auto"/>
              <w:right w:val="nil"/>
            </w:tcBorders>
            <w:shd w:val="clear" w:color="auto" w:fill="auto"/>
            <w:noWrap/>
            <w:vAlign w:val="center"/>
            <w:hideMark/>
          </w:tcPr>
          <w:p w:rsidR="00E51CFB" w:rsidRPr="00E51CFB" w:rsidRDefault="00E51CFB" w:rsidP="00E51CFB">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6.292:DelaroComplete 3 active ingr (Proth+Trif+Fluop) </w:t>
            </w:r>
          </w:p>
        </w:tc>
        <w:tc>
          <w:tcPr>
            <w:tcW w:w="2297" w:type="dxa"/>
            <w:tcBorders>
              <w:top w:val="nil"/>
              <w:left w:val="nil"/>
              <w:bottom w:val="single" w:sz="4" w:space="0" w:color="auto"/>
              <w:right w:val="nil"/>
            </w:tcBorders>
            <w:shd w:val="clear" w:color="auto" w:fill="auto"/>
            <w:noWrap/>
            <w:vAlign w:val="center"/>
            <w:hideMark/>
          </w:tcPr>
          <w:p w:rsidR="00E51CFB" w:rsidRPr="00E51CFB" w:rsidRDefault="00E51CFB" w:rsidP="00E51CFB">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-0.51709871</w:t>
            </w:r>
          </w:p>
        </w:tc>
      </w:tr>
      <w:tr w:rsidR="00E51CFB" w:rsidRPr="00E51CFB" w:rsidTr="00E51CFB">
        <w:trPr>
          <w:trHeight w:val="240"/>
        </w:trPr>
        <w:tc>
          <w:tcPr>
            <w:tcW w:w="5435" w:type="dxa"/>
            <w:tcBorders>
              <w:top w:val="nil"/>
              <w:left w:val="nil"/>
              <w:bottom w:val="nil"/>
              <w:right w:val="nil"/>
            </w:tcBorders>
            <w:shd w:val="clear" w:color="auto" w:fill="auto"/>
            <w:noWrap/>
            <w:vAlign w:val="center"/>
            <w:hideMark/>
          </w:tcPr>
          <w:p w:rsidR="00E51CFB" w:rsidRPr="00E51CFB" w:rsidRDefault="00E51CFB" w:rsidP="00E51CFB">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0:Endura 1 active ingr (Boscalid) </w:t>
            </w:r>
          </w:p>
        </w:tc>
        <w:tc>
          <w:tcPr>
            <w:tcW w:w="2297" w:type="dxa"/>
            <w:tcBorders>
              <w:top w:val="nil"/>
              <w:left w:val="nil"/>
              <w:bottom w:val="nil"/>
              <w:right w:val="nil"/>
            </w:tcBorders>
            <w:shd w:val="clear" w:color="auto" w:fill="auto"/>
            <w:noWrap/>
            <w:vAlign w:val="center"/>
            <w:hideMark/>
          </w:tcPr>
          <w:p w:rsidR="00E51CFB" w:rsidRPr="00E51CFB" w:rsidRDefault="00E51CFB" w:rsidP="00E51CFB">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0.46442025</w:t>
            </w:r>
          </w:p>
        </w:tc>
      </w:tr>
      <w:tr w:rsidR="00E51CFB" w:rsidRPr="00E51CFB" w:rsidTr="00E51CFB">
        <w:trPr>
          <w:trHeight w:val="240"/>
        </w:trPr>
        <w:tc>
          <w:tcPr>
            <w:tcW w:w="5435" w:type="dxa"/>
            <w:tcBorders>
              <w:top w:val="nil"/>
              <w:left w:val="nil"/>
              <w:bottom w:val="nil"/>
              <w:right w:val="nil"/>
            </w:tcBorders>
            <w:shd w:val="clear" w:color="auto" w:fill="auto"/>
            <w:noWrap/>
            <w:vAlign w:val="center"/>
            <w:hideMark/>
          </w:tcPr>
          <w:p w:rsidR="00E51CFB" w:rsidRPr="00E51CFB" w:rsidRDefault="00E51CFB" w:rsidP="00E51CFB">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0.04011:Endura 1 active ingr (Boscalid)   </w:t>
            </w:r>
          </w:p>
        </w:tc>
        <w:tc>
          <w:tcPr>
            <w:tcW w:w="2297" w:type="dxa"/>
            <w:tcBorders>
              <w:top w:val="nil"/>
              <w:left w:val="nil"/>
              <w:bottom w:val="nil"/>
              <w:right w:val="nil"/>
            </w:tcBorders>
            <w:shd w:val="clear" w:color="auto" w:fill="auto"/>
            <w:noWrap/>
            <w:vAlign w:val="center"/>
            <w:hideMark/>
          </w:tcPr>
          <w:p w:rsidR="00E51CFB" w:rsidRPr="00E51CFB" w:rsidRDefault="00E51CFB" w:rsidP="00E51CFB">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0.13117696</w:t>
            </w:r>
          </w:p>
        </w:tc>
      </w:tr>
      <w:tr w:rsidR="00E51CFB" w:rsidRPr="00E51CFB" w:rsidTr="00E51CFB">
        <w:trPr>
          <w:trHeight w:val="240"/>
        </w:trPr>
        <w:tc>
          <w:tcPr>
            <w:tcW w:w="5435" w:type="dxa"/>
            <w:tcBorders>
              <w:top w:val="nil"/>
              <w:left w:val="nil"/>
              <w:bottom w:val="nil"/>
              <w:right w:val="nil"/>
            </w:tcBorders>
            <w:shd w:val="clear" w:color="auto" w:fill="auto"/>
            <w:noWrap/>
            <w:vAlign w:val="center"/>
            <w:hideMark/>
          </w:tcPr>
          <w:p w:rsidR="00E51CFB" w:rsidRPr="00E51CFB" w:rsidRDefault="00E51CFB" w:rsidP="00E51CFB">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0.4011:Endura 1 active ingr (Boscalid) </w:t>
            </w:r>
          </w:p>
        </w:tc>
        <w:tc>
          <w:tcPr>
            <w:tcW w:w="2297" w:type="dxa"/>
            <w:tcBorders>
              <w:top w:val="nil"/>
              <w:left w:val="nil"/>
              <w:bottom w:val="nil"/>
              <w:right w:val="nil"/>
            </w:tcBorders>
            <w:shd w:val="clear" w:color="auto" w:fill="auto"/>
            <w:noWrap/>
            <w:vAlign w:val="center"/>
            <w:hideMark/>
          </w:tcPr>
          <w:p w:rsidR="00E51CFB" w:rsidRPr="00E51CFB" w:rsidRDefault="00E51CFB" w:rsidP="00E51CFB">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-0.06144593</w:t>
            </w:r>
          </w:p>
        </w:tc>
      </w:tr>
      <w:tr w:rsidR="00E51CFB" w:rsidRPr="00E51CFB" w:rsidTr="00E51CFB">
        <w:trPr>
          <w:trHeight w:val="240"/>
        </w:trPr>
        <w:tc>
          <w:tcPr>
            <w:tcW w:w="5435" w:type="dxa"/>
            <w:tcBorders>
              <w:top w:val="nil"/>
              <w:left w:val="nil"/>
              <w:bottom w:val="nil"/>
              <w:right w:val="nil"/>
            </w:tcBorders>
            <w:shd w:val="clear" w:color="auto" w:fill="auto"/>
            <w:noWrap/>
            <w:vAlign w:val="center"/>
            <w:hideMark/>
          </w:tcPr>
          <w:p w:rsidR="00E51CFB" w:rsidRPr="00E51CFB" w:rsidRDefault="00E51CFB" w:rsidP="00E51CFB">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4.011:Endura 1 active ingr (Boscalid)    </w:t>
            </w:r>
          </w:p>
        </w:tc>
        <w:tc>
          <w:tcPr>
            <w:tcW w:w="2297" w:type="dxa"/>
            <w:tcBorders>
              <w:top w:val="nil"/>
              <w:left w:val="nil"/>
              <w:bottom w:val="nil"/>
              <w:right w:val="nil"/>
            </w:tcBorders>
            <w:shd w:val="clear" w:color="auto" w:fill="auto"/>
            <w:noWrap/>
            <w:vAlign w:val="center"/>
            <w:hideMark/>
          </w:tcPr>
          <w:p w:rsidR="00E51CFB" w:rsidRPr="00E51CFB" w:rsidRDefault="00E51CFB" w:rsidP="00E51CFB">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-0.56587294</w:t>
            </w:r>
          </w:p>
        </w:tc>
      </w:tr>
      <w:tr w:rsidR="00E51CFB" w:rsidRPr="00E51CFB" w:rsidTr="00E51CFB">
        <w:trPr>
          <w:trHeight w:val="240"/>
        </w:trPr>
        <w:tc>
          <w:tcPr>
            <w:tcW w:w="5435" w:type="dxa"/>
            <w:tcBorders>
              <w:top w:val="single" w:sz="4" w:space="0" w:color="auto"/>
              <w:left w:val="nil"/>
              <w:bottom w:val="nil"/>
              <w:right w:val="nil"/>
            </w:tcBorders>
            <w:shd w:val="clear" w:color="auto" w:fill="auto"/>
            <w:noWrap/>
            <w:vAlign w:val="center"/>
            <w:hideMark/>
          </w:tcPr>
          <w:p w:rsidR="00E51CFB" w:rsidRPr="00E51CFB" w:rsidRDefault="00E51CFB" w:rsidP="00E51CFB">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0:Quadris 1 active ingr (Azoxystrobin) </w:t>
            </w:r>
          </w:p>
        </w:tc>
        <w:tc>
          <w:tcPr>
            <w:tcW w:w="2297" w:type="dxa"/>
            <w:tcBorders>
              <w:top w:val="single" w:sz="4" w:space="0" w:color="auto"/>
              <w:left w:val="nil"/>
              <w:bottom w:val="nil"/>
              <w:right w:val="nil"/>
            </w:tcBorders>
            <w:shd w:val="clear" w:color="auto" w:fill="auto"/>
            <w:noWrap/>
            <w:vAlign w:val="center"/>
            <w:hideMark/>
          </w:tcPr>
          <w:p w:rsidR="00E51CFB" w:rsidRPr="00E51CFB" w:rsidRDefault="00E51CFB" w:rsidP="00E51CFB">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0.33269808</w:t>
            </w:r>
          </w:p>
        </w:tc>
      </w:tr>
      <w:tr w:rsidR="00E51CFB" w:rsidRPr="00E51CFB" w:rsidTr="00E51CFB">
        <w:trPr>
          <w:trHeight w:val="240"/>
        </w:trPr>
        <w:tc>
          <w:tcPr>
            <w:tcW w:w="5435" w:type="dxa"/>
            <w:tcBorders>
              <w:top w:val="nil"/>
              <w:left w:val="nil"/>
              <w:bottom w:val="nil"/>
              <w:right w:val="nil"/>
            </w:tcBorders>
            <w:shd w:val="clear" w:color="auto" w:fill="auto"/>
            <w:noWrap/>
            <w:vAlign w:val="center"/>
            <w:hideMark/>
          </w:tcPr>
          <w:p w:rsidR="00E51CFB" w:rsidRPr="00E51CFB" w:rsidRDefault="00E51CFB" w:rsidP="00E51CFB">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0.061036:Quadris 1 active ingr (Azoxystrobin) </w:t>
            </w:r>
          </w:p>
        </w:tc>
        <w:tc>
          <w:tcPr>
            <w:tcW w:w="2297" w:type="dxa"/>
            <w:tcBorders>
              <w:top w:val="nil"/>
              <w:left w:val="nil"/>
              <w:bottom w:val="nil"/>
              <w:right w:val="nil"/>
            </w:tcBorders>
            <w:shd w:val="clear" w:color="auto" w:fill="auto"/>
            <w:noWrap/>
            <w:vAlign w:val="center"/>
            <w:hideMark/>
          </w:tcPr>
          <w:p w:rsidR="00E51CFB" w:rsidRPr="00E51CFB" w:rsidRDefault="00E51CFB" w:rsidP="00E51CFB">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0.10948531</w:t>
            </w:r>
          </w:p>
        </w:tc>
      </w:tr>
      <w:tr w:rsidR="00E51CFB" w:rsidRPr="00E51CFB" w:rsidTr="00E51CFB">
        <w:trPr>
          <w:trHeight w:val="240"/>
        </w:trPr>
        <w:tc>
          <w:tcPr>
            <w:tcW w:w="5435" w:type="dxa"/>
            <w:tcBorders>
              <w:top w:val="nil"/>
              <w:left w:val="nil"/>
              <w:bottom w:val="nil"/>
              <w:right w:val="nil"/>
            </w:tcBorders>
            <w:shd w:val="clear" w:color="auto" w:fill="auto"/>
            <w:noWrap/>
            <w:vAlign w:val="center"/>
            <w:hideMark/>
          </w:tcPr>
          <w:p w:rsidR="00E51CFB" w:rsidRPr="00E51CFB" w:rsidRDefault="00E51CFB" w:rsidP="00E51CFB">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0.61036:Quadris 1 active ingr (Azoxystrobin) </w:t>
            </w:r>
          </w:p>
        </w:tc>
        <w:tc>
          <w:tcPr>
            <w:tcW w:w="2297" w:type="dxa"/>
            <w:tcBorders>
              <w:top w:val="nil"/>
              <w:left w:val="nil"/>
              <w:bottom w:val="nil"/>
              <w:right w:val="nil"/>
            </w:tcBorders>
            <w:shd w:val="clear" w:color="auto" w:fill="auto"/>
            <w:noWrap/>
            <w:vAlign w:val="center"/>
            <w:hideMark/>
          </w:tcPr>
          <w:p w:rsidR="00E51CFB" w:rsidRPr="00E51CFB" w:rsidRDefault="00E51CFB" w:rsidP="00E51CFB">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-0.0933132</w:t>
            </w:r>
          </w:p>
        </w:tc>
      </w:tr>
      <w:tr w:rsidR="00E51CFB" w:rsidRPr="00E51CFB" w:rsidTr="00E51CFB">
        <w:trPr>
          <w:trHeight w:val="240"/>
        </w:trPr>
        <w:tc>
          <w:tcPr>
            <w:tcW w:w="5435" w:type="dxa"/>
            <w:tcBorders>
              <w:top w:val="nil"/>
              <w:left w:val="nil"/>
              <w:bottom w:val="single" w:sz="4" w:space="0" w:color="auto"/>
              <w:right w:val="nil"/>
            </w:tcBorders>
            <w:shd w:val="clear" w:color="auto" w:fill="auto"/>
            <w:noWrap/>
            <w:vAlign w:val="center"/>
            <w:hideMark/>
          </w:tcPr>
          <w:p w:rsidR="00E51CFB" w:rsidRPr="00E51CFB" w:rsidRDefault="00E51CFB" w:rsidP="00E51CFB">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6.1036:Quadris 1 active ingr (Azoxystrobin) </w:t>
            </w:r>
          </w:p>
        </w:tc>
        <w:tc>
          <w:tcPr>
            <w:tcW w:w="2297" w:type="dxa"/>
            <w:tcBorders>
              <w:top w:val="nil"/>
              <w:left w:val="nil"/>
              <w:bottom w:val="single" w:sz="4" w:space="0" w:color="auto"/>
              <w:right w:val="nil"/>
            </w:tcBorders>
            <w:shd w:val="clear" w:color="auto" w:fill="auto"/>
            <w:noWrap/>
            <w:vAlign w:val="center"/>
            <w:hideMark/>
          </w:tcPr>
          <w:p w:rsidR="00E51CFB" w:rsidRPr="00E51CFB" w:rsidRDefault="00E51CFB" w:rsidP="00E51CFB">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-0.38060329</w:t>
            </w:r>
          </w:p>
        </w:tc>
      </w:tr>
      <w:tr w:rsidR="00E51CFB" w:rsidRPr="00E51CFB" w:rsidTr="00E51CFB">
        <w:trPr>
          <w:trHeight w:val="240"/>
        </w:trPr>
        <w:tc>
          <w:tcPr>
            <w:tcW w:w="5435" w:type="dxa"/>
            <w:tcBorders>
              <w:top w:val="nil"/>
              <w:left w:val="nil"/>
              <w:bottom w:val="nil"/>
              <w:right w:val="nil"/>
            </w:tcBorders>
            <w:shd w:val="clear" w:color="auto" w:fill="auto"/>
            <w:noWrap/>
            <w:vAlign w:val="center"/>
            <w:hideMark/>
          </w:tcPr>
          <w:p w:rsidR="00E51CFB" w:rsidRPr="00E51CFB" w:rsidRDefault="00E51CFB" w:rsidP="00E51CFB">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0:Topguard 1 active ingr (Flutriafol)  </w:t>
            </w:r>
          </w:p>
        </w:tc>
        <w:tc>
          <w:tcPr>
            <w:tcW w:w="2297" w:type="dxa"/>
            <w:tcBorders>
              <w:top w:val="nil"/>
              <w:left w:val="nil"/>
              <w:bottom w:val="nil"/>
              <w:right w:val="nil"/>
            </w:tcBorders>
            <w:shd w:val="clear" w:color="auto" w:fill="auto"/>
            <w:noWrap/>
            <w:vAlign w:val="center"/>
            <w:hideMark/>
          </w:tcPr>
          <w:p w:rsidR="00E51CFB" w:rsidRPr="00E51CFB" w:rsidRDefault="00E51CFB" w:rsidP="00E51CFB">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0.97812746</w:t>
            </w:r>
          </w:p>
        </w:tc>
      </w:tr>
      <w:tr w:rsidR="00E51CFB" w:rsidRPr="00E51CFB" w:rsidTr="00E51CFB">
        <w:trPr>
          <w:trHeight w:val="240"/>
        </w:trPr>
        <w:tc>
          <w:tcPr>
            <w:tcW w:w="5435" w:type="dxa"/>
            <w:tcBorders>
              <w:top w:val="nil"/>
              <w:left w:val="nil"/>
              <w:bottom w:val="nil"/>
              <w:right w:val="nil"/>
            </w:tcBorders>
            <w:shd w:val="clear" w:color="auto" w:fill="auto"/>
            <w:noWrap/>
            <w:vAlign w:val="center"/>
            <w:hideMark/>
          </w:tcPr>
          <w:p w:rsidR="00E51CFB" w:rsidRPr="00E51CFB" w:rsidRDefault="00E51CFB" w:rsidP="00E51CFB">
            <w:pPr>
              <w:spacing w:after="0" w:line="240" w:lineRule="auto"/>
              <w:rPr>
                <w:rFonts w:ascii="Calibri" w:eastAsia="Times New Roman" w:hAnsi="Calibri" w:cs="Calibri"/>
                <w:color w:val="000000"/>
              </w:rPr>
            </w:pPr>
            <w:r w:rsidRPr="00E51CFB">
              <w:rPr>
                <w:rFonts w:ascii="Calibri" w:eastAsia="Times New Roman" w:hAnsi="Calibri" w:cs="Calibri"/>
                <w:color w:val="000000"/>
              </w:rPr>
              <w:lastRenderedPageBreak/>
              <w:t xml:space="preserve">0.057975:Topguard 1 active ingr (Flutriafol)   </w:t>
            </w:r>
          </w:p>
        </w:tc>
        <w:tc>
          <w:tcPr>
            <w:tcW w:w="2297" w:type="dxa"/>
            <w:tcBorders>
              <w:top w:val="nil"/>
              <w:left w:val="nil"/>
              <w:bottom w:val="nil"/>
              <w:right w:val="nil"/>
            </w:tcBorders>
            <w:shd w:val="clear" w:color="auto" w:fill="auto"/>
            <w:noWrap/>
            <w:vAlign w:val="center"/>
            <w:hideMark/>
          </w:tcPr>
          <w:p w:rsidR="00E51CFB" w:rsidRPr="00E51CFB" w:rsidRDefault="00E51CFB" w:rsidP="00E51CFB">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0.3180565</w:t>
            </w:r>
          </w:p>
        </w:tc>
      </w:tr>
      <w:tr w:rsidR="00E51CFB" w:rsidRPr="00E51CFB" w:rsidTr="00E51CFB">
        <w:trPr>
          <w:trHeight w:val="240"/>
        </w:trPr>
        <w:tc>
          <w:tcPr>
            <w:tcW w:w="5435" w:type="dxa"/>
            <w:tcBorders>
              <w:top w:val="nil"/>
              <w:left w:val="nil"/>
              <w:bottom w:val="nil"/>
              <w:right w:val="nil"/>
            </w:tcBorders>
            <w:shd w:val="clear" w:color="auto" w:fill="auto"/>
            <w:noWrap/>
            <w:vAlign w:val="center"/>
            <w:hideMark/>
          </w:tcPr>
          <w:p w:rsidR="00E51CFB" w:rsidRPr="00E51CFB" w:rsidRDefault="00E51CFB" w:rsidP="00E51CFB">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0.57975:Topguard 1 active ingr (Flutriafol) </w:t>
            </w:r>
          </w:p>
        </w:tc>
        <w:tc>
          <w:tcPr>
            <w:tcW w:w="2297" w:type="dxa"/>
            <w:tcBorders>
              <w:top w:val="nil"/>
              <w:left w:val="nil"/>
              <w:bottom w:val="nil"/>
              <w:right w:val="nil"/>
            </w:tcBorders>
            <w:shd w:val="clear" w:color="auto" w:fill="auto"/>
            <w:noWrap/>
            <w:vAlign w:val="center"/>
            <w:hideMark/>
          </w:tcPr>
          <w:p w:rsidR="00E51CFB" w:rsidRPr="00E51CFB" w:rsidRDefault="00E51CFB" w:rsidP="00E51CFB">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-0.52031834</w:t>
            </w:r>
          </w:p>
        </w:tc>
      </w:tr>
      <w:tr w:rsidR="00E51CFB" w:rsidRPr="00E51CFB" w:rsidTr="00E51CFB">
        <w:trPr>
          <w:trHeight w:val="240"/>
        </w:trPr>
        <w:tc>
          <w:tcPr>
            <w:tcW w:w="5435" w:type="dxa"/>
            <w:tcBorders>
              <w:top w:val="nil"/>
              <w:left w:val="nil"/>
              <w:bottom w:val="nil"/>
              <w:right w:val="nil"/>
            </w:tcBorders>
            <w:shd w:val="clear" w:color="auto" w:fill="auto"/>
            <w:noWrap/>
            <w:vAlign w:val="center"/>
            <w:hideMark/>
          </w:tcPr>
          <w:p w:rsidR="00E51CFB" w:rsidRPr="00E51CFB" w:rsidRDefault="00E51CFB" w:rsidP="00E51CFB">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5.7975:Topguard 1 active ingr (Flutriafol)   </w:t>
            </w:r>
          </w:p>
        </w:tc>
        <w:tc>
          <w:tcPr>
            <w:tcW w:w="2297" w:type="dxa"/>
            <w:tcBorders>
              <w:top w:val="nil"/>
              <w:left w:val="nil"/>
              <w:bottom w:val="nil"/>
              <w:right w:val="nil"/>
            </w:tcBorders>
            <w:shd w:val="clear" w:color="auto" w:fill="auto"/>
            <w:noWrap/>
            <w:vAlign w:val="center"/>
            <w:hideMark/>
          </w:tcPr>
          <w:p w:rsidR="00E51CFB" w:rsidRPr="00E51CFB" w:rsidRDefault="00E51CFB" w:rsidP="00E51CFB">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-0.80848228</w:t>
            </w:r>
          </w:p>
        </w:tc>
      </w:tr>
      <w:tr w:rsidR="00E51CFB" w:rsidRPr="00E51CFB" w:rsidTr="00E51CFB">
        <w:trPr>
          <w:trHeight w:val="240"/>
        </w:trPr>
        <w:tc>
          <w:tcPr>
            <w:tcW w:w="5435" w:type="dxa"/>
            <w:tcBorders>
              <w:top w:val="single" w:sz="4" w:space="0" w:color="auto"/>
              <w:left w:val="nil"/>
              <w:bottom w:val="nil"/>
              <w:right w:val="nil"/>
            </w:tcBorders>
            <w:shd w:val="clear" w:color="auto" w:fill="auto"/>
            <w:noWrap/>
            <w:vAlign w:val="center"/>
            <w:hideMark/>
          </w:tcPr>
          <w:p w:rsidR="00E51CFB" w:rsidRPr="00E51CFB" w:rsidRDefault="00E51CFB" w:rsidP="00E51CFB">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0:Topguard EQ 2 active ingr (Flut+Azoxys) </w:t>
            </w:r>
          </w:p>
        </w:tc>
        <w:tc>
          <w:tcPr>
            <w:tcW w:w="2297" w:type="dxa"/>
            <w:tcBorders>
              <w:top w:val="single" w:sz="4" w:space="0" w:color="auto"/>
              <w:left w:val="nil"/>
              <w:bottom w:val="nil"/>
              <w:right w:val="nil"/>
            </w:tcBorders>
            <w:shd w:val="clear" w:color="auto" w:fill="auto"/>
            <w:noWrap/>
            <w:vAlign w:val="center"/>
            <w:hideMark/>
          </w:tcPr>
          <w:p w:rsidR="00E51CFB" w:rsidRPr="00E51CFB" w:rsidRDefault="00E51CFB" w:rsidP="00E51CFB">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0.92044363</w:t>
            </w:r>
          </w:p>
        </w:tc>
      </w:tr>
      <w:tr w:rsidR="00E51CFB" w:rsidRPr="00E51CFB" w:rsidTr="00E51CFB">
        <w:trPr>
          <w:trHeight w:val="240"/>
        </w:trPr>
        <w:tc>
          <w:tcPr>
            <w:tcW w:w="5435" w:type="dxa"/>
            <w:tcBorders>
              <w:top w:val="nil"/>
              <w:left w:val="nil"/>
              <w:bottom w:val="nil"/>
              <w:right w:val="nil"/>
            </w:tcBorders>
            <w:shd w:val="clear" w:color="auto" w:fill="auto"/>
            <w:noWrap/>
            <w:vAlign w:val="center"/>
            <w:hideMark/>
          </w:tcPr>
          <w:p w:rsidR="00E51CFB" w:rsidRPr="00E51CFB" w:rsidRDefault="00E51CFB" w:rsidP="00E51CFB">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0.049128:Topguard EQ 2 active ingr (Flut+Azoxys) </w:t>
            </w:r>
          </w:p>
        </w:tc>
        <w:tc>
          <w:tcPr>
            <w:tcW w:w="2297" w:type="dxa"/>
            <w:tcBorders>
              <w:top w:val="nil"/>
              <w:left w:val="nil"/>
              <w:bottom w:val="nil"/>
              <w:right w:val="nil"/>
            </w:tcBorders>
            <w:shd w:val="clear" w:color="auto" w:fill="auto"/>
            <w:noWrap/>
            <w:vAlign w:val="center"/>
            <w:hideMark/>
          </w:tcPr>
          <w:p w:rsidR="00E51CFB" w:rsidRPr="00E51CFB" w:rsidRDefault="00E51CFB" w:rsidP="00E51CFB">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0.05013726</w:t>
            </w:r>
          </w:p>
        </w:tc>
      </w:tr>
      <w:tr w:rsidR="00E51CFB" w:rsidRPr="00E51CFB" w:rsidTr="00E51CFB">
        <w:trPr>
          <w:trHeight w:val="240"/>
        </w:trPr>
        <w:tc>
          <w:tcPr>
            <w:tcW w:w="5435" w:type="dxa"/>
            <w:tcBorders>
              <w:top w:val="nil"/>
              <w:left w:val="nil"/>
              <w:bottom w:val="nil"/>
              <w:right w:val="nil"/>
            </w:tcBorders>
            <w:shd w:val="clear" w:color="auto" w:fill="auto"/>
            <w:noWrap/>
            <w:vAlign w:val="center"/>
            <w:hideMark/>
          </w:tcPr>
          <w:p w:rsidR="00E51CFB" w:rsidRPr="00E51CFB" w:rsidRDefault="00E51CFB" w:rsidP="00E51CFB">
            <w:pPr>
              <w:spacing w:after="0" w:line="240" w:lineRule="auto"/>
              <w:rPr>
                <w:rFonts w:ascii="Calibri" w:eastAsia="Times New Roman" w:hAnsi="Calibri" w:cs="Calibri"/>
                <w:color w:val="000000"/>
              </w:rPr>
            </w:pPr>
            <w:r w:rsidRPr="00E51CFB">
              <w:rPr>
                <w:rFonts w:ascii="Calibri" w:eastAsia="Times New Roman" w:hAnsi="Calibri" w:cs="Calibri"/>
                <w:color w:val="000000"/>
              </w:rPr>
              <w:t>0.49128:Topguard EQ 2 active ingr (Flut+Azoxys)</w:t>
            </w:r>
          </w:p>
        </w:tc>
        <w:tc>
          <w:tcPr>
            <w:tcW w:w="2297" w:type="dxa"/>
            <w:tcBorders>
              <w:top w:val="nil"/>
              <w:left w:val="nil"/>
              <w:bottom w:val="nil"/>
              <w:right w:val="nil"/>
            </w:tcBorders>
            <w:shd w:val="clear" w:color="auto" w:fill="auto"/>
            <w:noWrap/>
            <w:vAlign w:val="center"/>
            <w:hideMark/>
          </w:tcPr>
          <w:p w:rsidR="00E51CFB" w:rsidRPr="00E51CFB" w:rsidRDefault="00E51CFB" w:rsidP="00E51CFB">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-0.40679298</w:t>
            </w:r>
          </w:p>
        </w:tc>
      </w:tr>
      <w:tr w:rsidR="00E51CFB" w:rsidRPr="00E51CFB" w:rsidTr="00E51CFB">
        <w:trPr>
          <w:trHeight w:val="240"/>
        </w:trPr>
        <w:tc>
          <w:tcPr>
            <w:tcW w:w="5435" w:type="dxa"/>
            <w:tcBorders>
              <w:top w:val="nil"/>
              <w:left w:val="nil"/>
              <w:bottom w:val="single" w:sz="4" w:space="0" w:color="auto"/>
              <w:right w:val="nil"/>
            </w:tcBorders>
            <w:shd w:val="clear" w:color="auto" w:fill="auto"/>
            <w:noWrap/>
            <w:vAlign w:val="center"/>
            <w:hideMark/>
          </w:tcPr>
          <w:p w:rsidR="00E51CFB" w:rsidRPr="00E51CFB" w:rsidRDefault="00E51CFB" w:rsidP="00E51CFB">
            <w:pPr>
              <w:spacing w:after="0" w:line="240" w:lineRule="auto"/>
              <w:rPr>
                <w:rFonts w:ascii="Calibri" w:eastAsia="Times New Roman" w:hAnsi="Calibri" w:cs="Calibri"/>
                <w:color w:val="000000"/>
              </w:rPr>
            </w:pPr>
            <w:r w:rsidRPr="00E51CFB">
              <w:rPr>
                <w:rFonts w:ascii="Calibri" w:eastAsia="Times New Roman" w:hAnsi="Calibri" w:cs="Calibri"/>
                <w:color w:val="000000"/>
              </w:rPr>
              <w:t xml:space="preserve">4.9128:Topguard EQ 2 active ingr (Flut+Azoxys) </w:t>
            </w:r>
          </w:p>
        </w:tc>
        <w:tc>
          <w:tcPr>
            <w:tcW w:w="2297" w:type="dxa"/>
            <w:tcBorders>
              <w:top w:val="nil"/>
              <w:left w:val="nil"/>
              <w:bottom w:val="single" w:sz="4" w:space="0" w:color="auto"/>
              <w:right w:val="nil"/>
            </w:tcBorders>
            <w:shd w:val="clear" w:color="auto" w:fill="auto"/>
            <w:noWrap/>
            <w:vAlign w:val="center"/>
            <w:hideMark/>
          </w:tcPr>
          <w:p w:rsidR="00E51CFB" w:rsidRPr="00E51CFB" w:rsidRDefault="00E51CFB" w:rsidP="00E51CFB">
            <w:pPr>
              <w:spacing w:after="0" w:line="240" w:lineRule="auto"/>
              <w:jc w:val="center"/>
              <w:rPr>
                <w:rFonts w:ascii="Calibri" w:eastAsia="Times New Roman" w:hAnsi="Calibri" w:cs="Calibri"/>
                <w:color w:val="000000"/>
              </w:rPr>
            </w:pPr>
            <w:r w:rsidRPr="00E51CFB">
              <w:rPr>
                <w:rFonts w:ascii="Calibri" w:eastAsia="Times New Roman" w:hAnsi="Calibri" w:cs="Calibri"/>
                <w:color w:val="000000"/>
              </w:rPr>
              <w:t>-0.59860489</w:t>
            </w:r>
          </w:p>
        </w:tc>
      </w:tr>
    </w:tbl>
    <w:p w:rsidR="00E51CFB" w:rsidRDefault="00E51CFB" w:rsidP="0041531A">
      <w:pPr>
        <w:jc w:val="both"/>
      </w:pPr>
    </w:p>
    <w:p w:rsidR="00E51CFB" w:rsidRDefault="00E51CFB" w:rsidP="0041531A">
      <w:pPr>
        <w:jc w:val="both"/>
      </w:pPr>
    </w:p>
    <w:p w:rsidR="00D45789" w:rsidRDefault="00D45789" w:rsidP="00D45789">
      <w:pPr>
        <w:jc w:val="both"/>
      </w:pPr>
      <w:r>
        <w:t>A Best Linear Unbiased Prediction (BLUP) was conducted to estimate the random effects of Species crossed with Dose nested within Treatment, on fungal growth.</w:t>
      </w:r>
    </w:p>
    <w:p w:rsidR="00D45789" w:rsidRDefault="00D45789" w:rsidP="00D45789">
      <w:pPr>
        <w:jc w:val="both"/>
      </w:pPr>
      <w:r>
        <w:t>For Diaporthe longicolla species, the DelaroComplete (Proth+Trif+Fluop) and Topguard (Flutriafol) treatment showed little</w:t>
      </w:r>
      <w:r w:rsidR="00D451E9">
        <w:t xml:space="preserve"> decrease </w:t>
      </w:r>
      <w:r>
        <w:t>with values close to zero</w:t>
      </w:r>
      <w:r w:rsidR="00D451E9">
        <w:t xml:space="preserve"> in BLUP estimates for dose 0 while for other dose, fungus growth neither increase nor decrease.</w:t>
      </w:r>
      <w:r>
        <w:t xml:space="preserve"> This suggests that fungal growth under this treatment remained relatively s</w:t>
      </w:r>
      <w:r w:rsidR="00D451E9">
        <w:t xml:space="preserve">table when the dose was increased. </w:t>
      </w:r>
      <w:r>
        <w:t>Endura (Boscalid) showed the highest positive BLUP at dose 4.011 (BLUP = 0.298), indicating increased fungal growth at this dose compared to lower concentrations. However, at lower doses (0.00, 0.04011 and 0.4011), the BLUP estimates were negative, suggesting a decrease in fungal growth.</w:t>
      </w:r>
      <w:r w:rsidR="00D451E9">
        <w:t xml:space="preserve"> </w:t>
      </w:r>
      <w:r>
        <w:t>Quadris (Azoxystrobin) demonstrated negative BLUP estimates at lower doses (BLUP = -0.282 at dose 0 and -0.063 at dose 0.061) but increased at higher doses (BLUP = 0.12 and 0.22 at 0.61036 and 6.1036 respectively</w:t>
      </w:r>
      <w:r w:rsidR="00D451E9">
        <w:t xml:space="preserve">). For </w:t>
      </w:r>
      <w:r>
        <w:t>Topguard EQ (Flut+Azoxys)</w:t>
      </w:r>
      <w:r w:rsidR="00D451E9">
        <w:t>, the prediction showed that fungal growth reduced at dose 0, predicted increase in growth by 0.265 at dose 0.049128 while at dose 0.49128 and 4.9128, there fungus growth neither increase nor decrease.</w:t>
      </w:r>
    </w:p>
    <w:p w:rsidR="00BC4DCE" w:rsidRDefault="003A03F1" w:rsidP="003A03F1">
      <w:pPr>
        <w:jc w:val="both"/>
        <w:rPr>
          <w:rFonts w:ascii="Calibri" w:eastAsia="Times New Roman" w:hAnsi="Calibri" w:cs="Calibri"/>
          <w:color w:val="000000"/>
        </w:rPr>
      </w:pPr>
      <w:r>
        <w:t xml:space="preserve">For </w:t>
      </w:r>
      <w:r w:rsidRPr="00E5749E">
        <w:rPr>
          <w:rFonts w:ascii="Calibri" w:eastAsia="Times New Roman" w:hAnsi="Calibri" w:cs="Calibri"/>
          <w:color w:val="000000"/>
        </w:rPr>
        <w:t>Fusarium oxysporum</w:t>
      </w:r>
      <w:r>
        <w:rPr>
          <w:rFonts w:ascii="Calibri" w:eastAsia="Times New Roman" w:hAnsi="Calibri" w:cs="Calibri"/>
          <w:color w:val="000000"/>
        </w:rPr>
        <w:t xml:space="preserve"> species treated with </w:t>
      </w:r>
      <w:r w:rsidRPr="00E5749E">
        <w:rPr>
          <w:rFonts w:ascii="Calibri" w:eastAsia="Times New Roman" w:hAnsi="Calibri" w:cs="Calibri"/>
          <w:color w:val="000000"/>
        </w:rPr>
        <w:t xml:space="preserve">DelaroComplete 3 </w:t>
      </w:r>
      <w:r>
        <w:rPr>
          <w:rFonts w:ascii="Calibri" w:eastAsia="Times New Roman" w:hAnsi="Calibri" w:cs="Calibri"/>
          <w:color w:val="000000"/>
        </w:rPr>
        <w:t xml:space="preserve">active ingr (Proth+Trif+Fluop) and </w:t>
      </w:r>
      <w:r w:rsidRPr="00E5749E">
        <w:rPr>
          <w:rFonts w:ascii="Calibri" w:eastAsia="Times New Roman" w:hAnsi="Calibri" w:cs="Calibri"/>
          <w:color w:val="000000"/>
        </w:rPr>
        <w:t xml:space="preserve">Quadris </w:t>
      </w:r>
      <w:r>
        <w:rPr>
          <w:rFonts w:ascii="Calibri" w:eastAsia="Times New Roman" w:hAnsi="Calibri" w:cs="Calibri"/>
          <w:color w:val="000000"/>
        </w:rPr>
        <w:t xml:space="preserve">1 active ingr (Azoxystrobin), the Best Linear Unbiased Prediction result showed an increase in fungus growth for the first two dose while the fungus growth reduced for the other dose. </w:t>
      </w:r>
      <w:r>
        <w:t xml:space="preserve">For </w:t>
      </w:r>
      <w:r w:rsidRPr="00E5749E">
        <w:rPr>
          <w:rFonts w:ascii="Calibri" w:eastAsia="Times New Roman" w:hAnsi="Calibri" w:cs="Calibri"/>
          <w:color w:val="000000"/>
        </w:rPr>
        <w:t>Fusarium oxysporum</w:t>
      </w:r>
      <w:r>
        <w:rPr>
          <w:rFonts w:ascii="Calibri" w:eastAsia="Times New Roman" w:hAnsi="Calibri" w:cs="Calibri"/>
          <w:color w:val="000000"/>
        </w:rPr>
        <w:t xml:space="preserve"> species treated with </w:t>
      </w:r>
      <w:r w:rsidRPr="00E5749E">
        <w:rPr>
          <w:rFonts w:ascii="Calibri" w:eastAsia="Times New Roman" w:hAnsi="Calibri" w:cs="Calibri"/>
          <w:color w:val="000000"/>
        </w:rPr>
        <w:t>End</w:t>
      </w:r>
      <w:r>
        <w:rPr>
          <w:rFonts w:ascii="Calibri" w:eastAsia="Times New Roman" w:hAnsi="Calibri" w:cs="Calibri"/>
          <w:color w:val="000000"/>
        </w:rPr>
        <w:t>ura 1 active ingr (Boscalid), the Best Linear Unbiased Prediction result showed an increase in fungus growth for the first three dose (0.0, 0.0</w:t>
      </w:r>
      <w:r w:rsidRPr="00E5749E">
        <w:rPr>
          <w:rFonts w:ascii="Calibri" w:eastAsia="Times New Roman" w:hAnsi="Calibri" w:cs="Calibri"/>
          <w:color w:val="000000"/>
        </w:rPr>
        <w:t>4011</w:t>
      </w:r>
      <w:r>
        <w:rPr>
          <w:rFonts w:ascii="Calibri" w:eastAsia="Times New Roman" w:hAnsi="Calibri" w:cs="Calibri"/>
          <w:color w:val="000000"/>
        </w:rPr>
        <w:t>, and 0.</w:t>
      </w:r>
      <w:r w:rsidRPr="00E5749E">
        <w:rPr>
          <w:rFonts w:ascii="Calibri" w:eastAsia="Times New Roman" w:hAnsi="Calibri" w:cs="Calibri"/>
          <w:color w:val="000000"/>
        </w:rPr>
        <w:t>4011</w:t>
      </w:r>
      <w:r>
        <w:rPr>
          <w:rFonts w:ascii="Calibri" w:eastAsia="Times New Roman" w:hAnsi="Calibri" w:cs="Calibri"/>
          <w:color w:val="000000"/>
        </w:rPr>
        <w:t xml:space="preserve">) while it predicted a reduction in the growth of fungus for dose 4.011. </w:t>
      </w:r>
      <w:r w:rsidR="00D10086">
        <w:t xml:space="preserve">For </w:t>
      </w:r>
      <w:r w:rsidR="00D10086" w:rsidRPr="00E5749E">
        <w:rPr>
          <w:rFonts w:ascii="Calibri" w:eastAsia="Times New Roman" w:hAnsi="Calibri" w:cs="Calibri"/>
          <w:color w:val="000000"/>
        </w:rPr>
        <w:t>Fusarium oxysporum</w:t>
      </w:r>
      <w:r w:rsidR="00D10086">
        <w:rPr>
          <w:rFonts w:ascii="Calibri" w:eastAsia="Times New Roman" w:hAnsi="Calibri" w:cs="Calibri"/>
          <w:color w:val="000000"/>
        </w:rPr>
        <w:t xml:space="preserve"> species treated </w:t>
      </w:r>
      <w:r w:rsidR="00D10086" w:rsidRPr="00E5749E">
        <w:rPr>
          <w:rFonts w:ascii="Calibri" w:eastAsia="Times New Roman" w:hAnsi="Calibri" w:cs="Calibri"/>
          <w:color w:val="000000"/>
        </w:rPr>
        <w:t xml:space="preserve">Topguard </w:t>
      </w:r>
      <w:r w:rsidR="00D10086">
        <w:rPr>
          <w:rFonts w:ascii="Calibri" w:eastAsia="Times New Roman" w:hAnsi="Calibri" w:cs="Calibri"/>
          <w:color w:val="000000"/>
        </w:rPr>
        <w:t xml:space="preserve">1 active ingr (Flutriafol), BLUP predicted a decrease in growth for dose level 0 and </w:t>
      </w:r>
      <w:r w:rsidR="00D10086" w:rsidRPr="00E5749E">
        <w:rPr>
          <w:rFonts w:ascii="Calibri" w:eastAsia="Times New Roman" w:hAnsi="Calibri" w:cs="Calibri"/>
          <w:color w:val="000000"/>
        </w:rPr>
        <w:t>0.057975</w:t>
      </w:r>
      <w:r w:rsidR="00D10086">
        <w:rPr>
          <w:rFonts w:ascii="Calibri" w:eastAsia="Times New Roman" w:hAnsi="Calibri" w:cs="Calibri"/>
          <w:color w:val="000000"/>
        </w:rPr>
        <w:t xml:space="preserve"> while the other two level is predicted to increase growth in this specie.</w:t>
      </w:r>
      <w:r w:rsidR="00BC4DCE">
        <w:rPr>
          <w:rFonts w:ascii="Calibri" w:eastAsia="Times New Roman" w:hAnsi="Calibri" w:cs="Calibri"/>
          <w:color w:val="000000"/>
        </w:rPr>
        <w:t xml:space="preserve"> </w:t>
      </w:r>
      <w:r>
        <w:t xml:space="preserve">For </w:t>
      </w:r>
      <w:r w:rsidRPr="00E5749E">
        <w:rPr>
          <w:rFonts w:ascii="Calibri" w:eastAsia="Times New Roman" w:hAnsi="Calibri" w:cs="Calibri"/>
          <w:color w:val="000000"/>
        </w:rPr>
        <w:t>Fusarium oxysporum</w:t>
      </w:r>
      <w:r>
        <w:rPr>
          <w:rFonts w:ascii="Calibri" w:eastAsia="Times New Roman" w:hAnsi="Calibri" w:cs="Calibri"/>
          <w:color w:val="000000"/>
        </w:rPr>
        <w:t xml:space="preserve"> species treated with </w:t>
      </w:r>
      <w:r w:rsidRPr="00E5749E">
        <w:rPr>
          <w:rFonts w:ascii="Calibri" w:eastAsia="Times New Roman" w:hAnsi="Calibri" w:cs="Calibri"/>
          <w:color w:val="000000"/>
        </w:rPr>
        <w:t>Topguard E</w:t>
      </w:r>
      <w:r>
        <w:rPr>
          <w:rFonts w:ascii="Calibri" w:eastAsia="Times New Roman" w:hAnsi="Calibri" w:cs="Calibri"/>
          <w:color w:val="000000"/>
        </w:rPr>
        <w:t xml:space="preserve">Q 2 active ingr (Flut+Azoxys), the Best Linear Unbiased Prediction result showed an increase in fungus growth for </w:t>
      </w:r>
      <w:r w:rsidR="00BC4DCE">
        <w:rPr>
          <w:rFonts w:ascii="Calibri" w:eastAsia="Times New Roman" w:hAnsi="Calibri" w:cs="Calibri"/>
          <w:color w:val="000000"/>
        </w:rPr>
        <w:t xml:space="preserve">dose </w:t>
      </w:r>
      <w:r w:rsidR="00BC4DCE" w:rsidRPr="00E5749E">
        <w:rPr>
          <w:rFonts w:ascii="Calibri" w:eastAsia="Times New Roman" w:hAnsi="Calibri" w:cs="Calibri"/>
          <w:color w:val="000000"/>
        </w:rPr>
        <w:t>0.049128</w:t>
      </w:r>
      <w:r w:rsidR="00BC4DCE">
        <w:rPr>
          <w:rFonts w:ascii="Calibri" w:eastAsia="Times New Roman" w:hAnsi="Calibri" w:cs="Calibri"/>
          <w:color w:val="000000"/>
        </w:rPr>
        <w:t xml:space="preserve"> and 4.9128 while the other two dose were predicted to reduce growth of fungus.</w:t>
      </w:r>
    </w:p>
    <w:p w:rsidR="00BC4DCE" w:rsidRDefault="00BC4DCE" w:rsidP="00BC4DCE">
      <w:pPr>
        <w:jc w:val="both"/>
        <w:rPr>
          <w:rFonts w:ascii="Calibri" w:eastAsia="Times New Roman" w:hAnsi="Calibri" w:cs="Calibri"/>
          <w:color w:val="000000"/>
        </w:rPr>
      </w:pPr>
      <w:r>
        <w:rPr>
          <w:rFonts w:ascii="Calibri" w:eastAsia="Times New Roman" w:hAnsi="Calibri" w:cs="Calibri"/>
          <w:color w:val="000000"/>
        </w:rPr>
        <w:t xml:space="preserve">For </w:t>
      </w:r>
      <w:r w:rsidRPr="00E5749E">
        <w:rPr>
          <w:rFonts w:ascii="Calibri" w:eastAsia="Times New Roman" w:hAnsi="Calibri" w:cs="Calibri"/>
          <w:color w:val="000000"/>
        </w:rPr>
        <w:t>Fusarium solani</w:t>
      </w:r>
      <w:r>
        <w:rPr>
          <w:rFonts w:ascii="Calibri" w:eastAsia="Times New Roman" w:hAnsi="Calibri" w:cs="Calibri"/>
          <w:color w:val="000000"/>
        </w:rPr>
        <w:t xml:space="preserve"> species treated with </w:t>
      </w:r>
      <w:r w:rsidRPr="00E5749E">
        <w:rPr>
          <w:rFonts w:ascii="Calibri" w:eastAsia="Times New Roman" w:hAnsi="Calibri" w:cs="Calibri"/>
          <w:color w:val="000000"/>
        </w:rPr>
        <w:t xml:space="preserve">DelaroComplete 3 </w:t>
      </w:r>
      <w:r>
        <w:rPr>
          <w:rFonts w:ascii="Calibri" w:eastAsia="Times New Roman" w:hAnsi="Calibri" w:cs="Calibri"/>
          <w:color w:val="000000"/>
        </w:rPr>
        <w:t xml:space="preserve">active ingr (Proth+Trif+Fluop), dose 0 showed a reduction in growth while the other dose level showed a zero growth. For </w:t>
      </w:r>
      <w:r w:rsidRPr="00E5749E">
        <w:rPr>
          <w:rFonts w:ascii="Calibri" w:eastAsia="Times New Roman" w:hAnsi="Calibri" w:cs="Calibri"/>
          <w:color w:val="000000"/>
        </w:rPr>
        <w:t>Fusarium solani</w:t>
      </w:r>
      <w:r>
        <w:rPr>
          <w:rFonts w:ascii="Calibri" w:eastAsia="Times New Roman" w:hAnsi="Calibri" w:cs="Calibri"/>
          <w:color w:val="000000"/>
        </w:rPr>
        <w:t xml:space="preserve"> species treated with </w:t>
      </w:r>
      <w:r w:rsidRPr="00E5749E">
        <w:rPr>
          <w:rFonts w:ascii="Calibri" w:eastAsia="Times New Roman" w:hAnsi="Calibri" w:cs="Calibri"/>
          <w:color w:val="000000"/>
        </w:rPr>
        <w:t xml:space="preserve">Endura 1 </w:t>
      </w:r>
      <w:r>
        <w:rPr>
          <w:rFonts w:ascii="Calibri" w:eastAsia="Times New Roman" w:hAnsi="Calibri" w:cs="Calibri"/>
          <w:color w:val="000000"/>
        </w:rPr>
        <w:t xml:space="preserve">active ingr (Boscalid), dose 0 and </w:t>
      </w:r>
      <w:r w:rsidRPr="00E5749E">
        <w:rPr>
          <w:rFonts w:ascii="Calibri" w:eastAsia="Times New Roman" w:hAnsi="Calibri" w:cs="Calibri"/>
          <w:color w:val="000000"/>
        </w:rPr>
        <w:t>4.011</w:t>
      </w:r>
      <w:r>
        <w:rPr>
          <w:rFonts w:ascii="Calibri" w:eastAsia="Times New Roman" w:hAnsi="Calibri" w:cs="Calibri"/>
          <w:color w:val="000000"/>
        </w:rPr>
        <w:t xml:space="preserve"> showed a reduction in growth while BLUP predicted an increase in growth for dose 0.04</w:t>
      </w:r>
      <w:r w:rsidRPr="00E5749E">
        <w:rPr>
          <w:rFonts w:ascii="Calibri" w:eastAsia="Times New Roman" w:hAnsi="Calibri" w:cs="Calibri"/>
          <w:color w:val="000000"/>
        </w:rPr>
        <w:t>011</w:t>
      </w:r>
      <w:r>
        <w:rPr>
          <w:rFonts w:ascii="Calibri" w:eastAsia="Times New Roman" w:hAnsi="Calibri" w:cs="Calibri"/>
          <w:color w:val="000000"/>
        </w:rPr>
        <w:t>, and 0.4</w:t>
      </w:r>
      <w:r w:rsidRPr="00E5749E">
        <w:rPr>
          <w:rFonts w:ascii="Calibri" w:eastAsia="Times New Roman" w:hAnsi="Calibri" w:cs="Calibri"/>
          <w:color w:val="000000"/>
        </w:rPr>
        <w:t>011</w:t>
      </w:r>
      <w:r>
        <w:rPr>
          <w:rFonts w:ascii="Calibri" w:eastAsia="Times New Roman" w:hAnsi="Calibri" w:cs="Calibri"/>
          <w:color w:val="000000"/>
        </w:rPr>
        <w:t xml:space="preserve">. For </w:t>
      </w:r>
      <w:r w:rsidRPr="00E5749E">
        <w:rPr>
          <w:rFonts w:ascii="Calibri" w:eastAsia="Times New Roman" w:hAnsi="Calibri" w:cs="Calibri"/>
          <w:color w:val="000000"/>
        </w:rPr>
        <w:t>Fusarium solani</w:t>
      </w:r>
      <w:r>
        <w:rPr>
          <w:rFonts w:ascii="Calibri" w:eastAsia="Times New Roman" w:hAnsi="Calibri" w:cs="Calibri"/>
          <w:color w:val="000000"/>
        </w:rPr>
        <w:t xml:space="preserve"> species treated with </w:t>
      </w:r>
      <w:r w:rsidRPr="00E5749E">
        <w:rPr>
          <w:rFonts w:ascii="Calibri" w:eastAsia="Times New Roman" w:hAnsi="Calibri" w:cs="Calibri"/>
          <w:color w:val="000000"/>
        </w:rPr>
        <w:t>Topguard 1</w:t>
      </w:r>
      <w:r>
        <w:rPr>
          <w:rFonts w:ascii="Calibri" w:eastAsia="Times New Roman" w:hAnsi="Calibri" w:cs="Calibri"/>
          <w:color w:val="000000"/>
        </w:rPr>
        <w:t xml:space="preserve"> active ingr (Flutriafol), BLUP predicted a reduction in growth at dose 0, </w:t>
      </w:r>
      <w:r w:rsidRPr="00E5749E">
        <w:rPr>
          <w:rFonts w:ascii="Calibri" w:eastAsia="Times New Roman" w:hAnsi="Calibri" w:cs="Calibri"/>
          <w:color w:val="000000"/>
        </w:rPr>
        <w:t>0.57975</w:t>
      </w:r>
      <w:r>
        <w:rPr>
          <w:rFonts w:ascii="Calibri" w:eastAsia="Times New Roman" w:hAnsi="Calibri" w:cs="Calibri"/>
          <w:color w:val="000000"/>
        </w:rPr>
        <w:t xml:space="preserve">, and </w:t>
      </w:r>
      <w:r w:rsidRPr="00E5749E">
        <w:rPr>
          <w:rFonts w:ascii="Calibri" w:eastAsia="Times New Roman" w:hAnsi="Calibri" w:cs="Calibri"/>
          <w:color w:val="000000"/>
        </w:rPr>
        <w:t>5.7975</w:t>
      </w:r>
      <w:r>
        <w:rPr>
          <w:rFonts w:ascii="Calibri" w:eastAsia="Times New Roman" w:hAnsi="Calibri" w:cs="Calibri"/>
          <w:color w:val="000000"/>
        </w:rPr>
        <w:t xml:space="preserve"> while growth was predicted to increase at dose level </w:t>
      </w:r>
      <w:r w:rsidRPr="00E5749E">
        <w:rPr>
          <w:rFonts w:ascii="Calibri" w:eastAsia="Times New Roman" w:hAnsi="Calibri" w:cs="Calibri"/>
          <w:color w:val="000000"/>
        </w:rPr>
        <w:t>0.057975</w:t>
      </w:r>
      <w:r>
        <w:rPr>
          <w:rFonts w:ascii="Calibri" w:eastAsia="Times New Roman" w:hAnsi="Calibri" w:cs="Calibri"/>
          <w:color w:val="000000"/>
        </w:rPr>
        <w:t xml:space="preserve">. For </w:t>
      </w:r>
      <w:r w:rsidRPr="00E5749E">
        <w:rPr>
          <w:rFonts w:ascii="Calibri" w:eastAsia="Times New Roman" w:hAnsi="Calibri" w:cs="Calibri"/>
          <w:color w:val="000000"/>
        </w:rPr>
        <w:t>Fusarium solani</w:t>
      </w:r>
      <w:r>
        <w:rPr>
          <w:rFonts w:ascii="Calibri" w:eastAsia="Times New Roman" w:hAnsi="Calibri" w:cs="Calibri"/>
          <w:color w:val="000000"/>
        </w:rPr>
        <w:t xml:space="preserve"> species treated with </w:t>
      </w:r>
      <w:r w:rsidRPr="00E5749E">
        <w:rPr>
          <w:rFonts w:ascii="Calibri" w:eastAsia="Times New Roman" w:hAnsi="Calibri" w:cs="Calibri"/>
          <w:color w:val="000000"/>
        </w:rPr>
        <w:t>Topguard EQ</w:t>
      </w:r>
      <w:r>
        <w:rPr>
          <w:rFonts w:ascii="Calibri" w:eastAsia="Times New Roman" w:hAnsi="Calibri" w:cs="Calibri"/>
          <w:color w:val="000000"/>
        </w:rPr>
        <w:t xml:space="preserve"> 2 active ingr (Flut+Azoxys), dose 0 and </w:t>
      </w:r>
      <w:r w:rsidRPr="00E5749E">
        <w:rPr>
          <w:rFonts w:ascii="Calibri" w:eastAsia="Times New Roman" w:hAnsi="Calibri" w:cs="Calibri"/>
          <w:color w:val="000000"/>
        </w:rPr>
        <w:t>4.9128</w:t>
      </w:r>
      <w:r>
        <w:rPr>
          <w:rFonts w:ascii="Calibri" w:eastAsia="Times New Roman" w:hAnsi="Calibri" w:cs="Calibri"/>
          <w:color w:val="000000"/>
        </w:rPr>
        <w:t xml:space="preserve"> showed a reduction in growth while BLUP predicted an increase in growth for dose </w:t>
      </w:r>
      <w:r w:rsidRPr="00E5749E">
        <w:rPr>
          <w:rFonts w:ascii="Calibri" w:eastAsia="Times New Roman" w:hAnsi="Calibri" w:cs="Calibri"/>
          <w:color w:val="000000"/>
        </w:rPr>
        <w:t>0.049128</w:t>
      </w:r>
      <w:r>
        <w:rPr>
          <w:rFonts w:ascii="Calibri" w:eastAsia="Times New Roman" w:hAnsi="Calibri" w:cs="Calibri"/>
          <w:color w:val="000000"/>
        </w:rPr>
        <w:t>, and 0.</w:t>
      </w:r>
      <w:r w:rsidRPr="00E5749E">
        <w:rPr>
          <w:rFonts w:ascii="Calibri" w:eastAsia="Times New Roman" w:hAnsi="Calibri" w:cs="Calibri"/>
          <w:color w:val="000000"/>
        </w:rPr>
        <w:t>49128</w:t>
      </w:r>
      <w:r>
        <w:rPr>
          <w:rFonts w:ascii="Calibri" w:eastAsia="Times New Roman" w:hAnsi="Calibri" w:cs="Calibri"/>
          <w:color w:val="000000"/>
        </w:rPr>
        <w:t>.</w:t>
      </w:r>
    </w:p>
    <w:p w:rsidR="00F42283" w:rsidRDefault="00F42283" w:rsidP="00F42283">
      <w:pPr>
        <w:jc w:val="both"/>
      </w:pPr>
      <w:r>
        <w:rPr>
          <w:rFonts w:ascii="Calibri" w:eastAsia="Times New Roman" w:hAnsi="Calibri" w:cs="Calibri"/>
          <w:color w:val="000000"/>
        </w:rPr>
        <w:lastRenderedPageBreak/>
        <w:t xml:space="preserve">For </w:t>
      </w:r>
      <w:r w:rsidRPr="00E5749E">
        <w:rPr>
          <w:rFonts w:ascii="Calibri" w:eastAsia="Times New Roman" w:hAnsi="Calibri" w:cs="Calibri"/>
          <w:color w:val="000000"/>
        </w:rPr>
        <w:t>Rhizoctonia solani</w:t>
      </w:r>
      <w:r>
        <w:rPr>
          <w:rFonts w:ascii="Calibri" w:eastAsia="Times New Roman" w:hAnsi="Calibri" w:cs="Calibri"/>
          <w:color w:val="000000"/>
        </w:rPr>
        <w:t xml:space="preserve"> species treated with </w:t>
      </w:r>
      <w:r w:rsidRPr="00E5749E">
        <w:rPr>
          <w:rFonts w:ascii="Calibri" w:eastAsia="Times New Roman" w:hAnsi="Calibri" w:cs="Calibri"/>
          <w:color w:val="000000"/>
        </w:rPr>
        <w:t xml:space="preserve">DelaroComplete 3 </w:t>
      </w:r>
      <w:r>
        <w:rPr>
          <w:rFonts w:ascii="Calibri" w:eastAsia="Times New Roman" w:hAnsi="Calibri" w:cs="Calibri"/>
          <w:color w:val="000000"/>
        </w:rPr>
        <w:t xml:space="preserve">active ingr (Proth+Trif+Fluop) , BLUP showed that dose 0 and </w:t>
      </w:r>
      <w:r w:rsidRPr="00E5749E">
        <w:rPr>
          <w:rFonts w:ascii="Calibri" w:eastAsia="Times New Roman" w:hAnsi="Calibri" w:cs="Calibri"/>
          <w:color w:val="000000"/>
        </w:rPr>
        <w:t>6.292</w:t>
      </w:r>
      <w:r>
        <w:rPr>
          <w:rFonts w:ascii="Calibri" w:eastAsia="Times New Roman" w:hAnsi="Calibri" w:cs="Calibri"/>
          <w:color w:val="000000"/>
        </w:rPr>
        <w:t xml:space="preserve"> increased the fungus growth, dose </w:t>
      </w:r>
      <w:r w:rsidRPr="00E5749E">
        <w:rPr>
          <w:rFonts w:ascii="Calibri" w:eastAsia="Times New Roman" w:hAnsi="Calibri" w:cs="Calibri"/>
          <w:color w:val="000000"/>
        </w:rPr>
        <w:t>0.06292</w:t>
      </w:r>
      <w:r>
        <w:rPr>
          <w:rFonts w:ascii="Calibri" w:eastAsia="Times New Roman" w:hAnsi="Calibri" w:cs="Calibri"/>
          <w:color w:val="000000"/>
        </w:rPr>
        <w:t xml:space="preserve"> reduced the fungus growth while dose 0.</w:t>
      </w:r>
      <w:r w:rsidRPr="00E5749E">
        <w:rPr>
          <w:rFonts w:ascii="Calibri" w:eastAsia="Times New Roman" w:hAnsi="Calibri" w:cs="Calibri"/>
          <w:color w:val="000000"/>
        </w:rPr>
        <w:t>6292</w:t>
      </w:r>
      <w:r>
        <w:rPr>
          <w:rFonts w:ascii="Calibri" w:eastAsia="Times New Roman" w:hAnsi="Calibri" w:cs="Calibri"/>
          <w:color w:val="000000"/>
        </w:rPr>
        <w:t xml:space="preserve"> neither increased nor decrease the growth of fungus. With </w:t>
      </w:r>
      <w:r w:rsidRPr="00E5749E">
        <w:rPr>
          <w:rFonts w:ascii="Calibri" w:eastAsia="Times New Roman" w:hAnsi="Calibri" w:cs="Calibri"/>
          <w:color w:val="000000"/>
        </w:rPr>
        <w:t>Endu</w:t>
      </w:r>
      <w:r>
        <w:rPr>
          <w:rFonts w:ascii="Calibri" w:eastAsia="Times New Roman" w:hAnsi="Calibri" w:cs="Calibri"/>
          <w:color w:val="000000"/>
        </w:rPr>
        <w:t xml:space="preserve">ra 1 active ingr (Boscalid) treatment, dose </w:t>
      </w:r>
      <w:r w:rsidRPr="00E5749E">
        <w:rPr>
          <w:rFonts w:ascii="Calibri" w:eastAsia="Times New Roman" w:hAnsi="Calibri" w:cs="Calibri"/>
          <w:color w:val="000000"/>
        </w:rPr>
        <w:t>0.4011</w:t>
      </w:r>
      <w:r>
        <w:rPr>
          <w:rFonts w:ascii="Calibri" w:eastAsia="Times New Roman" w:hAnsi="Calibri" w:cs="Calibri"/>
          <w:color w:val="000000"/>
        </w:rPr>
        <w:t xml:space="preserve"> was predicted to reduce the growth of fungus while the other dose level increased fungus growth. For </w:t>
      </w:r>
      <w:r w:rsidRPr="00E5749E">
        <w:rPr>
          <w:rFonts w:ascii="Calibri" w:eastAsia="Times New Roman" w:hAnsi="Calibri" w:cs="Calibri"/>
          <w:color w:val="000000"/>
        </w:rPr>
        <w:t>Quadris</w:t>
      </w:r>
      <w:r>
        <w:rPr>
          <w:rFonts w:ascii="Calibri" w:eastAsia="Times New Roman" w:hAnsi="Calibri" w:cs="Calibri"/>
          <w:color w:val="000000"/>
        </w:rPr>
        <w:t xml:space="preserve"> 1 active ingr (Azoxystrobin) treatment, dose 0 and 0.061036 increased fungus growth while the other two dose was predicted to reduce dose. For </w:t>
      </w:r>
      <w:r w:rsidRPr="00E5749E">
        <w:rPr>
          <w:rFonts w:ascii="Calibri" w:eastAsia="Times New Roman" w:hAnsi="Calibri" w:cs="Calibri"/>
          <w:color w:val="000000"/>
        </w:rPr>
        <w:t>Topguar</w:t>
      </w:r>
      <w:r>
        <w:rPr>
          <w:rFonts w:ascii="Calibri" w:eastAsia="Times New Roman" w:hAnsi="Calibri" w:cs="Calibri"/>
          <w:color w:val="000000"/>
        </w:rPr>
        <w:t xml:space="preserve">d 1 active ingr (Flutriafol), dose 0 and 5.7975 was predicted to increase fungus growth, while other dose level decreased the growth of fungus. With </w:t>
      </w:r>
      <w:r w:rsidRPr="00E5749E">
        <w:rPr>
          <w:rFonts w:ascii="Calibri" w:eastAsia="Times New Roman" w:hAnsi="Calibri" w:cs="Calibri"/>
          <w:color w:val="000000"/>
        </w:rPr>
        <w:t xml:space="preserve">Topguard </w:t>
      </w:r>
      <w:r>
        <w:rPr>
          <w:rFonts w:ascii="Calibri" w:eastAsia="Times New Roman" w:hAnsi="Calibri" w:cs="Calibri"/>
          <w:color w:val="000000"/>
        </w:rPr>
        <w:t xml:space="preserve">EQ 2 active ingr (Flut+Azoxys), dose 0 and 4.9128 increased the growth of fungus while dose </w:t>
      </w:r>
      <w:r w:rsidRPr="00E5749E">
        <w:rPr>
          <w:rFonts w:ascii="Calibri" w:eastAsia="Times New Roman" w:hAnsi="Calibri" w:cs="Calibri"/>
          <w:color w:val="000000"/>
        </w:rPr>
        <w:t>0.049128</w:t>
      </w:r>
      <w:r>
        <w:rPr>
          <w:rFonts w:ascii="Calibri" w:eastAsia="Times New Roman" w:hAnsi="Calibri" w:cs="Calibri"/>
          <w:color w:val="000000"/>
        </w:rPr>
        <w:t xml:space="preserve"> and 0.</w:t>
      </w:r>
      <w:r w:rsidRPr="00E5749E">
        <w:rPr>
          <w:rFonts w:ascii="Calibri" w:eastAsia="Times New Roman" w:hAnsi="Calibri" w:cs="Calibri"/>
          <w:color w:val="000000"/>
        </w:rPr>
        <w:t>49128</w:t>
      </w:r>
      <w:r>
        <w:rPr>
          <w:rFonts w:ascii="Calibri" w:eastAsia="Times New Roman" w:hAnsi="Calibri" w:cs="Calibri"/>
          <w:color w:val="000000"/>
        </w:rPr>
        <w:t xml:space="preserve"> was predicted to reduce their growth.</w:t>
      </w:r>
    </w:p>
    <w:p w:rsidR="00D45789" w:rsidRDefault="00D45789" w:rsidP="0041531A">
      <w:pPr>
        <w:jc w:val="both"/>
      </w:pPr>
    </w:p>
    <w:p w:rsidR="009E23C6" w:rsidRDefault="009E23C6" w:rsidP="0041531A">
      <w:pPr>
        <w:jc w:val="both"/>
      </w:pPr>
      <w:r>
        <w:t>Table: Best Linear Unbiased Prediction for species crossed with dose nested within treatment.</w:t>
      </w:r>
    </w:p>
    <w:tbl>
      <w:tblPr>
        <w:tblW w:w="11339" w:type="dxa"/>
        <w:tblInd w:w="-900" w:type="dxa"/>
        <w:tblLook w:val="04A0" w:firstRow="1" w:lastRow="0" w:firstColumn="1" w:lastColumn="0" w:noHBand="0" w:noVBand="1"/>
      </w:tblPr>
      <w:tblGrid>
        <w:gridCol w:w="2159"/>
        <w:gridCol w:w="6620"/>
        <w:gridCol w:w="2560"/>
      </w:tblGrid>
      <w:tr w:rsidR="00E5749E" w:rsidRPr="00E5749E" w:rsidTr="00E5749E">
        <w:trPr>
          <w:trHeight w:val="300"/>
        </w:trPr>
        <w:tc>
          <w:tcPr>
            <w:tcW w:w="2159" w:type="dxa"/>
            <w:tcBorders>
              <w:top w:val="single" w:sz="4" w:space="0" w:color="auto"/>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w:t>
            </w:r>
          </w:p>
        </w:tc>
        <w:tc>
          <w:tcPr>
            <w:tcW w:w="6620" w:type="dxa"/>
            <w:tcBorders>
              <w:top w:val="single" w:sz="4" w:space="0" w:color="auto"/>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Species:Dose:Treatments</w:t>
            </w:r>
          </w:p>
        </w:tc>
        <w:tc>
          <w:tcPr>
            <w:tcW w:w="2560" w:type="dxa"/>
            <w:tcBorders>
              <w:top w:val="single" w:sz="4" w:space="0" w:color="auto"/>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BLUP</w:t>
            </w:r>
          </w:p>
        </w:tc>
      </w:tr>
      <w:tr w:rsidR="00E5749E" w:rsidRPr="00E5749E" w:rsidTr="00E5749E">
        <w:trPr>
          <w:trHeight w:val="300"/>
        </w:trPr>
        <w:tc>
          <w:tcPr>
            <w:tcW w:w="2159" w:type="dxa"/>
            <w:tcBorders>
              <w:top w:val="single" w:sz="4" w:space="0" w:color="auto"/>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Diaporthe longicolla</w:t>
            </w:r>
          </w:p>
        </w:tc>
        <w:tc>
          <w:tcPr>
            <w:tcW w:w="6620" w:type="dxa"/>
            <w:tcBorders>
              <w:top w:val="single" w:sz="4" w:space="0" w:color="auto"/>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0:DelaroComplete 3 active ingr (Proth+Trif+Fluop) </w:t>
            </w:r>
          </w:p>
        </w:tc>
        <w:tc>
          <w:tcPr>
            <w:tcW w:w="2560" w:type="dxa"/>
            <w:tcBorders>
              <w:top w:val="single" w:sz="4" w:space="0" w:color="auto"/>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-0.000616511</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0.06292:DelaroComplete 3 active ingr (Proth+Trif+Fluop)</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0.6292:DelaroComplete 3 active ingr (Proth+Trif+Fluop)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6.292:DelaroComplete 3 active ingr (Proth+Trif+Fluop)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single" w:sz="4" w:space="0" w:color="auto"/>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0:Endura 1 active ingr (Boscalid)    </w:t>
            </w:r>
          </w:p>
        </w:tc>
        <w:tc>
          <w:tcPr>
            <w:tcW w:w="2560" w:type="dxa"/>
            <w:tcBorders>
              <w:top w:val="single" w:sz="4" w:space="0" w:color="auto"/>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-0.041562794</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0.04011:Endura 1 active ingr (Boscalid)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-0.237818396</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0.4011:Endura 1 active ingr (Boscalid)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-0.021039568</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single" w:sz="4" w:space="0" w:color="auto"/>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4.011:Endura 1 active ingr (Boscalid)      </w:t>
            </w:r>
          </w:p>
        </w:tc>
        <w:tc>
          <w:tcPr>
            <w:tcW w:w="2560" w:type="dxa"/>
            <w:tcBorders>
              <w:top w:val="nil"/>
              <w:left w:val="nil"/>
              <w:bottom w:val="single" w:sz="4" w:space="0" w:color="auto"/>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0.298317876</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0:Quadris 1 active ingr (Azoxystrobin)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-0.282390186</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0.061036:Quadris 1 active ingr (Azoxystrobin)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-0.062961318</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0.61036:Quadris 1 active ingr (Azoxystrobin)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0.121451677</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6.1036:Quadris 1 active ingr (Azoxystrobin)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0.221821793</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single" w:sz="4" w:space="0" w:color="auto"/>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0:Topguard 1 active ingr (Flutriafol)   </w:t>
            </w:r>
          </w:p>
        </w:tc>
        <w:tc>
          <w:tcPr>
            <w:tcW w:w="2560" w:type="dxa"/>
            <w:tcBorders>
              <w:top w:val="single" w:sz="4" w:space="0" w:color="auto"/>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-0.000574947</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0.057975:Topguard 1 active ingr (Flutriafol)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0.57975:Topguard 1 active ingr (Flutriafol)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single" w:sz="4" w:space="0" w:color="auto"/>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5.7975:Topguard 1 active ingr (Flutriafol)     </w:t>
            </w:r>
          </w:p>
        </w:tc>
        <w:tc>
          <w:tcPr>
            <w:tcW w:w="2560" w:type="dxa"/>
            <w:tcBorders>
              <w:top w:val="nil"/>
              <w:left w:val="nil"/>
              <w:bottom w:val="single" w:sz="4" w:space="0" w:color="auto"/>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0:Topguard EQ 2 active ingr (Flut+Azoxys)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-0.271722003</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0.049128:Topguard EQ 2 active ingr (Flut+Azoxys)</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0.265117379</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0.49128:Topguard EQ 2 active ingr (Flut+Azoxys)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w:t>
            </w:r>
          </w:p>
        </w:tc>
      </w:tr>
      <w:tr w:rsidR="00E5749E" w:rsidRPr="00E5749E" w:rsidTr="00E5749E">
        <w:trPr>
          <w:trHeight w:val="300"/>
        </w:trPr>
        <w:tc>
          <w:tcPr>
            <w:tcW w:w="2159" w:type="dxa"/>
            <w:tcBorders>
              <w:top w:val="nil"/>
              <w:left w:val="nil"/>
              <w:bottom w:val="single" w:sz="4" w:space="0" w:color="auto"/>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w:t>
            </w:r>
          </w:p>
        </w:tc>
        <w:tc>
          <w:tcPr>
            <w:tcW w:w="6620" w:type="dxa"/>
            <w:tcBorders>
              <w:top w:val="nil"/>
              <w:left w:val="nil"/>
              <w:bottom w:val="single" w:sz="4" w:space="0" w:color="auto"/>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4.9128:Topguard EQ 2 active ingr (Flut+Azoxys)    </w:t>
            </w:r>
          </w:p>
        </w:tc>
        <w:tc>
          <w:tcPr>
            <w:tcW w:w="2560" w:type="dxa"/>
            <w:tcBorders>
              <w:top w:val="nil"/>
              <w:left w:val="nil"/>
              <w:bottom w:val="single" w:sz="4" w:space="0" w:color="auto"/>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Fusarium oxysporum</w:t>
            </w: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0:DelaroComplete 3 active ingr (Proth+Trif+Fluop)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0.106100059</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0.06292:DelaroComplete 3 active ingr (Proth+Trif+Fluop)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0.355692318</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0.6292:DelaroComplete 3 active ingr (Proth+Trif+Fluop)</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-0.166327429</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6.292:DelaroComplete 3 active ingr (Proth+Trif+Fluop)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-0.299732171</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single" w:sz="4" w:space="0" w:color="auto"/>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0:Endura 1 active ingr (Boscalid)    </w:t>
            </w:r>
          </w:p>
        </w:tc>
        <w:tc>
          <w:tcPr>
            <w:tcW w:w="2560" w:type="dxa"/>
            <w:tcBorders>
              <w:top w:val="single" w:sz="4" w:space="0" w:color="auto"/>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0.278496151</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0.04011:Endura 1 active ingr (Boscalid)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0.136230476</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0.4011:Endura 1 active ingr (Boscalid)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0.019989513</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single" w:sz="4" w:space="0" w:color="auto"/>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4.011:Endura 1 active ingr (Boscalid)  </w:t>
            </w:r>
          </w:p>
        </w:tc>
        <w:tc>
          <w:tcPr>
            <w:tcW w:w="2560" w:type="dxa"/>
            <w:tcBorders>
              <w:top w:val="nil"/>
              <w:left w:val="nil"/>
              <w:bottom w:val="single" w:sz="4" w:space="0" w:color="auto"/>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-0.436805234</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0:Quadris 1 active ingr (Azoxystrobin)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-0.129392723</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0.061036:Quadris 1 active ingr (Azoxystrobin)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-0.034205375</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0.61036:Quadris 1 active ingr (Azoxystrobin)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0.128827724</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6.1036:Quadris 1 active ingr (Azoxystrobin)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0.032736257</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single" w:sz="4" w:space="0" w:color="auto"/>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0:Topguard 1 active ingr (Flutriafol)      </w:t>
            </w:r>
          </w:p>
        </w:tc>
        <w:tc>
          <w:tcPr>
            <w:tcW w:w="2560" w:type="dxa"/>
            <w:tcBorders>
              <w:top w:val="single" w:sz="4" w:space="0" w:color="auto"/>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-0.268141692</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0.057975:Topguard 1 active ingr (Flutriafol)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-0.017637166</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0.57975:Topguard 1 active ingr (Flutriafol)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0.200686125</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single" w:sz="4" w:space="0" w:color="auto"/>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5.7975:Topguard 1 active ingr (Flutriafol)     </w:t>
            </w:r>
          </w:p>
        </w:tc>
        <w:tc>
          <w:tcPr>
            <w:tcW w:w="2560" w:type="dxa"/>
            <w:tcBorders>
              <w:top w:val="nil"/>
              <w:left w:val="nil"/>
              <w:bottom w:val="single" w:sz="4" w:space="0" w:color="auto"/>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0.083511652</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0:Topguard EQ 2 active ingr (Flut+Azoxys)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-0.153415918</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0.049128:Topguard EQ 2 active ingr (Flut+Azoxys)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0.164391125</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0.49128:Topguard EQ 2 active ingr (Flut+Azoxys)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-0.014750217</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4.9128:Topguard EQ 2 active ingr (Flut+Azoxys)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0.004023557</w:t>
            </w:r>
          </w:p>
        </w:tc>
      </w:tr>
      <w:tr w:rsidR="00E5749E" w:rsidRPr="00E5749E" w:rsidTr="00E5749E">
        <w:trPr>
          <w:trHeight w:val="300"/>
        </w:trPr>
        <w:tc>
          <w:tcPr>
            <w:tcW w:w="2159" w:type="dxa"/>
            <w:tcBorders>
              <w:top w:val="single" w:sz="4" w:space="0" w:color="auto"/>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Fusarium solani</w:t>
            </w:r>
          </w:p>
        </w:tc>
        <w:tc>
          <w:tcPr>
            <w:tcW w:w="6620" w:type="dxa"/>
            <w:tcBorders>
              <w:top w:val="single" w:sz="4" w:space="0" w:color="auto"/>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0:DelaroComplete 3 active ingr (Proth+Trif+Fluop)   </w:t>
            </w:r>
          </w:p>
        </w:tc>
        <w:tc>
          <w:tcPr>
            <w:tcW w:w="2560" w:type="dxa"/>
            <w:tcBorders>
              <w:top w:val="single" w:sz="4" w:space="0" w:color="auto"/>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-0.000625527</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0.06292:DelaroComplete 3 active ingr (Proth+Trif+Fluop)</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0.6292:DelaroComplete 3 active ingr (Proth+Trif+Fluop)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6.292:DelaroComplete 3 active ingr (Proth+Trif+Fluop)</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single" w:sz="4" w:space="0" w:color="auto"/>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0:Endura 1 active ingr (Boscalid)          </w:t>
            </w:r>
          </w:p>
        </w:tc>
        <w:tc>
          <w:tcPr>
            <w:tcW w:w="2560" w:type="dxa"/>
            <w:tcBorders>
              <w:top w:val="single" w:sz="4" w:space="0" w:color="auto"/>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-0.13874485</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0.04011:Endura 1 active ingr (Boscalid)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0.110523464</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0.4011:Endura 1 active ingr (Boscalid)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0.080927519</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single" w:sz="4" w:space="0" w:color="auto"/>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4.011:Endura 1 active ingr (Boscalid)      </w:t>
            </w:r>
          </w:p>
        </w:tc>
        <w:tc>
          <w:tcPr>
            <w:tcW w:w="2560" w:type="dxa"/>
            <w:tcBorders>
              <w:top w:val="nil"/>
              <w:left w:val="nil"/>
              <w:bottom w:val="single" w:sz="4" w:space="0" w:color="auto"/>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-0.05479903</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:0:Quadris 1 active ingr (Azoxystrobin)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-0.088966249</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0.061036:Quadris 1 active ingr (Azoxystrobin)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-0.04005418</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0.61036:Quadris 1 active ingr (Azoxystrobin)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0.078676058</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6.1036:Quadris 1 active ingr (Azoxystrobin)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0.048275351</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single" w:sz="4" w:space="0" w:color="auto"/>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0:Topguard 1 active ingr (Flutriafol)       </w:t>
            </w:r>
          </w:p>
        </w:tc>
        <w:tc>
          <w:tcPr>
            <w:tcW w:w="2560" w:type="dxa"/>
            <w:tcBorders>
              <w:top w:val="single" w:sz="4" w:space="0" w:color="auto"/>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-0.062226152</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0.057975:Topguard 1 active ingr (Flutriafol)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0.308842891</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0.57975:Topguard 1 active ingr (Flutriafol)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-0.158526749</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single" w:sz="4" w:space="0" w:color="auto"/>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5.7975:Topguard 1 active ingr (Flutriafol)      </w:t>
            </w:r>
          </w:p>
        </w:tc>
        <w:tc>
          <w:tcPr>
            <w:tcW w:w="2560" w:type="dxa"/>
            <w:tcBorders>
              <w:top w:val="nil"/>
              <w:left w:val="nil"/>
              <w:bottom w:val="single" w:sz="4" w:space="0" w:color="auto"/>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-0.089786457</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0:Topguard EQ 2 active ingr (Flut+Azoxys)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-0.160570939</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0.049128:Topguard EQ 2 active ingr (Flut+Azoxys)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0.272726683</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0.49128:Topguard EQ 2 active ingr (Flut+Azoxys)</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0.124419505</w:t>
            </w:r>
          </w:p>
        </w:tc>
      </w:tr>
      <w:tr w:rsidR="00E5749E" w:rsidRPr="00E5749E" w:rsidTr="00E5749E">
        <w:trPr>
          <w:trHeight w:val="300"/>
        </w:trPr>
        <w:tc>
          <w:tcPr>
            <w:tcW w:w="2159" w:type="dxa"/>
            <w:tcBorders>
              <w:top w:val="nil"/>
              <w:left w:val="nil"/>
              <w:bottom w:val="single" w:sz="4" w:space="0" w:color="auto"/>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w:t>
            </w:r>
          </w:p>
        </w:tc>
        <w:tc>
          <w:tcPr>
            <w:tcW w:w="6620" w:type="dxa"/>
            <w:tcBorders>
              <w:top w:val="nil"/>
              <w:left w:val="nil"/>
              <w:bottom w:val="single" w:sz="4" w:space="0" w:color="auto"/>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4.9128:Topguard EQ 2 active ingr (Flut+Azoxys) </w:t>
            </w:r>
          </w:p>
        </w:tc>
        <w:tc>
          <w:tcPr>
            <w:tcW w:w="2560" w:type="dxa"/>
            <w:tcBorders>
              <w:top w:val="nil"/>
              <w:left w:val="nil"/>
              <w:bottom w:val="single" w:sz="4" w:space="0" w:color="auto"/>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-0.236335868</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Rhizoctonia solani</w:t>
            </w: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0:DelaroComplete 3 active ingr (Proth+Trif+Fluop)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0.266911298</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0.06292:DelaroComplete 3 active ingr (Proth+Trif+Fluop)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-0.433046666</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0.6292:DelaroComplete 3 active ingr (Proth+Trif+Fluop)</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6.292:DelaroComplete 3 active ingr (Proth+Trif+Fluop)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0.163567614</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single" w:sz="4" w:space="0" w:color="auto"/>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0:Endura 1 active ingr (Boscalid)     </w:t>
            </w:r>
          </w:p>
        </w:tc>
        <w:tc>
          <w:tcPr>
            <w:tcW w:w="2560" w:type="dxa"/>
            <w:tcBorders>
              <w:top w:val="single" w:sz="4" w:space="0" w:color="auto"/>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0.02410454</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0.04011:Endura 1 active ingr (Boscalid)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0.025606511</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0.4011:Endura 1 active ingr (Boscalid)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-0.09605766</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single" w:sz="4" w:space="0" w:color="auto"/>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4.011:Endura 1 active ingr (Boscalid)         </w:t>
            </w:r>
          </w:p>
        </w:tc>
        <w:tc>
          <w:tcPr>
            <w:tcW w:w="2560" w:type="dxa"/>
            <w:tcBorders>
              <w:top w:val="nil"/>
              <w:left w:val="nil"/>
              <w:bottom w:val="single" w:sz="4" w:space="0" w:color="auto"/>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0.044278398</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0:Quadris 1 active ingr (Azoxystrobin)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0.588356584</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0.061036:Quadris 1 active ingr (Azoxystrobin)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0.166050995</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0.61036:Quadris 1 active ingr (Azoxystrobin)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-0.353527076</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6.1036:Quadris 1 active ingr (Azoxystrobin)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-0.403055423</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single" w:sz="4" w:space="0" w:color="auto"/>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0:Topguard 1 active ingr (Flutriafol)    </w:t>
            </w:r>
          </w:p>
        </w:tc>
        <w:tc>
          <w:tcPr>
            <w:tcW w:w="2560" w:type="dxa"/>
            <w:tcBorders>
              <w:top w:val="single" w:sz="4" w:space="0" w:color="auto"/>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0.588507333</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0.057975:Topguard 1 active ingr (Flutriafol)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-0.20745378</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0.57975:Topguard 1 active ingr (Flutriafol)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-0.179171739</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single" w:sz="4" w:space="0" w:color="auto"/>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5.7975:Topguard 1 active ingr (Flutriafol)   </w:t>
            </w:r>
          </w:p>
        </w:tc>
        <w:tc>
          <w:tcPr>
            <w:tcW w:w="2560" w:type="dxa"/>
            <w:tcBorders>
              <w:top w:val="nil"/>
              <w:left w:val="nil"/>
              <w:bottom w:val="single" w:sz="4" w:space="0" w:color="auto"/>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-0.206618072</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0:Topguard EQ 2 active ingr (Flut+Azoxys)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0.828083859</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0.049128:Topguard EQ 2 active ingr (Flut+Azoxys)</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-0.689032837</w:t>
            </w:r>
          </w:p>
        </w:tc>
      </w:tr>
      <w:tr w:rsidR="00E5749E" w:rsidRPr="00E5749E" w:rsidTr="00E5749E">
        <w:trPr>
          <w:trHeight w:val="300"/>
        </w:trPr>
        <w:tc>
          <w:tcPr>
            <w:tcW w:w="2159"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p>
        </w:tc>
        <w:tc>
          <w:tcPr>
            <w:tcW w:w="662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0.49128:Topguard EQ 2 active ingr (Flut+Azoxys) </w:t>
            </w:r>
          </w:p>
        </w:tc>
        <w:tc>
          <w:tcPr>
            <w:tcW w:w="2560" w:type="dxa"/>
            <w:tcBorders>
              <w:top w:val="nil"/>
              <w:left w:val="nil"/>
              <w:bottom w:val="nil"/>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-0.216787688</w:t>
            </w:r>
          </w:p>
        </w:tc>
      </w:tr>
      <w:tr w:rsidR="00E5749E" w:rsidRPr="00E5749E" w:rsidTr="00E5749E">
        <w:trPr>
          <w:trHeight w:val="300"/>
        </w:trPr>
        <w:tc>
          <w:tcPr>
            <w:tcW w:w="2159" w:type="dxa"/>
            <w:tcBorders>
              <w:top w:val="nil"/>
              <w:left w:val="nil"/>
              <w:bottom w:val="single" w:sz="4" w:space="0" w:color="auto"/>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w:t>
            </w:r>
          </w:p>
        </w:tc>
        <w:tc>
          <w:tcPr>
            <w:tcW w:w="6620" w:type="dxa"/>
            <w:tcBorders>
              <w:top w:val="nil"/>
              <w:left w:val="nil"/>
              <w:bottom w:val="single" w:sz="4" w:space="0" w:color="auto"/>
              <w:right w:val="nil"/>
            </w:tcBorders>
            <w:shd w:val="clear" w:color="auto" w:fill="auto"/>
            <w:noWrap/>
            <w:vAlign w:val="center"/>
            <w:hideMark/>
          </w:tcPr>
          <w:p w:rsidR="00E5749E" w:rsidRPr="00E5749E" w:rsidRDefault="00E5749E" w:rsidP="00E5749E">
            <w:pPr>
              <w:spacing w:after="0" w:line="240" w:lineRule="auto"/>
              <w:rPr>
                <w:rFonts w:ascii="Calibri" w:eastAsia="Times New Roman" w:hAnsi="Calibri" w:cs="Calibri"/>
                <w:color w:val="000000"/>
              </w:rPr>
            </w:pPr>
            <w:r w:rsidRPr="00E5749E">
              <w:rPr>
                <w:rFonts w:ascii="Calibri" w:eastAsia="Times New Roman" w:hAnsi="Calibri" w:cs="Calibri"/>
                <w:color w:val="000000"/>
              </w:rPr>
              <w:t xml:space="preserve">4.9128:Topguard EQ 2 active ingr (Flut+Azoxys)     </w:t>
            </w:r>
          </w:p>
        </w:tc>
        <w:tc>
          <w:tcPr>
            <w:tcW w:w="2560" w:type="dxa"/>
            <w:tcBorders>
              <w:top w:val="nil"/>
              <w:left w:val="nil"/>
              <w:bottom w:val="single" w:sz="4" w:space="0" w:color="auto"/>
              <w:right w:val="nil"/>
            </w:tcBorders>
            <w:shd w:val="clear" w:color="auto" w:fill="auto"/>
            <w:noWrap/>
            <w:vAlign w:val="center"/>
            <w:hideMark/>
          </w:tcPr>
          <w:p w:rsidR="00E5749E" w:rsidRPr="00E5749E" w:rsidRDefault="00E5749E" w:rsidP="00E5749E">
            <w:pPr>
              <w:spacing w:after="0" w:line="240" w:lineRule="auto"/>
              <w:jc w:val="center"/>
              <w:rPr>
                <w:rFonts w:ascii="Calibri" w:eastAsia="Times New Roman" w:hAnsi="Calibri" w:cs="Calibri"/>
                <w:color w:val="000000"/>
              </w:rPr>
            </w:pPr>
            <w:r w:rsidRPr="00E5749E">
              <w:rPr>
                <w:rFonts w:ascii="Calibri" w:eastAsia="Times New Roman" w:hAnsi="Calibri" w:cs="Calibri"/>
                <w:color w:val="000000"/>
              </w:rPr>
              <w:t>0.074685212</w:t>
            </w:r>
          </w:p>
        </w:tc>
      </w:tr>
    </w:tbl>
    <w:p w:rsidR="00F14031" w:rsidRDefault="00F14031" w:rsidP="0041531A">
      <w:pPr>
        <w:jc w:val="both"/>
      </w:pPr>
    </w:p>
    <w:p w:rsidR="00BC4DCE" w:rsidRDefault="00BC4DCE" w:rsidP="0041531A">
      <w:pPr>
        <w:jc w:val="both"/>
      </w:pPr>
    </w:p>
    <w:p w:rsidR="00651F59" w:rsidRDefault="00CF28AB" w:rsidP="00E207D0">
      <w:pPr>
        <w:jc w:val="both"/>
        <w:rPr>
          <w:b/>
        </w:rPr>
      </w:pPr>
      <w:r w:rsidRPr="00CF28AB">
        <w:rPr>
          <w:b/>
        </w:rPr>
        <w:t>CONCLUSION</w:t>
      </w:r>
    </w:p>
    <w:p w:rsidR="00CF28AB" w:rsidRDefault="00CF28AB" w:rsidP="00E207D0">
      <w:pPr>
        <w:jc w:val="both"/>
        <w:rPr>
          <w:b/>
        </w:rPr>
      </w:pPr>
    </w:p>
    <w:p w:rsidR="005441C7" w:rsidRDefault="005441C7" w:rsidP="00E207D0">
      <w:pPr>
        <w:jc w:val="both"/>
        <w:rPr>
          <w:b/>
        </w:rPr>
      </w:pPr>
      <w:bookmarkStart w:id="0" w:name="_GoBack"/>
      <w:bookmarkEnd w:id="0"/>
    </w:p>
    <w:p w:rsidR="005441C7" w:rsidRDefault="005441C7" w:rsidP="00E207D0">
      <w:pPr>
        <w:jc w:val="both"/>
        <w:rPr>
          <w:b/>
        </w:rPr>
      </w:pPr>
    </w:p>
    <w:p w:rsidR="005441C7" w:rsidRDefault="005441C7" w:rsidP="00E207D0">
      <w:pPr>
        <w:jc w:val="both"/>
        <w:rPr>
          <w:b/>
        </w:rPr>
      </w:pPr>
    </w:p>
    <w:p w:rsidR="005441C7" w:rsidRDefault="005441C7" w:rsidP="00E207D0">
      <w:pPr>
        <w:jc w:val="both"/>
        <w:rPr>
          <w:b/>
        </w:rPr>
      </w:pPr>
    </w:p>
    <w:p w:rsidR="005441C7" w:rsidRDefault="005441C7" w:rsidP="00E207D0">
      <w:pPr>
        <w:jc w:val="both"/>
        <w:rPr>
          <w:b/>
        </w:rPr>
      </w:pPr>
    </w:p>
    <w:p w:rsidR="005441C7" w:rsidRDefault="005441C7" w:rsidP="00E207D0">
      <w:pPr>
        <w:jc w:val="both"/>
        <w:rPr>
          <w:b/>
        </w:rPr>
      </w:pPr>
    </w:p>
    <w:p w:rsidR="005441C7" w:rsidRDefault="005441C7" w:rsidP="00E207D0">
      <w:pPr>
        <w:jc w:val="both"/>
        <w:rPr>
          <w:b/>
        </w:rPr>
      </w:pPr>
    </w:p>
    <w:p w:rsidR="005441C7" w:rsidRDefault="005441C7" w:rsidP="00E207D0">
      <w:pPr>
        <w:jc w:val="both"/>
        <w:rPr>
          <w:b/>
        </w:rPr>
      </w:pPr>
    </w:p>
    <w:p w:rsidR="005441C7" w:rsidRDefault="005441C7" w:rsidP="00E207D0">
      <w:pPr>
        <w:jc w:val="both"/>
        <w:rPr>
          <w:b/>
        </w:rPr>
      </w:pPr>
    </w:p>
    <w:p w:rsidR="005441C7" w:rsidRDefault="005441C7" w:rsidP="00E207D0">
      <w:pPr>
        <w:jc w:val="both"/>
        <w:rPr>
          <w:b/>
        </w:rPr>
      </w:pPr>
    </w:p>
    <w:p w:rsidR="005441C7" w:rsidRDefault="005441C7" w:rsidP="00E207D0">
      <w:pPr>
        <w:jc w:val="both"/>
        <w:rPr>
          <w:b/>
        </w:rPr>
      </w:pPr>
    </w:p>
    <w:p w:rsidR="005441C7" w:rsidRDefault="005441C7" w:rsidP="00E207D0">
      <w:pPr>
        <w:jc w:val="both"/>
        <w:rPr>
          <w:b/>
        </w:rPr>
      </w:pPr>
    </w:p>
    <w:p w:rsidR="005441C7" w:rsidRDefault="005441C7" w:rsidP="00E207D0">
      <w:pPr>
        <w:jc w:val="both"/>
        <w:rPr>
          <w:b/>
        </w:rPr>
      </w:pPr>
    </w:p>
    <w:p w:rsidR="005441C7" w:rsidRDefault="005441C7" w:rsidP="00E207D0">
      <w:pPr>
        <w:jc w:val="both"/>
        <w:rPr>
          <w:b/>
        </w:rPr>
      </w:pPr>
    </w:p>
    <w:p w:rsidR="005441C7" w:rsidRDefault="005441C7" w:rsidP="00E207D0">
      <w:pPr>
        <w:jc w:val="both"/>
        <w:rPr>
          <w:b/>
        </w:rPr>
      </w:pPr>
    </w:p>
    <w:p w:rsidR="005441C7" w:rsidRDefault="005441C7" w:rsidP="00E207D0">
      <w:pPr>
        <w:jc w:val="both"/>
        <w:rPr>
          <w:b/>
        </w:rPr>
      </w:pPr>
    </w:p>
    <w:p w:rsidR="005441C7" w:rsidRDefault="005441C7" w:rsidP="00E207D0">
      <w:pPr>
        <w:jc w:val="both"/>
        <w:rPr>
          <w:b/>
        </w:rPr>
      </w:pPr>
    </w:p>
    <w:p w:rsidR="005441C7" w:rsidRDefault="005441C7" w:rsidP="00E207D0">
      <w:pPr>
        <w:jc w:val="both"/>
        <w:rPr>
          <w:b/>
        </w:rPr>
      </w:pPr>
    </w:p>
    <w:p w:rsidR="005441C7" w:rsidRDefault="005441C7" w:rsidP="00E207D0">
      <w:pPr>
        <w:jc w:val="both"/>
        <w:rPr>
          <w:b/>
        </w:rPr>
      </w:pPr>
    </w:p>
    <w:p w:rsidR="00CF28AB" w:rsidRDefault="00CF28AB" w:rsidP="00E207D0">
      <w:pPr>
        <w:jc w:val="both"/>
        <w:rPr>
          <w:b/>
          <w:sz w:val="24"/>
          <w:szCs w:val="24"/>
        </w:rPr>
      </w:pPr>
      <w:r w:rsidRPr="00CF28AB">
        <w:rPr>
          <w:b/>
          <w:sz w:val="24"/>
          <w:szCs w:val="24"/>
        </w:rPr>
        <w:lastRenderedPageBreak/>
        <w:t>PROJECT REFLECTION</w:t>
      </w:r>
    </w:p>
    <w:p w:rsidR="00CF28AB" w:rsidRDefault="00CF28AB" w:rsidP="005441C7">
      <w:pPr>
        <w:jc w:val="both"/>
      </w:pPr>
      <w:r w:rsidRPr="00CF28AB">
        <w:t xml:space="preserve">On Thursday, February 13, from 11:45 AM to 1:00 PM, I had my initial meeting with my client Kelvin Muchiri. He is currently a Master’s student </w:t>
      </w:r>
      <w:r>
        <w:t xml:space="preserve">working </w:t>
      </w:r>
      <w:r w:rsidRPr="00CF28AB">
        <w:t xml:space="preserve">at the department of </w:t>
      </w:r>
      <w:r>
        <w:t xml:space="preserve">plant pathology and his advisor is </w:t>
      </w:r>
      <w:r w:rsidRPr="00DB6282">
        <w:t>Garcia-Aroca Teddy</w:t>
      </w:r>
      <w:r>
        <w:t xml:space="preserve">. He is interested in </w:t>
      </w:r>
      <w:r w:rsidRPr="00CF28AB">
        <w:t>investigating the efficacy of chemical applications in controlling soil-borne pathogens of soybean.</w:t>
      </w:r>
    </w:p>
    <w:p w:rsidR="00651F59" w:rsidRDefault="00F72B00" w:rsidP="005441C7">
      <w:pPr>
        <w:jc w:val="both"/>
        <w:rPr>
          <w:rFonts w:ascii="Calibri" w:hAnsi="Calibri" w:cs="Calibri"/>
          <w:color w:val="000000"/>
          <w:shd w:val="clear" w:color="auto" w:fill="FFFFFF"/>
        </w:rPr>
      </w:pPr>
      <w:r>
        <w:t xml:space="preserve">The client indicated on the google form that they are </w:t>
      </w:r>
      <w:r>
        <w:rPr>
          <w:rFonts w:ascii="Calibri" w:hAnsi="Calibri" w:cs="Calibri"/>
          <w:color w:val="000000"/>
          <w:shd w:val="clear" w:color="auto" w:fill="FFFFFF"/>
        </w:rPr>
        <w:t>interested in performing a </w:t>
      </w:r>
      <w:r w:rsidRPr="00F72B00">
        <w:rPr>
          <w:rFonts w:ascii="Calibri" w:hAnsi="Calibri" w:cs="Calibri"/>
          <w:bCs/>
          <w:color w:val="000000"/>
          <w:shd w:val="clear" w:color="auto" w:fill="FFFFFF"/>
        </w:rPr>
        <w:t>two-way ANOVA and Tukey-HSD tests</w:t>
      </w:r>
      <w:r>
        <w:rPr>
          <w:rFonts w:ascii="Calibri" w:hAnsi="Calibri" w:cs="Calibri"/>
          <w:color w:val="000000"/>
          <w:shd w:val="clear" w:color="auto" w:fill="FFFFFF"/>
        </w:rPr>
        <w:t xml:space="preserve"> for their </w:t>
      </w:r>
      <w:r w:rsidRPr="00F72B00">
        <w:rPr>
          <w:rFonts w:ascii="Calibri" w:hAnsi="Calibri" w:cs="Calibri"/>
          <w:color w:val="000000"/>
          <w:shd w:val="clear" w:color="auto" w:fill="FFFFFF"/>
        </w:rPr>
        <w:t>data on </w:t>
      </w:r>
      <w:r w:rsidRPr="00F72B00">
        <w:rPr>
          <w:rFonts w:ascii="Calibri" w:hAnsi="Calibri" w:cs="Calibri"/>
          <w:bCs/>
          <w:color w:val="000000"/>
          <w:shd w:val="clear" w:color="auto" w:fill="FFFFFF"/>
        </w:rPr>
        <w:t>investigating the efficacy of chemical applications in controlling soil-borne pathogens of soybean</w:t>
      </w:r>
      <w:r w:rsidRPr="00F72B00">
        <w:rPr>
          <w:rFonts w:ascii="Calibri" w:hAnsi="Calibri" w:cs="Calibri"/>
          <w:color w:val="000000"/>
          <w:shd w:val="clear" w:color="auto" w:fill="FFFFFF"/>
        </w:rPr>
        <w:t>.</w:t>
      </w:r>
      <w:r>
        <w:rPr>
          <w:rFonts w:ascii="Calibri" w:hAnsi="Calibri" w:cs="Calibri"/>
          <w:color w:val="000000"/>
          <w:shd w:val="clear" w:color="auto" w:fill="FFFFFF"/>
        </w:rPr>
        <w:t xml:space="preserve"> </w:t>
      </w:r>
      <w:r>
        <w:t xml:space="preserve">To be able to follow the prepare section of the POWER process, I mailed the client to ask for their dataset and some information on their previously done </w:t>
      </w:r>
      <w:r w:rsidRPr="00F72B00">
        <w:t xml:space="preserve">analysis prior to meeting </w:t>
      </w:r>
      <w:r>
        <w:t xml:space="preserve">since they indicated they have initially conducted some analysis on the data. </w:t>
      </w:r>
      <w:r>
        <w:rPr>
          <w:rFonts w:ascii="Calibri" w:hAnsi="Calibri" w:cs="Calibri"/>
          <w:color w:val="000000"/>
          <w:shd w:val="clear" w:color="auto" w:fill="FFFFFF"/>
        </w:rPr>
        <w:t xml:space="preserve">This helped with getting prepared for our meeting and also helped implement the PREPARE stage of the power process. </w:t>
      </w:r>
    </w:p>
    <w:p w:rsidR="00F72B00" w:rsidRDefault="00F72B00" w:rsidP="005441C7">
      <w:pPr>
        <w:jc w:val="both"/>
      </w:pPr>
      <w:r w:rsidRPr="00F72B00">
        <w:t>During the open phase, we began by introducing ourselves</w:t>
      </w:r>
      <w:r>
        <w:t xml:space="preserve"> and took some few minutes to establish rapport between myself and the domain expert</w:t>
      </w:r>
      <w:r w:rsidRPr="00F72B00">
        <w:t xml:space="preserve">. </w:t>
      </w:r>
      <w:r>
        <w:t>Also, b</w:t>
      </w:r>
      <w:r w:rsidRPr="00F72B00">
        <w:t>efore</w:t>
      </w:r>
      <w:r>
        <w:t xml:space="preserve"> I asked them to</w:t>
      </w:r>
      <w:r w:rsidRPr="00F72B00">
        <w:t xml:space="preserve"> </w:t>
      </w:r>
      <w:r>
        <w:t>give me a more detailed explanation of their project again</w:t>
      </w:r>
      <w:r w:rsidRPr="00F72B00">
        <w:t>, we briefly discussed their deadlines</w:t>
      </w:r>
      <w:r>
        <w:t>, their expectations and I also took the time to explain how I’m going to be helping on the project</w:t>
      </w:r>
      <w:r w:rsidRPr="00F72B00">
        <w:t>, after which we transitioned into the work phase.</w:t>
      </w:r>
      <w:r>
        <w:t xml:space="preserve"> I believe this phase was quite helpful as it kind of set a collaborative and welcoming tone which made the domain expert feel more comfortable.</w:t>
      </w:r>
    </w:p>
    <w:p w:rsidR="00FD166A" w:rsidRDefault="00F72B00" w:rsidP="005441C7">
      <w:pPr>
        <w:jc w:val="both"/>
      </w:pPr>
      <w:r>
        <w:t>During the main part of the consultation, which is the work phase, I asked the domain expert to give me detailed explanation of how they conducted the experiment again as it would help me in determining the right approach to model their data. The domain expert ability to clearly provide a pictorial representation of their design was very helpful as it made me see exactly what was going on in their experiment. While describing his experiment, I noticed he had some nested structure he was not aware of and also his dataset contains a lot of zero’s which he also was not bothered about. So I had to explain what a crossed and nested structure is and also asked more question about the information the zero-values were providing.</w:t>
      </w:r>
      <w:r w:rsidR="00D851E3">
        <w:t xml:space="preserve"> </w:t>
      </w:r>
      <w:r w:rsidR="00D851E3" w:rsidRPr="00D851E3">
        <w:t>The domain expert showed flexibility and willingness to collaborate,</w:t>
      </w:r>
      <w:r w:rsidR="00D851E3">
        <w:t xml:space="preserve"> </w:t>
      </w:r>
      <w:r w:rsidR="00D851E3" w:rsidRPr="00D851E3">
        <w:t>as they were open to suggestions</w:t>
      </w:r>
      <w:r w:rsidR="00D851E3" w:rsidRPr="00D851E3">
        <w:rPr>
          <w:b/>
        </w:rPr>
        <w:t xml:space="preserve"> </w:t>
      </w:r>
      <w:r w:rsidR="00D851E3" w:rsidRPr="00D851E3">
        <w:t xml:space="preserve">with regards to analyzing their dataset in alignment with the </w:t>
      </w:r>
      <w:r w:rsidR="00D851E3">
        <w:t xml:space="preserve">way their experiment was designed. </w:t>
      </w:r>
      <w:r w:rsidR="00D851E3" w:rsidRPr="00D851E3">
        <w:t xml:space="preserve">Their </w:t>
      </w:r>
      <w:r w:rsidR="00D851E3">
        <w:t>consistent engagement, insightfu</w:t>
      </w:r>
      <w:r w:rsidR="00D851E3" w:rsidRPr="00D851E3">
        <w:t xml:space="preserve">l questions </w:t>
      </w:r>
      <w:r w:rsidR="00D851E3">
        <w:t xml:space="preserve">and calling my attention to explain what they do not understand </w:t>
      </w:r>
      <w:r w:rsidR="00D851E3" w:rsidRPr="00D851E3">
        <w:t>reflected</w:t>
      </w:r>
      <w:r w:rsidR="00D851E3">
        <w:t xml:space="preserve"> their</w:t>
      </w:r>
      <w:r w:rsidR="00D851E3" w:rsidRPr="00D851E3">
        <w:t xml:space="preserve"> trust in our expertise and a readiness to co-</w:t>
      </w:r>
      <w:r w:rsidR="00D851E3">
        <w:t xml:space="preserve">work with me on the analysis. </w:t>
      </w:r>
      <w:r w:rsidR="00D851E3" w:rsidRPr="00D851E3">
        <w:t xml:space="preserve">After the </w:t>
      </w:r>
      <w:r w:rsidR="00D851E3">
        <w:t xml:space="preserve">initial </w:t>
      </w:r>
      <w:r w:rsidR="00D851E3" w:rsidRPr="00D851E3">
        <w:t>meeting a document summarizing the experiment objectives and design was sent to the domain experts in order to be sure everyone is aware of the work we’ve gotten so far</w:t>
      </w:r>
      <w:r w:rsidR="00D851E3">
        <w:t xml:space="preserve"> and so to ask some other questions that came up when I was reflecting on our meeting</w:t>
      </w:r>
      <w:r w:rsidR="00D851E3" w:rsidRPr="00D851E3">
        <w:t xml:space="preserve">. </w:t>
      </w:r>
      <w:r w:rsidR="00D851E3">
        <w:t xml:space="preserve"> </w:t>
      </w:r>
    </w:p>
    <w:p w:rsidR="00D851E3" w:rsidRDefault="00D851E3" w:rsidP="005441C7">
      <w:pPr>
        <w:jc w:val="both"/>
      </w:pPr>
      <w:r w:rsidRPr="00D851E3">
        <w:t>In general, I had an amazing experience working on this project</w:t>
      </w:r>
      <w:r>
        <w:t xml:space="preserve"> with the domain-expert</w:t>
      </w:r>
      <w:r w:rsidRPr="00D851E3">
        <w:t xml:space="preserve">. </w:t>
      </w:r>
      <w:r>
        <w:t>Having the opportunity to</w:t>
      </w:r>
      <w:r w:rsidRPr="00D851E3">
        <w:t xml:space="preserve"> collaborate directly with domain experts was </w:t>
      </w:r>
      <w:r>
        <w:t>a really great experience.</w:t>
      </w:r>
      <w:r w:rsidRPr="00D851E3">
        <w:t xml:space="preserve"> I learned so much just listening to them explain their research approach and methodology. It was fascinating to see how they conducted their work in practice. Being part of a real-world project rather than just theoretical exercises really deepened my understanding and made the whole experience worthwhile.</w:t>
      </w:r>
    </w:p>
    <w:p w:rsidR="00476434" w:rsidRDefault="00476434" w:rsidP="00476434">
      <w:pPr>
        <w:rPr>
          <w:b/>
        </w:rPr>
      </w:pPr>
    </w:p>
    <w:p w:rsidR="00477919" w:rsidRDefault="00477919" w:rsidP="00476434">
      <w:pPr>
        <w:rPr>
          <w:b/>
        </w:rPr>
      </w:pPr>
    </w:p>
    <w:p w:rsidR="00477919" w:rsidRDefault="00477919" w:rsidP="00476434">
      <w:pPr>
        <w:rPr>
          <w:b/>
        </w:rPr>
      </w:pPr>
    </w:p>
    <w:p w:rsidR="009A43FC" w:rsidRPr="009A43FC" w:rsidRDefault="009A43FC" w:rsidP="009A43FC">
      <w:pPr>
        <w:widowControl w:val="0"/>
        <w:autoSpaceDE w:val="0"/>
        <w:autoSpaceDN w:val="0"/>
        <w:adjustRightInd w:val="0"/>
        <w:spacing w:line="240" w:lineRule="auto"/>
        <w:ind w:left="480" w:hanging="480"/>
        <w:rPr>
          <w:rFonts w:ascii="Calibri" w:hAnsi="Calibri" w:cs="Calibri"/>
          <w:noProof/>
          <w:szCs w:val="24"/>
        </w:rPr>
      </w:pPr>
      <w:r>
        <w:rPr>
          <w:b/>
        </w:rPr>
        <w:lastRenderedPageBreak/>
        <w:fldChar w:fldCharType="begin" w:fldLock="1"/>
      </w:r>
      <w:r>
        <w:rPr>
          <w:b/>
        </w:rPr>
        <w:instrText xml:space="preserve">ADDIN Mendeley Bibliography CSL_BIBLIOGRAPHY </w:instrText>
      </w:r>
      <w:r>
        <w:rPr>
          <w:b/>
        </w:rPr>
        <w:fldChar w:fldCharType="separate"/>
      </w:r>
      <w:r w:rsidRPr="009A43FC">
        <w:rPr>
          <w:rFonts w:ascii="Calibri" w:hAnsi="Calibri" w:cs="Calibri"/>
          <w:noProof/>
          <w:szCs w:val="24"/>
        </w:rPr>
        <w:t xml:space="preserve">Allen, T., Mueller, D., Sisson, A., Sikora, E., Faske, T., Spurlock, T., Koehler, A., Dufault, N., Small, I., Kemerait, B., Harbach, C., Bond, J., Telenko, D., Mueller, D., Onofre, R., Bradley, C., Padgett, B., Price, T., Watson, T., … Smith, D. (2023). </w:t>
      </w:r>
      <w:r w:rsidRPr="009A43FC">
        <w:rPr>
          <w:rFonts w:ascii="Calibri" w:hAnsi="Calibri" w:cs="Calibri"/>
          <w:i/>
          <w:iCs/>
          <w:noProof/>
          <w:szCs w:val="24"/>
        </w:rPr>
        <w:t>Soybean Disease Loss Estimates from the United States and Ontario, Canada — 2022</w:t>
      </w:r>
      <w:r w:rsidRPr="009A43FC">
        <w:rPr>
          <w:rFonts w:ascii="Calibri" w:hAnsi="Calibri" w:cs="Calibri"/>
          <w:noProof/>
          <w:szCs w:val="24"/>
        </w:rPr>
        <w:t>. https://doi.org/10.31274/cpn-20230421-1</w:t>
      </w:r>
    </w:p>
    <w:p w:rsidR="009A43FC" w:rsidRPr="009A43FC" w:rsidRDefault="009A43FC" w:rsidP="009A43FC">
      <w:pPr>
        <w:widowControl w:val="0"/>
        <w:autoSpaceDE w:val="0"/>
        <w:autoSpaceDN w:val="0"/>
        <w:adjustRightInd w:val="0"/>
        <w:spacing w:line="240" w:lineRule="auto"/>
        <w:ind w:left="480" w:hanging="480"/>
        <w:rPr>
          <w:rFonts w:ascii="Calibri" w:hAnsi="Calibri" w:cs="Calibri"/>
          <w:noProof/>
          <w:szCs w:val="24"/>
        </w:rPr>
      </w:pPr>
      <w:r w:rsidRPr="009A43FC">
        <w:rPr>
          <w:rFonts w:ascii="Calibri" w:hAnsi="Calibri" w:cs="Calibri"/>
          <w:noProof/>
          <w:szCs w:val="24"/>
        </w:rPr>
        <w:t xml:space="preserve">CropWatch, I.-U. (n.d.). </w:t>
      </w:r>
      <w:r w:rsidRPr="009A43FC">
        <w:rPr>
          <w:rFonts w:ascii="Calibri" w:hAnsi="Calibri" w:cs="Calibri"/>
          <w:i/>
          <w:iCs/>
          <w:noProof/>
          <w:szCs w:val="24"/>
        </w:rPr>
        <w:t>Soybean Disease Management</w:t>
      </w:r>
      <w:r w:rsidRPr="009A43FC">
        <w:rPr>
          <w:rFonts w:ascii="Calibri" w:hAnsi="Calibri" w:cs="Calibri"/>
          <w:noProof/>
          <w:szCs w:val="24"/>
        </w:rPr>
        <w:t>. Retrieved April 28, 2025, from https://cropwatch.unl.edu/plant-disease/soybean/</w:t>
      </w:r>
    </w:p>
    <w:p w:rsidR="009A43FC" w:rsidRPr="009A43FC" w:rsidRDefault="009A43FC" w:rsidP="009A43FC">
      <w:pPr>
        <w:widowControl w:val="0"/>
        <w:autoSpaceDE w:val="0"/>
        <w:autoSpaceDN w:val="0"/>
        <w:adjustRightInd w:val="0"/>
        <w:spacing w:line="240" w:lineRule="auto"/>
        <w:ind w:left="480" w:hanging="480"/>
        <w:rPr>
          <w:rFonts w:ascii="Calibri" w:hAnsi="Calibri" w:cs="Calibri"/>
          <w:noProof/>
          <w:szCs w:val="24"/>
        </w:rPr>
      </w:pPr>
      <w:r w:rsidRPr="009A43FC">
        <w:rPr>
          <w:rFonts w:ascii="Calibri" w:hAnsi="Calibri" w:cs="Calibri"/>
          <w:noProof/>
          <w:szCs w:val="24"/>
        </w:rPr>
        <w:t xml:space="preserve">farmjournal. (2025). </w:t>
      </w:r>
      <w:r w:rsidRPr="009A43FC">
        <w:rPr>
          <w:rFonts w:ascii="Calibri" w:hAnsi="Calibri" w:cs="Calibri"/>
          <w:i/>
          <w:iCs/>
          <w:noProof/>
          <w:szCs w:val="24"/>
        </w:rPr>
        <w:t>Soybean Blight: How to Identify Pythium, Phytophthora, Fusarium, and Rhizoctonia</w:t>
      </w:r>
      <w:r w:rsidRPr="009A43FC">
        <w:rPr>
          <w:rFonts w:ascii="Calibri" w:hAnsi="Calibri" w:cs="Calibri"/>
          <w:noProof/>
          <w:szCs w:val="24"/>
        </w:rPr>
        <w:t>. https://www.agweb.com/news/crops/how-identify-soybean-blight</w:t>
      </w:r>
    </w:p>
    <w:p w:rsidR="009A43FC" w:rsidRPr="009A43FC" w:rsidRDefault="009A43FC" w:rsidP="009A43FC">
      <w:pPr>
        <w:widowControl w:val="0"/>
        <w:autoSpaceDE w:val="0"/>
        <w:autoSpaceDN w:val="0"/>
        <w:adjustRightInd w:val="0"/>
        <w:spacing w:line="240" w:lineRule="auto"/>
        <w:ind w:left="480" w:hanging="480"/>
        <w:rPr>
          <w:rFonts w:ascii="Calibri" w:hAnsi="Calibri" w:cs="Calibri"/>
          <w:noProof/>
          <w:szCs w:val="24"/>
        </w:rPr>
      </w:pPr>
      <w:r w:rsidRPr="009A43FC">
        <w:rPr>
          <w:rFonts w:ascii="Calibri" w:hAnsi="Calibri" w:cs="Calibri"/>
          <w:noProof/>
          <w:szCs w:val="24"/>
        </w:rPr>
        <w:t xml:space="preserve">Mills, E. D. (2013). </w:t>
      </w:r>
      <w:r w:rsidRPr="009A43FC">
        <w:rPr>
          <w:rFonts w:ascii="Calibri" w:hAnsi="Calibri" w:cs="Calibri"/>
          <w:i/>
          <w:iCs/>
          <w:noProof/>
          <w:szCs w:val="24"/>
        </w:rPr>
        <w:t>Adjusting for covariates in zero-inflated gamma and zero-inflated log-normal models for semicontinuous data</w:t>
      </w:r>
      <w:r w:rsidRPr="009A43FC">
        <w:rPr>
          <w:rFonts w:ascii="Calibri" w:hAnsi="Calibri" w:cs="Calibri"/>
          <w:noProof/>
          <w:szCs w:val="24"/>
        </w:rPr>
        <w:t>. UniversityofIowa.</w:t>
      </w:r>
    </w:p>
    <w:p w:rsidR="009A43FC" w:rsidRPr="009A43FC" w:rsidRDefault="009A43FC" w:rsidP="009A43FC">
      <w:pPr>
        <w:widowControl w:val="0"/>
        <w:autoSpaceDE w:val="0"/>
        <w:autoSpaceDN w:val="0"/>
        <w:adjustRightInd w:val="0"/>
        <w:spacing w:line="240" w:lineRule="auto"/>
        <w:ind w:left="480" w:hanging="480"/>
        <w:rPr>
          <w:rFonts w:ascii="Calibri" w:hAnsi="Calibri" w:cs="Calibri"/>
          <w:noProof/>
          <w:szCs w:val="24"/>
        </w:rPr>
      </w:pPr>
      <w:r w:rsidRPr="009A43FC">
        <w:rPr>
          <w:rFonts w:ascii="Calibri" w:hAnsi="Calibri" w:cs="Calibri"/>
          <w:noProof/>
          <w:szCs w:val="24"/>
        </w:rPr>
        <w:t xml:space="preserve">S Navi, S., &amp; Rajasab, A. (2016). In Vitro Evaluation of Commercial Fungicides against some of the Major Soil Borne Pathogens of Soybean. </w:t>
      </w:r>
      <w:r w:rsidRPr="009A43FC">
        <w:rPr>
          <w:rFonts w:ascii="Calibri" w:hAnsi="Calibri" w:cs="Calibri"/>
          <w:i/>
          <w:iCs/>
          <w:noProof/>
          <w:szCs w:val="24"/>
        </w:rPr>
        <w:t>Journal of Plant Pathology &amp; Microbiology</w:t>
      </w:r>
      <w:r w:rsidRPr="009A43FC">
        <w:rPr>
          <w:rFonts w:ascii="Calibri" w:hAnsi="Calibri" w:cs="Calibri"/>
          <w:noProof/>
          <w:szCs w:val="24"/>
        </w:rPr>
        <w:t xml:space="preserve">, </w:t>
      </w:r>
      <w:r w:rsidRPr="009A43FC">
        <w:rPr>
          <w:rFonts w:ascii="Calibri" w:hAnsi="Calibri" w:cs="Calibri"/>
          <w:i/>
          <w:iCs/>
          <w:noProof/>
          <w:szCs w:val="24"/>
        </w:rPr>
        <w:t>07</w:t>
      </w:r>
      <w:r w:rsidRPr="009A43FC">
        <w:rPr>
          <w:rFonts w:ascii="Calibri" w:hAnsi="Calibri" w:cs="Calibri"/>
          <w:noProof/>
          <w:szCs w:val="24"/>
        </w:rPr>
        <w:t>(03). https://doi.org/10.4172/2157-7471.1000340</w:t>
      </w:r>
    </w:p>
    <w:p w:rsidR="009A43FC" w:rsidRPr="009A43FC" w:rsidRDefault="009A43FC" w:rsidP="009A43FC">
      <w:pPr>
        <w:widowControl w:val="0"/>
        <w:autoSpaceDE w:val="0"/>
        <w:autoSpaceDN w:val="0"/>
        <w:adjustRightInd w:val="0"/>
        <w:spacing w:line="240" w:lineRule="auto"/>
        <w:ind w:left="480" w:hanging="480"/>
        <w:rPr>
          <w:rFonts w:ascii="Calibri" w:hAnsi="Calibri" w:cs="Calibri"/>
          <w:noProof/>
        </w:rPr>
      </w:pPr>
      <w:r w:rsidRPr="009A43FC">
        <w:rPr>
          <w:rFonts w:ascii="Calibri" w:hAnsi="Calibri" w:cs="Calibri"/>
          <w:noProof/>
          <w:szCs w:val="24"/>
        </w:rPr>
        <w:t xml:space="preserve">USDA. (2025). </w:t>
      </w:r>
      <w:r w:rsidRPr="009A43FC">
        <w:rPr>
          <w:rFonts w:ascii="Calibri" w:hAnsi="Calibri" w:cs="Calibri"/>
          <w:i/>
          <w:iCs/>
          <w:noProof/>
          <w:szCs w:val="24"/>
        </w:rPr>
        <w:t>Production - Soybeans</w:t>
      </w:r>
      <w:r w:rsidRPr="009A43FC">
        <w:rPr>
          <w:rFonts w:ascii="Calibri" w:hAnsi="Calibri" w:cs="Calibri"/>
          <w:noProof/>
          <w:szCs w:val="24"/>
        </w:rPr>
        <w:t>. https://www.fas.usda.gov/data/production/commodity/2222000</w:t>
      </w:r>
    </w:p>
    <w:p w:rsidR="00477919" w:rsidRDefault="009A43FC" w:rsidP="00476434">
      <w:pPr>
        <w:rPr>
          <w:b/>
        </w:rPr>
      </w:pPr>
      <w:r>
        <w:rPr>
          <w:b/>
        </w:rPr>
        <w:fldChar w:fldCharType="end"/>
      </w:r>
    </w:p>
    <w:p w:rsidR="00477919" w:rsidRDefault="00477919" w:rsidP="00476434">
      <w:pPr>
        <w:rPr>
          <w:b/>
        </w:rPr>
      </w:pPr>
    </w:p>
    <w:p w:rsidR="00477919" w:rsidRDefault="00477919" w:rsidP="00476434">
      <w:pPr>
        <w:rPr>
          <w:b/>
        </w:rPr>
      </w:pPr>
    </w:p>
    <w:p w:rsidR="00477919" w:rsidRDefault="00477919" w:rsidP="00476434">
      <w:pPr>
        <w:rPr>
          <w:b/>
        </w:rPr>
      </w:pPr>
    </w:p>
    <w:p w:rsidR="00477919" w:rsidRDefault="00477919" w:rsidP="00476434">
      <w:pPr>
        <w:rPr>
          <w:b/>
        </w:rPr>
      </w:pPr>
    </w:p>
    <w:p w:rsidR="00477919" w:rsidRDefault="00477919" w:rsidP="00476434">
      <w:pPr>
        <w:rPr>
          <w:b/>
        </w:rPr>
      </w:pPr>
    </w:p>
    <w:sectPr w:rsidR="004779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2FB2" w:rsidRDefault="00A62FB2" w:rsidP="00A20655">
      <w:pPr>
        <w:spacing w:after="0" w:line="240" w:lineRule="auto"/>
      </w:pPr>
      <w:r>
        <w:separator/>
      </w:r>
    </w:p>
  </w:endnote>
  <w:endnote w:type="continuationSeparator" w:id="0">
    <w:p w:rsidR="00A62FB2" w:rsidRDefault="00A62FB2" w:rsidP="00A206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2FB2" w:rsidRDefault="00A62FB2" w:rsidP="00A20655">
      <w:pPr>
        <w:spacing w:after="0" w:line="240" w:lineRule="auto"/>
      </w:pPr>
      <w:r>
        <w:separator/>
      </w:r>
    </w:p>
  </w:footnote>
  <w:footnote w:type="continuationSeparator" w:id="0">
    <w:p w:rsidR="00A62FB2" w:rsidRDefault="00A62FB2" w:rsidP="00A206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35E80"/>
    <w:multiLevelType w:val="hybridMultilevel"/>
    <w:tmpl w:val="1AEA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274062"/>
    <w:multiLevelType w:val="hybridMultilevel"/>
    <w:tmpl w:val="65DC0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CE90443"/>
    <w:multiLevelType w:val="hybridMultilevel"/>
    <w:tmpl w:val="6F045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25F6D40"/>
    <w:multiLevelType w:val="hybridMultilevel"/>
    <w:tmpl w:val="15D4A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821121"/>
    <w:multiLevelType w:val="multilevel"/>
    <w:tmpl w:val="C4C66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A3F17EC"/>
    <w:multiLevelType w:val="hybridMultilevel"/>
    <w:tmpl w:val="DD302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40D35C0"/>
    <w:multiLevelType w:val="multilevel"/>
    <w:tmpl w:val="908A9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744495D"/>
    <w:multiLevelType w:val="hybridMultilevel"/>
    <w:tmpl w:val="67EC3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6"/>
  </w:num>
  <w:num w:numId="4">
    <w:abstractNumId w:val="4"/>
  </w:num>
  <w:num w:numId="5">
    <w:abstractNumId w:val="7"/>
  </w:num>
  <w:num w:numId="6">
    <w:abstractNumId w:val="1"/>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2MDMxNDM0NjA3MASyjJV0lIJTi4sz8/NACkxrAcVBGqAsAAAA"/>
  </w:docVars>
  <w:rsids>
    <w:rsidRoot w:val="00C70799"/>
    <w:rsid w:val="000958BA"/>
    <w:rsid w:val="000F1CF7"/>
    <w:rsid w:val="001077C7"/>
    <w:rsid w:val="001662DD"/>
    <w:rsid w:val="00180773"/>
    <w:rsid w:val="00184268"/>
    <w:rsid w:val="0020375A"/>
    <w:rsid w:val="00217389"/>
    <w:rsid w:val="00227E02"/>
    <w:rsid w:val="00236F88"/>
    <w:rsid w:val="002B1B76"/>
    <w:rsid w:val="002D290E"/>
    <w:rsid w:val="00330572"/>
    <w:rsid w:val="0034051A"/>
    <w:rsid w:val="003A03F1"/>
    <w:rsid w:val="0040138B"/>
    <w:rsid w:val="004074C8"/>
    <w:rsid w:val="0041531A"/>
    <w:rsid w:val="00431960"/>
    <w:rsid w:val="00472FC8"/>
    <w:rsid w:val="00476082"/>
    <w:rsid w:val="00476434"/>
    <w:rsid w:val="00477701"/>
    <w:rsid w:val="00477919"/>
    <w:rsid w:val="004F7C2A"/>
    <w:rsid w:val="00525553"/>
    <w:rsid w:val="005441C7"/>
    <w:rsid w:val="00550D62"/>
    <w:rsid w:val="00570D0A"/>
    <w:rsid w:val="00604E73"/>
    <w:rsid w:val="00645238"/>
    <w:rsid w:val="006465A4"/>
    <w:rsid w:val="00651F59"/>
    <w:rsid w:val="006D3B62"/>
    <w:rsid w:val="0071664B"/>
    <w:rsid w:val="00742723"/>
    <w:rsid w:val="007E15C7"/>
    <w:rsid w:val="0083640F"/>
    <w:rsid w:val="008562B1"/>
    <w:rsid w:val="008616CB"/>
    <w:rsid w:val="008B00D1"/>
    <w:rsid w:val="008D4C67"/>
    <w:rsid w:val="008E0F50"/>
    <w:rsid w:val="00911AFB"/>
    <w:rsid w:val="0092243D"/>
    <w:rsid w:val="00984372"/>
    <w:rsid w:val="009A43FC"/>
    <w:rsid w:val="009C3C65"/>
    <w:rsid w:val="009D38DD"/>
    <w:rsid w:val="009E23C6"/>
    <w:rsid w:val="009E6CB4"/>
    <w:rsid w:val="00A07C5C"/>
    <w:rsid w:val="00A10EBF"/>
    <w:rsid w:val="00A20655"/>
    <w:rsid w:val="00A62FB2"/>
    <w:rsid w:val="00A639E7"/>
    <w:rsid w:val="00A7266A"/>
    <w:rsid w:val="00A872EC"/>
    <w:rsid w:val="00AA068C"/>
    <w:rsid w:val="00B000BA"/>
    <w:rsid w:val="00B007BE"/>
    <w:rsid w:val="00B1795D"/>
    <w:rsid w:val="00B4647C"/>
    <w:rsid w:val="00B9490A"/>
    <w:rsid w:val="00BC4DCE"/>
    <w:rsid w:val="00C06D91"/>
    <w:rsid w:val="00C10C2A"/>
    <w:rsid w:val="00C171CC"/>
    <w:rsid w:val="00C20665"/>
    <w:rsid w:val="00C37309"/>
    <w:rsid w:val="00C40C01"/>
    <w:rsid w:val="00C42F6E"/>
    <w:rsid w:val="00C5162F"/>
    <w:rsid w:val="00C70799"/>
    <w:rsid w:val="00C83B45"/>
    <w:rsid w:val="00CA375A"/>
    <w:rsid w:val="00CC3D83"/>
    <w:rsid w:val="00CC4247"/>
    <w:rsid w:val="00CE42F7"/>
    <w:rsid w:val="00CF28AB"/>
    <w:rsid w:val="00D10086"/>
    <w:rsid w:val="00D10A1A"/>
    <w:rsid w:val="00D43AC9"/>
    <w:rsid w:val="00D451E9"/>
    <w:rsid w:val="00D45789"/>
    <w:rsid w:val="00D83698"/>
    <w:rsid w:val="00D851E3"/>
    <w:rsid w:val="00DB0545"/>
    <w:rsid w:val="00DB0E23"/>
    <w:rsid w:val="00DB579D"/>
    <w:rsid w:val="00DB6282"/>
    <w:rsid w:val="00DC7605"/>
    <w:rsid w:val="00E01EB0"/>
    <w:rsid w:val="00E207D0"/>
    <w:rsid w:val="00E34AA3"/>
    <w:rsid w:val="00E408AB"/>
    <w:rsid w:val="00E40FC6"/>
    <w:rsid w:val="00E50A77"/>
    <w:rsid w:val="00E51CFB"/>
    <w:rsid w:val="00E55A12"/>
    <w:rsid w:val="00E5749E"/>
    <w:rsid w:val="00E62765"/>
    <w:rsid w:val="00E715B0"/>
    <w:rsid w:val="00E81917"/>
    <w:rsid w:val="00E8278B"/>
    <w:rsid w:val="00EB0ABF"/>
    <w:rsid w:val="00EC636A"/>
    <w:rsid w:val="00F06843"/>
    <w:rsid w:val="00F069A4"/>
    <w:rsid w:val="00F14031"/>
    <w:rsid w:val="00F174A8"/>
    <w:rsid w:val="00F37ED4"/>
    <w:rsid w:val="00F42283"/>
    <w:rsid w:val="00F72B00"/>
    <w:rsid w:val="00FD166A"/>
    <w:rsid w:val="00FD5E50"/>
    <w:rsid w:val="00FE50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B277EFB-98F3-4DAA-9E21-6CA0B8D62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5238"/>
    <w:rPr>
      <w:color w:val="808080"/>
    </w:rPr>
  </w:style>
  <w:style w:type="table" w:styleId="TableGrid">
    <w:name w:val="Table Grid"/>
    <w:basedOn w:val="TableNormal"/>
    <w:uiPriority w:val="39"/>
    <w:rsid w:val="00EB0A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0F1C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F1CF7"/>
    <w:rPr>
      <w:rFonts w:ascii="Courier New" w:eastAsia="Times New Roman" w:hAnsi="Courier New" w:cs="Courier New"/>
      <w:sz w:val="20"/>
      <w:szCs w:val="20"/>
    </w:rPr>
  </w:style>
  <w:style w:type="character" w:customStyle="1" w:styleId="gnd-iwgdo3b">
    <w:name w:val="gnd-iwgdo3b"/>
    <w:basedOn w:val="DefaultParagraphFont"/>
    <w:rsid w:val="000F1CF7"/>
  </w:style>
  <w:style w:type="character" w:customStyle="1" w:styleId="gnd-iwgdn2b">
    <w:name w:val="gnd-iwgdn2b"/>
    <w:basedOn w:val="DefaultParagraphFont"/>
    <w:rsid w:val="000F1CF7"/>
  </w:style>
  <w:style w:type="paragraph" w:styleId="ListParagraph">
    <w:name w:val="List Paragraph"/>
    <w:basedOn w:val="Normal"/>
    <w:uiPriority w:val="34"/>
    <w:qFormat/>
    <w:rsid w:val="00AA068C"/>
    <w:pPr>
      <w:ind w:left="720"/>
      <w:contextualSpacing/>
    </w:pPr>
  </w:style>
  <w:style w:type="character" w:styleId="Strong">
    <w:name w:val="Strong"/>
    <w:basedOn w:val="DefaultParagraphFont"/>
    <w:uiPriority w:val="22"/>
    <w:qFormat/>
    <w:rsid w:val="007E15C7"/>
    <w:rPr>
      <w:b/>
      <w:bCs/>
    </w:rPr>
  </w:style>
  <w:style w:type="paragraph" w:styleId="Header">
    <w:name w:val="header"/>
    <w:basedOn w:val="Normal"/>
    <w:link w:val="HeaderChar"/>
    <w:uiPriority w:val="99"/>
    <w:unhideWhenUsed/>
    <w:rsid w:val="00A206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0655"/>
  </w:style>
  <w:style w:type="paragraph" w:styleId="Footer">
    <w:name w:val="footer"/>
    <w:basedOn w:val="Normal"/>
    <w:link w:val="FooterChar"/>
    <w:uiPriority w:val="99"/>
    <w:unhideWhenUsed/>
    <w:rsid w:val="00A206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0655"/>
  </w:style>
  <w:style w:type="character" w:styleId="Emphasis">
    <w:name w:val="Emphasis"/>
    <w:basedOn w:val="DefaultParagraphFont"/>
    <w:uiPriority w:val="20"/>
    <w:qFormat/>
    <w:rsid w:val="00A206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071389">
      <w:bodyDiv w:val="1"/>
      <w:marLeft w:val="0"/>
      <w:marRight w:val="0"/>
      <w:marTop w:val="0"/>
      <w:marBottom w:val="0"/>
      <w:divBdr>
        <w:top w:val="none" w:sz="0" w:space="0" w:color="auto"/>
        <w:left w:val="none" w:sz="0" w:space="0" w:color="auto"/>
        <w:bottom w:val="none" w:sz="0" w:space="0" w:color="auto"/>
        <w:right w:val="none" w:sz="0" w:space="0" w:color="auto"/>
      </w:divBdr>
    </w:div>
    <w:div w:id="278922251">
      <w:bodyDiv w:val="1"/>
      <w:marLeft w:val="0"/>
      <w:marRight w:val="0"/>
      <w:marTop w:val="0"/>
      <w:marBottom w:val="0"/>
      <w:divBdr>
        <w:top w:val="none" w:sz="0" w:space="0" w:color="auto"/>
        <w:left w:val="none" w:sz="0" w:space="0" w:color="auto"/>
        <w:bottom w:val="none" w:sz="0" w:space="0" w:color="auto"/>
        <w:right w:val="none" w:sz="0" w:space="0" w:color="auto"/>
      </w:divBdr>
    </w:div>
    <w:div w:id="489491629">
      <w:bodyDiv w:val="1"/>
      <w:marLeft w:val="0"/>
      <w:marRight w:val="0"/>
      <w:marTop w:val="0"/>
      <w:marBottom w:val="0"/>
      <w:divBdr>
        <w:top w:val="none" w:sz="0" w:space="0" w:color="auto"/>
        <w:left w:val="none" w:sz="0" w:space="0" w:color="auto"/>
        <w:bottom w:val="none" w:sz="0" w:space="0" w:color="auto"/>
        <w:right w:val="none" w:sz="0" w:space="0" w:color="auto"/>
      </w:divBdr>
    </w:div>
    <w:div w:id="533812640">
      <w:bodyDiv w:val="1"/>
      <w:marLeft w:val="0"/>
      <w:marRight w:val="0"/>
      <w:marTop w:val="0"/>
      <w:marBottom w:val="0"/>
      <w:divBdr>
        <w:top w:val="none" w:sz="0" w:space="0" w:color="auto"/>
        <w:left w:val="none" w:sz="0" w:space="0" w:color="auto"/>
        <w:bottom w:val="none" w:sz="0" w:space="0" w:color="auto"/>
        <w:right w:val="none" w:sz="0" w:space="0" w:color="auto"/>
      </w:divBdr>
    </w:div>
    <w:div w:id="537208238">
      <w:bodyDiv w:val="1"/>
      <w:marLeft w:val="0"/>
      <w:marRight w:val="0"/>
      <w:marTop w:val="0"/>
      <w:marBottom w:val="0"/>
      <w:divBdr>
        <w:top w:val="none" w:sz="0" w:space="0" w:color="auto"/>
        <w:left w:val="none" w:sz="0" w:space="0" w:color="auto"/>
        <w:bottom w:val="none" w:sz="0" w:space="0" w:color="auto"/>
        <w:right w:val="none" w:sz="0" w:space="0" w:color="auto"/>
      </w:divBdr>
    </w:div>
    <w:div w:id="627930453">
      <w:bodyDiv w:val="1"/>
      <w:marLeft w:val="0"/>
      <w:marRight w:val="0"/>
      <w:marTop w:val="0"/>
      <w:marBottom w:val="0"/>
      <w:divBdr>
        <w:top w:val="none" w:sz="0" w:space="0" w:color="auto"/>
        <w:left w:val="none" w:sz="0" w:space="0" w:color="auto"/>
        <w:bottom w:val="none" w:sz="0" w:space="0" w:color="auto"/>
        <w:right w:val="none" w:sz="0" w:space="0" w:color="auto"/>
      </w:divBdr>
    </w:div>
    <w:div w:id="812016970">
      <w:bodyDiv w:val="1"/>
      <w:marLeft w:val="0"/>
      <w:marRight w:val="0"/>
      <w:marTop w:val="0"/>
      <w:marBottom w:val="0"/>
      <w:divBdr>
        <w:top w:val="none" w:sz="0" w:space="0" w:color="auto"/>
        <w:left w:val="none" w:sz="0" w:space="0" w:color="auto"/>
        <w:bottom w:val="none" w:sz="0" w:space="0" w:color="auto"/>
        <w:right w:val="none" w:sz="0" w:space="0" w:color="auto"/>
      </w:divBdr>
    </w:div>
    <w:div w:id="836963942">
      <w:bodyDiv w:val="1"/>
      <w:marLeft w:val="0"/>
      <w:marRight w:val="0"/>
      <w:marTop w:val="0"/>
      <w:marBottom w:val="0"/>
      <w:divBdr>
        <w:top w:val="none" w:sz="0" w:space="0" w:color="auto"/>
        <w:left w:val="none" w:sz="0" w:space="0" w:color="auto"/>
        <w:bottom w:val="none" w:sz="0" w:space="0" w:color="auto"/>
        <w:right w:val="none" w:sz="0" w:space="0" w:color="auto"/>
      </w:divBdr>
    </w:div>
    <w:div w:id="1011448391">
      <w:bodyDiv w:val="1"/>
      <w:marLeft w:val="0"/>
      <w:marRight w:val="0"/>
      <w:marTop w:val="0"/>
      <w:marBottom w:val="0"/>
      <w:divBdr>
        <w:top w:val="none" w:sz="0" w:space="0" w:color="auto"/>
        <w:left w:val="none" w:sz="0" w:space="0" w:color="auto"/>
        <w:bottom w:val="none" w:sz="0" w:space="0" w:color="auto"/>
        <w:right w:val="none" w:sz="0" w:space="0" w:color="auto"/>
      </w:divBdr>
    </w:div>
    <w:div w:id="1156994331">
      <w:bodyDiv w:val="1"/>
      <w:marLeft w:val="0"/>
      <w:marRight w:val="0"/>
      <w:marTop w:val="0"/>
      <w:marBottom w:val="0"/>
      <w:divBdr>
        <w:top w:val="none" w:sz="0" w:space="0" w:color="auto"/>
        <w:left w:val="none" w:sz="0" w:space="0" w:color="auto"/>
        <w:bottom w:val="none" w:sz="0" w:space="0" w:color="auto"/>
        <w:right w:val="none" w:sz="0" w:space="0" w:color="auto"/>
      </w:divBdr>
    </w:div>
    <w:div w:id="1258362705">
      <w:bodyDiv w:val="1"/>
      <w:marLeft w:val="0"/>
      <w:marRight w:val="0"/>
      <w:marTop w:val="0"/>
      <w:marBottom w:val="0"/>
      <w:divBdr>
        <w:top w:val="none" w:sz="0" w:space="0" w:color="auto"/>
        <w:left w:val="none" w:sz="0" w:space="0" w:color="auto"/>
        <w:bottom w:val="none" w:sz="0" w:space="0" w:color="auto"/>
        <w:right w:val="none" w:sz="0" w:space="0" w:color="auto"/>
      </w:divBdr>
    </w:div>
    <w:div w:id="1427725055">
      <w:bodyDiv w:val="1"/>
      <w:marLeft w:val="0"/>
      <w:marRight w:val="0"/>
      <w:marTop w:val="0"/>
      <w:marBottom w:val="0"/>
      <w:divBdr>
        <w:top w:val="none" w:sz="0" w:space="0" w:color="auto"/>
        <w:left w:val="none" w:sz="0" w:space="0" w:color="auto"/>
        <w:bottom w:val="none" w:sz="0" w:space="0" w:color="auto"/>
        <w:right w:val="none" w:sz="0" w:space="0" w:color="auto"/>
      </w:divBdr>
    </w:div>
    <w:div w:id="1634561837">
      <w:bodyDiv w:val="1"/>
      <w:marLeft w:val="0"/>
      <w:marRight w:val="0"/>
      <w:marTop w:val="0"/>
      <w:marBottom w:val="0"/>
      <w:divBdr>
        <w:top w:val="none" w:sz="0" w:space="0" w:color="auto"/>
        <w:left w:val="none" w:sz="0" w:space="0" w:color="auto"/>
        <w:bottom w:val="none" w:sz="0" w:space="0" w:color="auto"/>
        <w:right w:val="none" w:sz="0" w:space="0" w:color="auto"/>
      </w:divBdr>
    </w:div>
    <w:div w:id="1658923192">
      <w:bodyDiv w:val="1"/>
      <w:marLeft w:val="0"/>
      <w:marRight w:val="0"/>
      <w:marTop w:val="0"/>
      <w:marBottom w:val="0"/>
      <w:divBdr>
        <w:top w:val="none" w:sz="0" w:space="0" w:color="auto"/>
        <w:left w:val="none" w:sz="0" w:space="0" w:color="auto"/>
        <w:bottom w:val="none" w:sz="0" w:space="0" w:color="auto"/>
        <w:right w:val="none" w:sz="0" w:space="0" w:color="auto"/>
      </w:divBdr>
    </w:div>
    <w:div w:id="1852647158">
      <w:bodyDiv w:val="1"/>
      <w:marLeft w:val="0"/>
      <w:marRight w:val="0"/>
      <w:marTop w:val="0"/>
      <w:marBottom w:val="0"/>
      <w:divBdr>
        <w:top w:val="none" w:sz="0" w:space="0" w:color="auto"/>
        <w:left w:val="none" w:sz="0" w:space="0" w:color="auto"/>
        <w:bottom w:val="none" w:sz="0" w:space="0" w:color="auto"/>
        <w:right w:val="none" w:sz="0" w:space="0" w:color="auto"/>
      </w:divBdr>
    </w:div>
    <w:div w:id="1935555125">
      <w:bodyDiv w:val="1"/>
      <w:marLeft w:val="0"/>
      <w:marRight w:val="0"/>
      <w:marTop w:val="0"/>
      <w:marBottom w:val="0"/>
      <w:divBdr>
        <w:top w:val="none" w:sz="0" w:space="0" w:color="auto"/>
        <w:left w:val="none" w:sz="0" w:space="0" w:color="auto"/>
        <w:bottom w:val="none" w:sz="0" w:space="0" w:color="auto"/>
        <w:right w:val="none" w:sz="0" w:space="0" w:color="auto"/>
      </w:divBdr>
    </w:div>
    <w:div w:id="2071417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D0D00-1B2D-4373-824A-734ACA769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9467</TotalTime>
  <Pages>19</Pages>
  <Words>7648</Words>
  <Characters>43598</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21</cp:revision>
  <dcterms:created xsi:type="dcterms:W3CDTF">2025-03-26T13:37:00Z</dcterms:created>
  <dcterms:modified xsi:type="dcterms:W3CDTF">2025-05-14T03:57:00Z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5309c593-9a43-3ef3-a669-9a31aa59fdab</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