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A6B"/>
          <w:sz w:val="44"/>
        </w:rPr>
        <w:t>Factors Associated With Hypertension Among Adults</w:t>
      </w:r>
    </w:p>
    <w:p>
      <w:pPr>
        <w:jc w:val="center"/>
      </w:pPr>
      <w:r>
        <w:rPr>
          <w:i/>
        </w:rPr>
        <w:t>A Biostatistical Analysis Using NHANES 2017–2018 Data</w:t>
      </w:r>
    </w:p>
    <w:p>
      <w:pPr>
        <w:jc w:val="center"/>
      </w:pPr>
      <w:r>
        <w:rPr>
          <w:b/>
        </w:rPr>
        <w:t>Professional Portfolio Brief</w:t>
      </w:r>
    </w:p>
    <w:p>
      <w:pPr>
        <w:pStyle w:val="Heading1"/>
      </w:pPr>
      <w:r>
        <w:t>Project overview</w:t>
      </w:r>
    </w:p>
    <w:p>
      <w:r>
        <w:t>This project uses NHANES 2017–2018 public-use data to examine how age, sex, and BMI relate to a project-defined high-blood-pressure classification among adults.</w:t>
      </w:r>
    </w:p>
    <w:p>
      <w:pPr>
        <w:pStyle w:val="Heading1"/>
      </w:pPr>
      <w:r>
        <w:t>Methods</w:t>
      </w:r>
    </w:p>
    <w:p>
      <w:r>
        <w:t>Demographics, blood-pressure examination, body-measurement, and questionnaire files were linked by SEQN. The outcome was defined as mean available first-three systolic pressure ≥140 mmHg OR mean available first-three diastolic pressure ≥90 mmHg. Survey-weighted logistic regression used age, sex, BMI, examination weights, strata, and primary sampling units. Prediction was evaluated separately.</w:t>
      </w:r>
    </w:p>
    <w:p>
      <w:pPr>
        <w:pStyle w:val="Heading1"/>
      </w:pPr>
      <w:r>
        <w:t>Key findings</w:t>
      </w:r>
    </w:p>
    <w:p>
      <w:pPr>
        <w:pStyle w:val="ListBullet"/>
      </w:pPr>
      <w:r>
        <w:t>Age: adjusted OR 1.0617 (95% CI 1.0541–1.0693).</w:t>
      </w:r>
    </w:p>
    <w:p>
      <w:pPr>
        <w:pStyle w:val="ListBullet"/>
      </w:pPr>
      <w:r>
        <w:t>BMI: adjusted OR 1.0376 (95% CI 1.0257–1.0496).</w:t>
      </w:r>
    </w:p>
    <w:p>
      <w:pPr>
        <w:pStyle w:val="ListBullet"/>
      </w:pPr>
      <w:r>
        <w:t>Male vs female: adjusted OR 1.2358 (95% CI 0.9338–1.6354); not statistically significant at 5%.</w:t>
      </w:r>
    </w:p>
    <w:p>
      <w:pPr>
        <w:pStyle w:val="ListBullet"/>
      </w:pPr>
      <w:r>
        <w:t>Mean five-fold AUC 0.7575 (SD 0.0128); test AUC 0.75.</w:t>
      </w:r>
    </w:p>
    <w:p>
      <w:pPr>
        <w:pStyle w:val="ListBullet"/>
      </w:pPr>
      <w:r>
        <w:t>At the selected threshold, accuracy 65.4%, sensitivity 78.3%, specificity 61.8%, and F1 0.501.</w:t>
      </w:r>
    </w:p>
    <w:p>
      <w:pPr>
        <w:pStyle w:val="Heading1"/>
      </w:pPr>
      <w:r>
        <w:t>Skills demonstrated</w:t>
      </w:r>
    </w:p>
    <w:p>
      <w:r>
        <w:t>R programming, data import and joins, data cleaning, descriptive statistics, exploratory analysis, survey-weighted logistic regression, odds-ratio interpretation, cross-validation, ROC/AUC, confusion-matrix metrics, and research reporting.</w:t>
      </w:r>
    </w:p>
    <w:p>
      <w:pPr>
        <w:pStyle w:val="Heading1"/>
      </w:pPr>
      <w:r>
        <w:t>Limitations</w:t>
      </w:r>
    </w:p>
    <w:p>
      <w:r>
        <w:t>The outcome is an operational study definition, not a clinical diagnosis. Predictive metrics are sample-based and unweighted. The study is observational, so associations do not establish causation. Threshold selection and cross-validation procedures should be verified before publication.</w:t>
      </w:r>
    </w:p>
    <w:p>
      <w:pPr>
        <w:pStyle w:val="Heading1"/>
      </w:pPr>
      <w:r>
        <w:t>Conclusion</w:t>
      </w:r>
    </w:p>
    <w:p>
      <w:r>
        <w:t>Age and BMI were positively associated with the project's high-BP outcome after adjustment. The model showed moderate discrimination. The project demonstrates a public-health data-analysis workflow while distinguishing population inference from predictive evaluation.</w:t>
      </w:r>
    </w:p>
    <w:p>
      <w:pPr>
        <w:pStyle w:val="Heading1"/>
      </w:pPr>
      <w:r>
        <w:t>Adjusted odds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4A6B"/>
          </w:tcPr>
          <w:p>
            <w:r>
              <w:rPr>
                <w:b/>
                <w:color w:val="FFFFFF"/>
                <w:sz w:val="16"/>
              </w:rPr>
              <w:t>Predictor</w:t>
            </w:r>
          </w:p>
        </w:tc>
        <w:tc>
          <w:tcPr>
            <w:tcW w:type="dxa" w:w="3360"/>
            <w:shd w:fill="1C4A6B"/>
          </w:tcPr>
          <w:p>
            <w:r>
              <w:rPr>
                <w:b/>
                <w:color w:val="FFFFFF"/>
                <w:sz w:val="16"/>
              </w:rPr>
              <w:t>Adjusted OR</w:t>
            </w:r>
          </w:p>
        </w:tc>
        <w:tc>
          <w:tcPr>
            <w:tcW w:type="dxa" w:w="3360"/>
            <w:shd w:fill="1C4A6B"/>
          </w:tcPr>
          <w:p>
            <w:r>
              <w:rPr>
                <w:b/>
                <w:color w:val="FFFFFF"/>
                <w:sz w:val="16"/>
              </w:rPr>
              <w:t>95% CI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Age (per year)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1.0617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1.0541–1.0693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Male vs female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1.2358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0.9338–1.6354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  <w:t>BMI (per unit)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1.0376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  <w:t>1.0257–1.0496</w:t>
            </w:r>
          </w:p>
        </w:tc>
      </w:tr>
    </w:tbl>
    <w:p/>
    <w:p>
      <w:pPr>
        <w:pStyle w:val="Heading1"/>
      </w:pPr>
      <w:r>
        <w:t>Data documentation</w:t>
      </w:r>
    </w:p>
    <w:p>
      <w:r>
        <w:t>NHANES overview: https://wwwn.cdc.gov/nchs/nhanes/continuousnhanes/overview.aspx?BeginYear=2017</w:t>
      </w:r>
    </w:p>
    <w:p>
      <w:r>
        <w:t>BPX_J documentation: https://wwwn.cdc.gov/Nchs/Data/Nhanes/Public/2017/DataFiles/BPX_J.htm</w:t>
      </w:r>
    </w:p>
    <w:p>
      <w:r>
        <w:t>BPQ_J documentation: https://wwwn.cdc.gov/Nchs/Data/Nhanes/Public/2017/DataFiles/BPQ_J.htm</w:t>
      </w:r>
    </w:p>
    <w:p>
      <w:r>
        <w:br w:type="page"/>
      </w:r>
    </w:p>
    <w:p>
      <w:pPr>
        <w:pStyle w:val="Heading1"/>
        <w:jc w:val="center"/>
      </w:pPr>
      <w:r>
        <w:t>Project Visualisations</w:t>
      </w:r>
    </w:p>
    <w:p>
      <w:pPr>
        <w:spacing w:after="240"/>
      </w:pPr>
      <w:r>
        <w:t>The figures below complement the statistical results. The blood-pressure outcome is a project-defined classification based on measurements from one examination session, not a clinical diagnosis. Unless otherwise stated, exploratory plots and predictive evaluation are unweighted sample-based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gh_bp_by_age_gro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Percentage meeting the project-defined high-BP threshold by age group</w:t>
      </w:r>
    </w:p>
    <w:p>
      <w:pPr>
        <w:spacing w:after="280"/>
      </w:pPr>
      <w:r>
        <w:t>The observed percentage increases across age groups in this unweighted sample. The age-80 group has a smaller sample and missing outcomes should be kept in mind.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mi_by_high_b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BMI by project-defined measured high-BP classification</w:t>
      </w:r>
    </w:p>
    <w:p>
      <w:pPr>
        <w:spacing w:after="280"/>
      </w:pPr>
      <w:r>
        <w:t>The outcome-positive group has a somewhat higher median BMI. The distributions overlap substantially, so BMI alone does not distinguish the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st_set_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4. ROC curve for the held-out test set</w:t>
      </w:r>
    </w:p>
    <w:p>
      <w:pPr>
        <w:spacing w:after="280"/>
      </w:pPr>
      <w:r>
        <w:t>The test-set AUC is 0.75, indicating moderate discrimination in this sample. These predictive metrics are unweighted.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5. Calibration plot</w:t>
      </w:r>
    </w:p>
    <w:p>
      <w:pPr>
        <w:spacing w:after="280"/>
      </w:pPr>
      <w:r>
        <w:t>Points nearer the diagonal indicate closer agreement between predicted and observed proportions. The plot should be interpreted in light of the calibration grouping and weighting procedure used.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NHANES 2017–2018 | Biostatistics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4A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4A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4A6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