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864"/>
          <w:sz w:val="52"/>
          <w:szCs w:val="52"/>
        </w:rPr>
        <w:t xml:space="preserve">Digital Advertising Performance Analysis</w:t>
      </w:r>
    </w:p>
    <w:p>
      <w:pPr>
        <w:spacing w:after="80" w:before="80"/>
        <w:jc w:val="center"/>
      </w:pPr>
      <w:r>
        <w:rPr>
          <w:rFonts w:ascii="Arial" w:cs="Arial" w:eastAsia="Arial" w:hAnsi="Arial"/>
          <w:color w:val="2E75B6"/>
          <w:sz w:val="30"/>
          <w:szCs w:val="30"/>
        </w:rPr>
        <w:t xml:space="preserve">January – February 2026</w:t>
      </w:r>
    </w:p>
    <w:p>
      <w:pPr>
        <w:spacing w:after="480" w:before="80"/>
        <w:jc w:val="center"/>
      </w:pPr>
      <w:r>
        <w:rPr>
          <w:rFonts w:ascii="Arial" w:cs="Arial" w:eastAsia="Arial" w:hAnsi="Arial"/>
          <w:i/>
          <w:iCs/>
          <w:color w:val="595959"/>
          <w:sz w:val="22"/>
          <w:szCs w:val="22"/>
        </w:rPr>
        <w:t xml:space="preserve">Prepared for: Business Leadership Team</w:t>
      </w:r>
    </w:p>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3864"/>
          <w:sz w:val="32"/>
          <w:szCs w:val="32"/>
        </w:rPr>
        <w:t xml:space="preserve">1. Executive Summary</w:t>
      </w:r>
    </w:p>
    <w:p>
      <w:pPr>
        <w:spacing w:after="160" w:before="80"/>
      </w:pPr>
      <w:r>
        <w:rPr>
          <w:rFonts w:ascii="Arial" w:cs="Arial" w:eastAsia="Arial" w:hAnsi="Arial"/>
          <w:color w:val="000000"/>
          <w:sz w:val="20"/>
          <w:szCs w:val="20"/>
        </w:rPr>
        <w:t xml:space="preserve">This report presents a comprehensive analysis of digital advertising performance across 15 ad platforms, 2,287 campaigns, and 138 traffic sources over a 59-day period from January 1 to February 28, 2026. The dataset covers 11.5 million events generated from approximately 9 million unique user sessions.</w:t>
      </w:r>
    </w:p>
    <w:p>
      <w:pPr>
        <w:spacing w:after="80" w:before="80"/>
      </w:pPr>
      <w:r>
        <w:t xml:space="preserve"/>
      </w:r>
    </w:p>
    <w:p>
      <w:pPr>
        <w:spacing w:after="160" w:before="80"/>
      </w:pPr>
      <w:r>
        <w:rPr>
          <w:rFonts w:ascii="Arial" w:cs="Arial" w:eastAsia="Arial" w:hAnsi="Arial"/>
          <w:color w:val="000000"/>
          <w:sz w:val="20"/>
          <w:szCs w:val="20"/>
        </w:rPr>
        <w:t xml:space="preserve">The business generated exceptional overall returns during this period, driven primarily by remarketing activity. However, significant performance gaps exist across platforms, with a small number of channels delivering disproportionate value while others consume budget with minimal return.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Revenue</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Cost</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Margin</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Overall ROAS</w:t>
            </w:r>
          </w:p>
        </w:tc>
      </w:tr>
      <w:tr>
        <w:tc>
          <w:tcPr>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pPr>
              <w:jc w:val="center"/>
            </w:pPr>
            <w:r>
              <w:rPr>
                <w:rFonts w:ascii="Arial" w:cs="Arial" w:eastAsia="Arial" w:hAnsi="Arial"/>
                <w:b/>
                <w:bCs/>
                <w:color w:val="1B5E20"/>
                <w:sz w:val="28"/>
                <w:szCs w:val="28"/>
              </w:rPr>
              <w:t xml:space="preserve">$139.0M</w:t>
            </w:r>
          </w:p>
        </w:tc>
        <w:tc>
          <w:tcPr>
            <w:tcBorders>
              <w:top w:val="single" w:color="CCCCCC" w:sz="1"/>
              <w:left w:val="single" w:color="CCCCCC" w:sz="1"/>
              <w:bottom w:val="single" w:color="CCCCCC" w:sz="1"/>
              <w:right w:val="single" w:color="CCCCCC" w:sz="1"/>
            </w:tcBorders>
            <w:shd w:fill="FFEBEE" w:val="clear"/>
            <w:tcMar>
              <w:top w:type="dxa" w:w="120"/>
              <w:left w:type="dxa" w:w="120"/>
              <w:bottom w:type="dxa" w:w="120"/>
              <w:right w:type="dxa" w:w="120"/>
            </w:tcMar>
          </w:tcPr>
          <w:p>
            <w:pPr>
              <w:jc w:val="center"/>
            </w:pPr>
            <w:r>
              <w:rPr>
                <w:rFonts w:ascii="Arial" w:cs="Arial" w:eastAsia="Arial" w:hAnsi="Arial"/>
                <w:b/>
                <w:bCs/>
                <w:color w:val="B71C1C"/>
                <w:sz w:val="28"/>
                <w:szCs w:val="28"/>
              </w:rPr>
              <w:t xml:space="preserve">$15.1M</w:t>
            </w:r>
          </w:p>
        </w:tc>
        <w:tc>
          <w:tcPr>
            <w:tcBorders>
              <w:top w:val="single" w:color="CCCCCC" w:sz="1"/>
              <w:left w:val="single" w:color="CCCCCC" w:sz="1"/>
              <w:bottom w:val="single" w:color="CCCCCC" w:sz="1"/>
              <w:right w:val="single" w:color="CCCCCC" w:sz="1"/>
            </w:tcBorders>
            <w:shd w:fill="E3F2FD" w:val="clear"/>
            <w:tcMar>
              <w:top w:type="dxa" w:w="120"/>
              <w:left w:type="dxa" w:w="120"/>
              <w:bottom w:type="dxa" w:w="120"/>
              <w:right w:type="dxa" w:w="120"/>
            </w:tcMar>
          </w:tcPr>
          <w:p>
            <w:pPr>
              <w:jc w:val="center"/>
            </w:pPr>
            <w:r>
              <w:rPr>
                <w:rFonts w:ascii="Arial" w:cs="Arial" w:eastAsia="Arial" w:hAnsi="Arial"/>
                <w:b/>
                <w:bCs/>
                <w:color w:val="0D47A1"/>
                <w:sz w:val="28"/>
                <w:szCs w:val="28"/>
              </w:rPr>
              <w:t xml:space="preserve">$123.9M</w:t>
            </w:r>
          </w:p>
        </w:tc>
        <w:tc>
          <w:tcPr>
            <w:tcBorders>
              <w:top w:val="single" w:color="CCCCCC" w:sz="1"/>
              <w:left w:val="single" w:color="CCCCCC" w:sz="1"/>
              <w:bottom w:val="single" w:color="CCCCCC" w:sz="1"/>
              <w:right w:val="single" w:color="CCCCCC" w:sz="1"/>
            </w:tcBorders>
            <w:shd w:fill="FFF8E1" w:val="clear"/>
            <w:tcMar>
              <w:top w:type="dxa" w:w="120"/>
              <w:left w:type="dxa" w:w="120"/>
              <w:bottom w:type="dxa" w:w="120"/>
              <w:right w:type="dxa" w:w="120"/>
            </w:tcMar>
          </w:tcPr>
          <w:p>
            <w:pPr>
              <w:jc w:val="center"/>
            </w:pPr>
            <w:r>
              <w:rPr>
                <w:rFonts w:ascii="Arial" w:cs="Arial" w:eastAsia="Arial" w:hAnsi="Arial"/>
                <w:b/>
                <w:bCs/>
                <w:color w:val="E65100"/>
                <w:sz w:val="28"/>
                <w:szCs w:val="28"/>
              </w:rPr>
              <w:t xml:space="preserve">9.19x</w:t>
            </w:r>
          </w:p>
        </w:tc>
      </w:tr>
    </w:tbl>
    <w:p>
      <w:pPr>
        <w:spacing w:after="80" w:before="80"/>
      </w:pPr>
      <w:r>
        <w:t xml:space="preserve"/>
      </w:r>
    </w:p>
    <w:p>
      <w:pPr>
        <w:spacing w:after="160" w:before="80"/>
      </w:pPr>
      <w:r>
        <w:rPr>
          <w:rFonts w:ascii="Arial" w:cs="Arial" w:eastAsia="Arial" w:hAnsi="Arial"/>
          <w:color w:val="000000"/>
          <w:sz w:val="20"/>
          <w:szCs w:val="20"/>
        </w:rPr>
        <w:t xml:space="preserve">The 9.19x overall ROAS demonstrates strong business fundamentals. For every $1.00 spent across all channels, the business returned $9.19 in revenue. The total margin of $123.9 million represents an 89.1% margin rate, which is exceptional by digital advertising standards.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Key Highlights</w:t>
      </w:r>
    </w:p>
    <w:p>
      <w:pPr>
        <w:pStyle w:val="ListParagraph"/>
        <w:numPr>
          <w:ilvl w:val="0"/>
          <w:numId w:val="2"/>
        </w:numPr>
        <w:spacing w:after="60" w:before="60"/>
      </w:pPr>
      <w:r>
        <w:rPr>
          <w:rFonts w:ascii="Arial" w:cs="Arial" w:eastAsia="Arial" w:hAnsi="Arial"/>
          <w:color w:val="000000"/>
          <w:sz w:val="20"/>
          <w:szCs w:val="20"/>
        </w:rPr>
        <w:t xml:space="preserve">Google Ads delivers the highest ROAS among meaningful-volume platforms at 508x, with an industry-leading CAC of just $4.19 per customer.</w:t>
      </w:r>
    </w:p>
    <w:p>
      <w:pPr>
        <w:pStyle w:val="ListParagraph"/>
        <w:numPr>
          <w:ilvl w:val="0"/>
          <w:numId w:val="2"/>
        </w:numPr>
        <w:spacing w:after="60" w:before="60"/>
      </w:pPr>
      <w:r>
        <w:rPr>
          <w:rFonts w:ascii="Arial" w:cs="Arial" w:eastAsia="Arial" w:hAnsi="Arial"/>
          <w:color w:val="000000"/>
          <w:sz w:val="20"/>
          <w:szCs w:val="20"/>
        </w:rPr>
        <w:t xml:space="preserve">PropellerAds generated 241,482 visits (the second highest volume) but only $4,706 in total revenue across 2 conversions. Immediate action is required.</w:t>
      </w:r>
    </w:p>
    <w:p>
      <w:pPr>
        <w:pStyle w:val="ListParagraph"/>
        <w:numPr>
          <w:ilvl w:val="0"/>
          <w:numId w:val="2"/>
        </w:numPr>
        <w:spacing w:after="60" w:before="60"/>
      </w:pPr>
      <w:r>
        <w:rPr>
          <w:rFonts w:ascii="Arial" w:cs="Arial" w:eastAsia="Arial" w:hAnsi="Arial"/>
          <w:color w:val="000000"/>
          <w:sz w:val="20"/>
          <w:szCs w:val="20"/>
        </w:rPr>
        <w:t xml:space="preserve">The customer funnel converts 23.1% of full leads to paying customers, which is a strong conversion rate for digital advertising.</w:t>
      </w:r>
    </w:p>
    <w:p>
      <w:pPr>
        <w:pStyle w:val="ListParagraph"/>
        <w:numPr>
          <w:ilvl w:val="0"/>
          <w:numId w:val="2"/>
        </w:numPr>
        <w:spacing w:after="60" w:before="60"/>
      </w:pPr>
      <w:r>
        <w:rPr>
          <w:rFonts w:ascii="Arial" w:cs="Arial" w:eastAsia="Arial" w:hAnsi="Arial"/>
          <w:color w:val="000000"/>
          <w:sz w:val="20"/>
          <w:szCs w:val="20"/>
        </w:rPr>
        <w:t xml:space="preserve">Four campaigns generated zero revenue while consuming a combined $13,016 in ad spend. These should be paused immediately.</w:t>
      </w:r>
    </w:p>
    <w:p>
      <w:pPr>
        <w:pStyle w:val="ListParagraph"/>
        <w:numPr>
          <w:ilvl w:val="0"/>
          <w:numId w:val="2"/>
        </w:numPr>
        <w:spacing w:after="60" w:before="60"/>
      </w:pPr>
      <w:r>
        <w:rPr>
          <w:rFonts w:ascii="Arial" w:cs="Arial" w:eastAsia="Arial" w:hAnsi="Arial"/>
          <w:color w:val="000000"/>
          <w:sz w:val="20"/>
          <w:szCs w:val="20"/>
        </w:rPr>
        <w:t xml:space="preserve">Tier 1 leads generate $79.5 million in total revenue at an average of $2,029 per lead, confirming lead quality scoring is working as intended.</w:t>
      </w:r>
    </w:p>
    <w:p>
      <w:pPr>
        <w:pStyle w:val="ListParagraph"/>
        <w:numPr>
          <w:ilvl w:val="0"/>
          <w:numId w:val="2"/>
        </w:numPr>
        <w:spacing w:after="60" w:before="60"/>
      </w:pPr>
      <w:r>
        <w:rPr>
          <w:rFonts w:ascii="Arial" w:cs="Arial" w:eastAsia="Arial" w:hAnsi="Arial"/>
          <w:color w:val="000000"/>
          <w:sz w:val="20"/>
          <w:szCs w:val="20"/>
        </w:rPr>
        <w:t xml:space="preserve">Microsoft Ads is a heavily underutilised channel with the highest revenue per customer at $3,072 and a ROAS of 387x, yet receives minimal budget allocation.</w:t>
      </w:r>
    </w:p>
    <w:p>
      <w:pPr>
        <w:spacing w:after="80" w:before="80"/>
      </w:pPr>
      <w:r>
        <w:t xml:space="preserve"/>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2. Cost Efficiency and Margin Optimisation</w:t>
      </w:r>
    </w:p>
    <w:p>
      <w:pPr>
        <w:spacing w:after="160" w:before="80"/>
      </w:pPr>
      <w:r>
        <w:rPr>
          <w:rFonts w:ascii="Arial" w:cs="Arial" w:eastAsia="Arial" w:hAnsi="Arial"/>
          <w:color w:val="000000"/>
          <w:sz w:val="20"/>
          <w:szCs w:val="20"/>
        </w:rPr>
        <w:t xml:space="preserve">This section investigates the relationship between advertising spend and margin across platforms and campaign types, identifying where budget reallocation would yield the greatest returns.</w:t>
      </w:r>
    </w:p>
    <w:p>
      <w:pPr>
        <w:pStyle w:val="Heading2"/>
        <w:spacing w:after="120" w:before="240"/>
      </w:pPr>
      <w:r>
        <w:rPr>
          <w:rFonts w:ascii="Arial" w:cs="Arial" w:eastAsia="Arial" w:hAnsi="Arial"/>
          <w:b/>
          <w:bCs/>
          <w:color w:val="2E75B6"/>
          <w:sz w:val="26"/>
          <w:szCs w:val="26"/>
        </w:rPr>
        <w:t xml:space="preserve">2.1 Platform Performance Overview</w:t>
      </w:r>
    </w:p>
    <w:p>
      <w:pPr>
        <w:spacing w:after="160" w:before="80"/>
      </w:pPr>
      <w:r>
        <w:rPr>
          <w:rFonts w:ascii="Arial" w:cs="Arial" w:eastAsia="Arial" w:hAnsi="Arial"/>
          <w:color w:val="000000"/>
          <w:sz w:val="20"/>
          <w:szCs w:val="20"/>
        </w:rPr>
        <w:t xml:space="preserve">The table below summarises all key performance indicators by advertising platform, ordered by total revenue generated.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10"/>
        <w:gridCol w:w="900"/>
        <w:gridCol w:w="1010"/>
        <w:gridCol w:w="800"/>
        <w:gridCol w:w="900"/>
        <w:gridCol w:w="900"/>
        <w:gridCol w:w="1340"/>
      </w:tblGrid>
      <w:tr>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Margin</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ROAS</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CPL</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CAC</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LTV</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SMS bulk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$28.6M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$9.5M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$19.1M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3.0x</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$98.25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$479.89</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$1,440.65</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Google Ads</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$27.0M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$53K</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$26.9M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508x</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$1.89</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$4.19</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$2,130.11</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Cascade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$17.2M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$129K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$17.0M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133x</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$6.33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$12.42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$1,657.23</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Email bulk</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$14.6M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$86K</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$14.5M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169x</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$1.15</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$8.40</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$1,417.26</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System emails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$13.1M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$56K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$13.1M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235x</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$1.25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$11.64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$2,735.29</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Meta ads</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$12.1M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$58K</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$12.1M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210x</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$2.74</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$8.55</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$1,791.91</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System SMS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$10.1M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$2.3M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$7.8M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4.5x</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$171.16</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$473.98</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$2,122.99</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Voicebot bulk</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$6.2M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$761K</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$5.4M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8.1x</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$40.66</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$160.21</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$1,301.08</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Affiliates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$5.7M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$2.2M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$3.5M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2.6x</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$89.77</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$542.34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$1,409.98</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Organic</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$2.7M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$6K</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$2.6M</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452x</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$2.31</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$5.25</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$2,374.44</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Sklik ads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$1.4M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$1.4M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353x</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$2.33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$5.92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$2,090.07</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Microsoft Ads</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$369K</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$953</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$368K</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387x</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$4.00</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$7.94</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$3,072.87</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PropellerAds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$4.7K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$4.7K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397x</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$2.37</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$5.93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$2,353.14</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ROAS Analysis — Where Budget Is Working</w:t>
      </w:r>
    </w:p>
    <w:p>
      <w:pPr>
        <w:spacing w:after="160" w:before="80"/>
      </w:pPr>
      <w:r>
        <w:rPr>
          <w:rFonts w:ascii="Arial" w:cs="Arial" w:eastAsia="Arial" w:hAnsi="Arial"/>
          <w:color w:val="000000"/>
          <w:sz w:val="20"/>
          <w:szCs w:val="20"/>
        </w:rPr>
        <w:t xml:space="preserve">Return on Ad Spend (ROAS) reveals dramatic efficiency differences across platforms. Three tiers of performance are clearly visible:</w:t>
      </w:r>
    </w:p>
    <w:p>
      <w:pPr>
        <w:spacing w:after="80" w:before="80"/>
      </w:pPr>
      <w:r>
        <w:t xml:space="preserve"/>
      </w:r>
    </w:p>
    <w:p>
      <w:pPr>
        <w:spacing w:after="80" w:before="180"/>
      </w:pPr>
      <w:r>
        <w:rPr>
          <w:rFonts w:ascii="Arial" w:cs="Arial" w:eastAsia="Arial" w:hAnsi="Arial"/>
          <w:b/>
          <w:bCs/>
          <w:color w:val="1F3864"/>
          <w:sz w:val="22"/>
          <w:szCs w:val="22"/>
        </w:rPr>
        <w:t xml:space="preserve">Tier A — Exceptional Performers (ROAS above 100x)</w:t>
      </w:r>
    </w:p>
    <w:p>
      <w:pPr>
        <w:pStyle w:val="ListParagraph"/>
        <w:numPr>
          <w:ilvl w:val="0"/>
          <w:numId w:val="2"/>
        </w:numPr>
        <w:spacing w:after="60" w:before="60"/>
      </w:pPr>
      <w:r>
        <w:rPr>
          <w:rFonts w:ascii="Arial" w:cs="Arial" w:eastAsia="Arial" w:hAnsi="Arial"/>
          <w:color w:val="000000"/>
          <w:sz w:val="20"/>
          <w:szCs w:val="20"/>
        </w:rPr>
        <w:t xml:space="preserve">Google Ads: 508x ROAS. Spending $53,055 generated $26.96 million in revenue. With a CPL of $1.89 and CAC of just $4.19, this platform acquires customers at near-zero cost relative to the value they generate. This channel should be scaled aggressively.</w:t>
      </w:r>
    </w:p>
    <w:p>
      <w:pPr>
        <w:pStyle w:val="ListParagraph"/>
        <w:numPr>
          <w:ilvl w:val="0"/>
          <w:numId w:val="2"/>
        </w:numPr>
        <w:spacing w:after="60" w:before="60"/>
      </w:pPr>
      <w:r>
        <w:rPr>
          <w:rFonts w:ascii="Arial" w:cs="Arial" w:eastAsia="Arial" w:hAnsi="Arial"/>
          <w:color w:val="000000"/>
          <w:sz w:val="20"/>
          <w:szCs w:val="20"/>
        </w:rPr>
        <w:t xml:space="preserve">Organic Traffic: 452x ROAS. Organic channels cost only $5,866 total yet generated $2.65 million. Every dollar spent on organic optimisation yields exceptional returns. Investment in SEO and content is clearly justified.</w:t>
      </w:r>
    </w:p>
    <w:p>
      <w:pPr>
        <w:pStyle w:val="ListParagraph"/>
        <w:numPr>
          <w:ilvl w:val="0"/>
          <w:numId w:val="2"/>
        </w:numPr>
        <w:spacing w:after="60" w:before="60"/>
      </w:pPr>
      <w:r>
        <w:rPr>
          <w:rFonts w:ascii="Arial" w:cs="Arial" w:eastAsia="Arial" w:hAnsi="Arial"/>
          <w:color w:val="000000"/>
          <w:sz w:val="20"/>
          <w:szCs w:val="20"/>
        </w:rPr>
        <w:t xml:space="preserve">Microsoft Ads: 387x ROAS. Despite only $953 in total spend, this platform generated $368,744 with the highest LTV per customer at $3,072. This is a hidden gem that warrants significantly increased budget allocation.</w:t>
      </w:r>
    </w:p>
    <w:p>
      <w:pPr>
        <w:pStyle w:val="ListParagraph"/>
        <w:numPr>
          <w:ilvl w:val="0"/>
          <w:numId w:val="2"/>
        </w:numPr>
        <w:spacing w:after="60" w:before="60"/>
      </w:pPr>
      <w:r>
        <w:rPr>
          <w:rFonts w:ascii="Arial" w:cs="Arial" w:eastAsia="Arial" w:hAnsi="Arial"/>
          <w:color w:val="000000"/>
          <w:sz w:val="20"/>
          <w:szCs w:val="20"/>
        </w:rPr>
        <w:t xml:space="preserve">System Emails: 235x ROAS. At $1.25 CPL and $11.64 CAC, automated email re-engagement delivers strong efficiency across 44,637 leads and 4,805 customers.</w:t>
      </w:r>
    </w:p>
    <w:p>
      <w:pPr>
        <w:pStyle w:val="ListParagraph"/>
        <w:numPr>
          <w:ilvl w:val="0"/>
          <w:numId w:val="2"/>
        </w:numPr>
        <w:spacing w:after="60" w:before="60"/>
      </w:pPr>
      <w:r>
        <w:rPr>
          <w:rFonts w:ascii="Arial" w:cs="Arial" w:eastAsia="Arial" w:hAnsi="Arial"/>
          <w:color w:val="000000"/>
          <w:sz w:val="20"/>
          <w:szCs w:val="20"/>
        </w:rPr>
        <w:t xml:space="preserve">Meta Ads: 210x ROAS. Solid performance at $2.74 CPL and $8.55 CAC with $12.1 million in revenue across 6,762 customers.</w:t>
      </w:r>
    </w:p>
    <w:p>
      <w:pPr>
        <w:spacing w:after="80" w:before="80"/>
      </w:pPr>
      <w:r>
        <w:t xml:space="preserve"/>
      </w:r>
    </w:p>
    <w:p>
      <w:pPr>
        <w:spacing w:after="80" w:before="180"/>
      </w:pPr>
      <w:r>
        <w:rPr>
          <w:rFonts w:ascii="Arial" w:cs="Arial" w:eastAsia="Arial" w:hAnsi="Arial"/>
          <w:b/>
          <w:bCs/>
          <w:color w:val="1F3864"/>
          <w:sz w:val="22"/>
          <w:szCs w:val="22"/>
        </w:rPr>
        <w:t xml:space="preserve">Tier B — Adequate Performers (ROAS 3x to 20x)</w:t>
      </w:r>
    </w:p>
    <w:p>
      <w:pPr>
        <w:pStyle w:val="ListParagraph"/>
        <w:numPr>
          <w:ilvl w:val="0"/>
          <w:numId w:val="2"/>
        </w:numPr>
        <w:spacing w:after="60" w:before="60"/>
      </w:pPr>
      <w:r>
        <w:rPr>
          <w:rFonts w:ascii="Arial" w:cs="Arial" w:eastAsia="Arial" w:hAnsi="Arial"/>
          <w:color w:val="000000"/>
          <w:sz w:val="20"/>
          <w:szCs w:val="20"/>
        </w:rPr>
        <w:t xml:space="preserve">Cascade: 133x ROAS. Generates $17.2 million at reasonable cost. However, its anomalous funnel metrics (685% visit-to-lead rate) confirm it operates as a remarketing tool on existing user bases rather than a true acquisition channel.</w:t>
      </w:r>
    </w:p>
    <w:p>
      <w:pPr>
        <w:pStyle w:val="ListParagraph"/>
        <w:numPr>
          <w:ilvl w:val="0"/>
          <w:numId w:val="2"/>
        </w:numPr>
        <w:spacing w:after="60" w:before="60"/>
      </w:pPr>
      <w:r>
        <w:rPr>
          <w:rFonts w:ascii="Arial" w:cs="Arial" w:eastAsia="Arial" w:hAnsi="Arial"/>
          <w:color w:val="000000"/>
          <w:sz w:val="20"/>
          <w:szCs w:val="20"/>
        </w:rPr>
        <w:t xml:space="preserve">Email Bulk: 169x ROAS. Strong revenue at $14.6 million. However, lead quality is poor with only 6.38% Tier 1 leads and 73.19% Tier 5. Revenue is driven by sheer volume rather than quality.</w:t>
      </w:r>
    </w:p>
    <w:p>
      <w:pPr>
        <w:pStyle w:val="ListParagraph"/>
        <w:numPr>
          <w:ilvl w:val="0"/>
          <w:numId w:val="2"/>
        </w:numPr>
        <w:spacing w:after="60" w:before="60"/>
      </w:pPr>
      <w:r>
        <w:rPr>
          <w:rFonts w:ascii="Arial" w:cs="Arial" w:eastAsia="Arial" w:hAnsi="Arial"/>
          <w:color w:val="000000"/>
          <w:sz w:val="20"/>
          <w:szCs w:val="20"/>
        </w:rPr>
        <w:t xml:space="preserve">Voicebot Bulk: 8x ROAS. Generates $6.2 million but costs $761,000. At $40.66 CPL and $160.21 CAC, it is significantly less efficient than digital channels.</w:t>
      </w:r>
    </w:p>
    <w:p>
      <w:pPr>
        <w:pStyle w:val="ListParagraph"/>
        <w:numPr>
          <w:ilvl w:val="0"/>
          <w:numId w:val="2"/>
        </w:numPr>
        <w:spacing w:after="60" w:before="60"/>
      </w:pPr>
      <w:r>
        <w:rPr>
          <w:rFonts w:ascii="Arial" w:cs="Arial" w:eastAsia="Arial" w:hAnsi="Arial"/>
          <w:color w:val="000000"/>
          <w:sz w:val="20"/>
          <w:szCs w:val="20"/>
        </w:rPr>
        <w:t xml:space="preserve">System SMS: 4.5x ROAS. Despite $10.1 million in revenue, the $2.26 million cost and $171.16 CPL make it the most expensive lead acquisition channel. CAC of $473.98 is dangerously close to LTV.</w:t>
      </w:r>
    </w:p>
    <w:p>
      <w:pPr>
        <w:spacing w:after="80" w:before="80"/>
      </w:pPr>
      <w:r>
        <w:t xml:space="preserve"/>
      </w:r>
    </w:p>
    <w:p>
      <w:pPr>
        <w:spacing w:after="80" w:before="180"/>
      </w:pPr>
      <w:r>
        <w:rPr>
          <w:rFonts w:ascii="Arial" w:cs="Arial" w:eastAsia="Arial" w:hAnsi="Arial"/>
          <w:b/>
          <w:bCs/>
          <w:color w:val="1F3864"/>
          <w:sz w:val="22"/>
          <w:szCs w:val="22"/>
        </w:rPr>
        <w:t xml:space="preserve">Tier C — Underperforming Platforms (Immediate Review Required)</w:t>
      </w:r>
    </w:p>
    <w:p>
      <w:pPr>
        <w:pStyle w:val="ListParagraph"/>
        <w:numPr>
          <w:ilvl w:val="0"/>
          <w:numId w:val="2"/>
        </w:numPr>
        <w:spacing w:after="60" w:before="60"/>
      </w:pPr>
      <w:r>
        <w:rPr>
          <w:rFonts w:ascii="Arial" w:cs="Arial" w:eastAsia="Arial" w:hAnsi="Arial"/>
          <w:color w:val="000000"/>
          <w:sz w:val="20"/>
          <w:szCs w:val="20"/>
        </w:rPr>
        <w:t xml:space="preserve">SMS Bulk: 3.0x ROAS. Despite being the highest revenue platform at $28.6 million, it also carries the largest cost at $9.5 million. With a CPL of $98.25 and CAC of $479.89 against an LTV of $1,440, the margin per customer is extremely thin. Only 9.14% of its leads are Tier 1 quality.</w:t>
      </w:r>
    </w:p>
    <w:p>
      <w:pPr>
        <w:pStyle w:val="ListParagraph"/>
        <w:numPr>
          <w:ilvl w:val="0"/>
          <w:numId w:val="2"/>
        </w:numPr>
        <w:spacing w:after="60" w:before="60"/>
      </w:pPr>
      <w:r>
        <w:rPr>
          <w:rFonts w:ascii="Arial" w:cs="Arial" w:eastAsia="Arial" w:hAnsi="Arial"/>
          <w:color w:val="000000"/>
          <w:sz w:val="20"/>
          <w:szCs w:val="20"/>
        </w:rPr>
        <w:t xml:space="preserve">Affiliates: 2.6x ROAS. The worst LTV-to-CAC ratio in the dataset. At a CAC of $542.34 against an LTV of $1,409.98, only $867.64 net value is generated per customer before other operational costs are considered.</w:t>
      </w:r>
    </w:p>
    <w:p>
      <w:pPr>
        <w:pStyle w:val="ListParagraph"/>
        <w:numPr>
          <w:ilvl w:val="0"/>
          <w:numId w:val="2"/>
        </w:numPr>
        <w:spacing w:after="60" w:before="60"/>
      </w:pPr>
      <w:r>
        <w:rPr>
          <w:rFonts w:ascii="Arial" w:cs="Arial" w:eastAsia="Arial" w:hAnsi="Arial"/>
          <w:color w:val="000000"/>
          <w:sz w:val="20"/>
          <w:szCs w:val="20"/>
        </w:rPr>
        <w:t xml:space="preserve">PropellerAds: Despite 241,482 visits making it the second highest traffic source by volume, it produced only 2 conversions and $4,706 in revenue. ROAS is misleadingly high due to near-zero cost. This platform delivers no meaningful business value and should be paused immediately.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Campaign Type Performance</w:t>
      </w:r>
    </w:p>
    <w:p>
      <w:pPr>
        <w:spacing w:after="160" w:before="80"/>
      </w:pPr>
      <w:r>
        <w:rPr>
          <w:rFonts w:ascii="Arial" w:cs="Arial" w:eastAsia="Arial" w:hAnsi="Arial"/>
          <w:color w:val="000000"/>
          <w:sz w:val="20"/>
          <w:szCs w:val="20"/>
        </w:rPr>
        <w:t xml:space="preserve">At the campaign type level, MEDIA_BUYING campaigns are the most cost-efficient acquisition channel with a 352x ROAS, spending $115,900 to generate $40.9 million in revenue. ORGANIC campaigns follow at 452x ROAS. BULK_REMARKETING generates the most absolute revenue at $49.4 million but at a lower efficiency of 4.75x ROAS due to high SMS costs.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2.4 Weekly Spend vs Revenue Trend</w:t>
      </w:r>
    </w:p>
    <w:p>
      <w:pPr>
        <w:spacing w:after="160" w:before="80"/>
      </w:pPr>
      <w:r>
        <w:rPr>
          <w:rFonts w:ascii="Arial" w:cs="Arial" w:eastAsia="Arial" w:hAnsi="Arial"/>
          <w:color w:val="000000"/>
          <w:sz w:val="20"/>
          <w:szCs w:val="20"/>
        </w:rPr>
        <w:t xml:space="preserve">Cost spending remained broadly stable throughout the period, ranging between $1.5 million and $2.1 million per week. Revenue, however, showed significant fluctuation:</w:t>
      </w:r>
    </w:p>
    <w:p>
      <w:pPr>
        <w:pStyle w:val="ListParagraph"/>
        <w:numPr>
          <w:ilvl w:val="0"/>
          <w:numId w:val="2"/>
        </w:numPr>
        <w:spacing w:after="60" w:before="60"/>
      </w:pPr>
      <w:r>
        <w:rPr>
          <w:rFonts w:ascii="Arial" w:cs="Arial" w:eastAsia="Arial" w:hAnsi="Arial"/>
          <w:color w:val="000000"/>
          <w:sz w:val="20"/>
          <w:szCs w:val="20"/>
        </w:rPr>
        <w:t xml:space="preserve">January 19 and January 26 were the peak revenue weeks at $20.2 million and $20.1 million respectively, with ROAS reaching 10.67x.</w:t>
      </w:r>
    </w:p>
    <w:p>
      <w:pPr>
        <w:pStyle w:val="ListParagraph"/>
        <w:numPr>
          <w:ilvl w:val="0"/>
          <w:numId w:val="2"/>
        </w:numPr>
        <w:spacing w:after="60" w:before="60"/>
      </w:pPr>
      <w:r>
        <w:rPr>
          <w:rFonts w:ascii="Arial" w:cs="Arial" w:eastAsia="Arial" w:hAnsi="Arial"/>
          <w:color w:val="000000"/>
          <w:sz w:val="20"/>
          <w:szCs w:val="20"/>
        </w:rPr>
        <w:t xml:space="preserve">Revenue declined sharply in early February, reaching a low of $13.9 million in the week of February 9 (ROAS: 8.28x).</w:t>
      </w:r>
    </w:p>
    <w:p>
      <w:pPr>
        <w:pStyle w:val="ListParagraph"/>
        <w:numPr>
          <w:ilvl w:val="0"/>
          <w:numId w:val="2"/>
        </w:numPr>
        <w:spacing w:after="60" w:before="60"/>
      </w:pPr>
      <w:r>
        <w:rPr>
          <w:rFonts w:ascii="Arial" w:cs="Arial" w:eastAsia="Arial" w:hAnsi="Arial"/>
          <w:color w:val="000000"/>
          <w:sz w:val="20"/>
          <w:szCs w:val="20"/>
        </w:rPr>
        <w:t xml:space="preserve">A recovery trend is visible from February 16 onwards, with ROAS improving to 9.92x by the final week.</w:t>
      </w:r>
    </w:p>
    <w:p>
      <w:pPr>
        <w:pStyle w:val="ListParagraph"/>
        <w:numPr>
          <w:ilvl w:val="0"/>
          <w:numId w:val="2"/>
        </w:numPr>
        <w:spacing w:after="60" w:before="60"/>
      </w:pPr>
      <w:r>
        <w:rPr>
          <w:rFonts w:ascii="Arial" w:cs="Arial" w:eastAsia="Arial" w:hAnsi="Arial"/>
          <w:color w:val="000000"/>
          <w:sz w:val="20"/>
          <w:szCs w:val="20"/>
        </w:rPr>
        <w:t xml:space="preserve">The week of February 16 saw an unusual spike in visits to 565,563 compared to a typical weekly range of 170,000 to 250,000. This anomaly warrants investigation to understand whether it was driven by a deliberate campaign push or a tracking irregularity.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2.5 Campaign-Level Findings</w:t>
      </w:r>
    </w:p>
    <w:p>
      <w:pPr>
        <w:spacing w:after="160" w:before="80"/>
      </w:pPr>
      <w:r>
        <w:rPr>
          <w:rFonts w:ascii="Arial" w:cs="Arial" w:eastAsia="Arial" w:hAnsi="Arial"/>
          <w:color w:val="000000"/>
          <w:sz w:val="20"/>
          <w:szCs w:val="20"/>
        </w:rPr>
        <w:t xml:space="preserve">Among individual campaigns, four generated zero revenue while spending a combined $13,016. Campaign 2166 ($3,026 spent, $0 revenue), Campaign 1570 ($1,860), Campaign 670 on Meta Ads ($8,005), and Campaign 877 ($123) should be paused immediately pending review.</w:t>
      </w:r>
    </w:p>
    <w:p>
      <w:pPr>
        <w:spacing w:after="80" w:before="80"/>
      </w:pPr>
      <w:r>
        <w:t xml:space="preserve"/>
      </w:r>
    </w:p>
    <w:p>
      <w:pPr>
        <w:spacing w:after="160" w:before="80"/>
      </w:pPr>
      <w:r>
        <w:rPr>
          <w:rFonts w:ascii="Arial" w:cs="Arial" w:eastAsia="Arial" w:hAnsi="Arial"/>
          <w:color w:val="000000"/>
          <w:sz w:val="20"/>
          <w:szCs w:val="20"/>
        </w:rPr>
        <w:t xml:space="preserve">The highest ROAS campaigns are predominantly Email Bulk and SMS Bulk remarketing campaigns with near-zero costs ($2.37 per campaign) generating tens of thousands in revenue. Campaign 23 on Meta Ads stands out as an outlier with 20,168x ROAS, generating $191,192 on a $9.48 spend. This campaign should be investigated for scaling potential.</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3. Funnel Efficiency Analysis</w:t>
      </w:r>
    </w:p>
    <w:p>
      <w:pPr>
        <w:spacing w:after="160" w:before="80"/>
      </w:pPr>
      <w:r>
        <w:rPr>
          <w:rFonts w:ascii="Arial" w:cs="Arial" w:eastAsia="Arial" w:hAnsi="Arial"/>
          <w:color w:val="000000"/>
          <w:sz w:val="20"/>
          <w:szCs w:val="20"/>
        </w:rPr>
        <w:t xml:space="preserve">The customer funnel tracks user journeys from initial ad click through lead submission, quality tier assignment, and eventual revenue generation. Click IDs were used to connect events within individual sessions.</w:t>
      </w:r>
    </w:p>
    <w:p>
      <w:pPr>
        <w:pStyle w:val="Heading2"/>
        <w:spacing w:after="120" w:before="240"/>
      </w:pPr>
      <w:r>
        <w:rPr>
          <w:rFonts w:ascii="Arial" w:cs="Arial" w:eastAsia="Arial" w:hAnsi="Arial"/>
          <w:b/>
          <w:bCs/>
          <w:color w:val="2E75B6"/>
          <w:sz w:val="26"/>
          <w:szCs w:val="26"/>
        </w:rPr>
        <w:t xml:space="preserve">3.1 Overall Funnel Conversion Rates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Funnel Stage</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Conversion Rate</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Visits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2,208,354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Entry point — users who clicked an ad</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Unique Sessions (Visits)</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1,190,116</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Distinct user sessions tracked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Preliminary Leads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107,867</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8.06% of visits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Submitted initial contact info</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Full Leads</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347,069</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361.67%*</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Completed full registration</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Tiered Leads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365,338</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105.26% of full leads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Received quality tier assignment</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Conversions (Revenue)</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80,183</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23.10% of full leads</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Generated actual revenue</w:t>
            </w:r>
          </w:p>
        </w:tc>
      </w:tr>
    </w:tbl>
    <w:p>
      <w:pPr>
        <w:spacing w:after="80" w:before="80"/>
      </w:pPr>
      <w:r>
        <w:t xml:space="preserve"/>
      </w:r>
    </w:p>
    <w:p>
      <w:pPr>
        <w:spacing w:after="160" w:before="80"/>
      </w:pPr>
      <w:r>
        <w:rPr>
          <w:rFonts w:ascii="Arial" w:cs="Arial" w:eastAsia="Arial" w:hAnsi="Arial"/>
          <w:color w:val="000000"/>
          <w:sz w:val="20"/>
          <w:szCs w:val="20"/>
        </w:rPr>
        <w:t xml:space="preserve">* The 361.67% preliminary-to-full-lead conversion rate is a data characteristic, not an error. Full leads (347,069) significantly outnumber preliminary leads (107,867), indicating that the preliminary lead step is either optional or inconsistently captured in the system. Many users appear to progress directly from visit to full lead, bypassing the preliminary stage. This observation has been verified against raw row counts and is confirmed to reflect the actual data structure. Funnel analysis from this point uses full leads as the primary entry metric.</w:t>
      </w:r>
    </w:p>
    <w:p>
      <w:pPr>
        <w:spacing w:after="80" w:before="80"/>
      </w:pPr>
      <w:r>
        <w:t xml:space="preserve"/>
      </w:r>
    </w:p>
    <w:p>
      <w:pPr>
        <w:spacing w:after="160" w:before="80"/>
      </w:pPr>
      <w:r>
        <w:rPr>
          <w:rFonts w:ascii="Arial" w:cs="Arial" w:eastAsia="Arial" w:hAnsi="Arial"/>
          <w:color w:val="000000"/>
          <w:sz w:val="20"/>
          <w:szCs w:val="20"/>
        </w:rPr>
        <w:t xml:space="preserve">The most significant finding is the 23.1% full lead to conversion rate. This means that nearly 1 in 4 users who complete the full registration form eventually generates revenue. This is a strong indicator that the lead qualification process is working effectively, and that the business case for acquiring full leads is sound.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Funnel Performance by Ad Platform</w:t>
      </w:r>
    </w:p>
    <w:p>
      <w:pPr>
        <w:spacing w:after="160" w:before="80"/>
      </w:pPr>
      <w:r>
        <w:rPr>
          <w:rFonts w:ascii="Arial" w:cs="Arial" w:eastAsia="Arial" w:hAnsi="Arial"/>
          <w:color w:val="000000"/>
          <w:sz w:val="20"/>
          <w:szCs w:val="20"/>
        </w:rPr>
        <w:t xml:space="preserve">Significant variation exists in funnel performance across platforms. Key observations include:</w:t>
      </w:r>
    </w:p>
    <w:p>
      <w:pPr>
        <w:pStyle w:val="ListParagraph"/>
        <w:numPr>
          <w:ilvl w:val="0"/>
          <w:numId w:val="2"/>
        </w:numPr>
        <w:spacing w:after="60" w:before="60"/>
      </w:pPr>
      <w:r>
        <w:rPr>
          <w:rFonts w:ascii="Arial" w:cs="Arial" w:eastAsia="Arial" w:hAnsi="Arial"/>
          <w:color w:val="000000"/>
          <w:sz w:val="20"/>
          <w:szCs w:val="20"/>
        </w:rPr>
        <w:t xml:space="preserve">Google Ads converts 45.2% of full leads to revenue at an average of $2,130 per conversion. This is the best combination of conversion rate and average value among all acquisition platforms.</w:t>
      </w:r>
    </w:p>
    <w:p>
      <w:pPr>
        <w:pStyle w:val="ListParagraph"/>
        <w:numPr>
          <w:ilvl w:val="0"/>
          <w:numId w:val="2"/>
        </w:numPr>
        <w:spacing w:after="60" w:before="60"/>
      </w:pPr>
      <w:r>
        <w:rPr>
          <w:rFonts w:ascii="Arial" w:cs="Arial" w:eastAsia="Arial" w:hAnsi="Arial"/>
          <w:color w:val="000000"/>
          <w:sz w:val="20"/>
          <w:szCs w:val="20"/>
        </w:rPr>
        <w:t xml:space="preserve">Meta Ads converts 32.03% of full leads to revenue at $1,791 per conversion. A solid acquisition channel with room to scale.</w:t>
      </w:r>
    </w:p>
    <w:p>
      <w:pPr>
        <w:pStyle w:val="ListParagraph"/>
        <w:numPr>
          <w:ilvl w:val="0"/>
          <w:numId w:val="2"/>
        </w:numPr>
        <w:spacing w:after="60" w:before="60"/>
      </w:pPr>
      <w:r>
        <w:rPr>
          <w:rFonts w:ascii="Arial" w:cs="Arial" w:eastAsia="Arial" w:hAnsi="Arial"/>
          <w:color w:val="000000"/>
          <w:sz w:val="20"/>
          <w:szCs w:val="20"/>
        </w:rPr>
        <w:t xml:space="preserve">Organic Traffic converts 43.98% of full leads to revenue at $2,374 per conversion. Exceptionally strong performance at minimal cost.</w:t>
      </w:r>
    </w:p>
    <w:p>
      <w:pPr>
        <w:pStyle w:val="ListParagraph"/>
        <w:numPr>
          <w:ilvl w:val="0"/>
          <w:numId w:val="2"/>
        </w:numPr>
        <w:spacing w:after="60" w:before="60"/>
      </w:pPr>
      <w:r>
        <w:rPr>
          <w:rFonts w:ascii="Arial" w:cs="Arial" w:eastAsia="Arial" w:hAnsi="Arial"/>
          <w:color w:val="000000"/>
          <w:sz w:val="20"/>
          <w:szCs w:val="20"/>
        </w:rPr>
        <w:t xml:space="preserve">SMS Bulk converts only 20.47% of its full leads, the lowest rate among high-volume platforms, at $1,440 per conversion. Despite being the highest revenue platform, it is the least efficient at converting leads.</w:t>
      </w:r>
    </w:p>
    <w:p>
      <w:pPr>
        <w:pStyle w:val="ListParagraph"/>
        <w:numPr>
          <w:ilvl w:val="0"/>
          <w:numId w:val="2"/>
        </w:numPr>
        <w:spacing w:after="60" w:before="60"/>
      </w:pPr>
      <w:r>
        <w:rPr>
          <w:rFonts w:ascii="Arial" w:cs="Arial" w:eastAsia="Arial" w:hAnsi="Arial"/>
          <w:color w:val="000000"/>
          <w:sz w:val="20"/>
          <w:szCs w:val="20"/>
        </w:rPr>
        <w:t xml:space="preserve">Cascade and Voicebot Bulk show visit-to-full-lead rates of 685% and 681% respectively. This confirms that these channels re-engage users with existing session histories rather than acquiring new traffic, and their funnel metrics should be interpreted differently from acquisition channels.</w:t>
      </w:r>
    </w:p>
    <w:p>
      <w:pPr>
        <w:pStyle w:val="ListParagraph"/>
        <w:numPr>
          <w:ilvl w:val="0"/>
          <w:numId w:val="2"/>
        </w:numPr>
        <w:spacing w:after="60" w:before="60"/>
      </w:pPr>
      <w:r>
        <w:rPr>
          <w:rFonts w:ascii="Arial" w:cs="Arial" w:eastAsia="Arial" w:hAnsi="Arial"/>
          <w:color w:val="000000"/>
          <w:sz w:val="20"/>
          <w:szCs w:val="20"/>
        </w:rPr>
        <w:t xml:space="preserve">PropellerAds: 241,482 visits produced only 5 full leads and 2 conversions. The funnel collapses entirely at the first stage for this platform.</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Lead Tier Distribution and Quality</w:t>
      </w:r>
    </w:p>
    <w:p>
      <w:pPr>
        <w:spacing w:after="160" w:before="80"/>
      </w:pPr>
      <w:r>
        <w:rPr>
          <w:rFonts w:ascii="Arial" w:cs="Arial" w:eastAsia="Arial" w:hAnsi="Arial"/>
          <w:color w:val="000000"/>
          <w:sz w:val="20"/>
          <w:szCs w:val="20"/>
        </w:rPr>
        <w:t xml:space="preserve">After full lead submission, the system assigns a quality tier from 1 (highest) to 5 (lowest). The distribution of tiers varies significantly by platform and has direct revenue implications.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560"/>
        <w:gridCol w:w="1400"/>
        <w:gridCol w:w="2200"/>
      </w:tblGrid>
      <w:tr>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1 %</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5 %</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Rev/Tier1 Lead</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Rev/Tiered Lead</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Google Ads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28.83%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41.53%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$2,191.55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$902.30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Highest quality acquisition</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Organic</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26.91%</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39.16%</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$2,278.00</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$949.26</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Excellent quality, near zero cost</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Sklik Ads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23.95%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47.80%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$2,275.36</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$748.17</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Strong quality performer</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Microsoft Ads</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21.78%</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51.29%</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$2,405.85</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$863.57</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Best Tier 1 revenue per lead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Meta Ads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18.08%</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47.80%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$2,122.81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$559.08</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Solid mid-tier quality</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Cascade</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11.66%</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52.50%</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$2,123.33</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$416.98</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Volume driven, low quality</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SMS bulk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9.14%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62.15%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$1,625.92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$285.59</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High volume, poor quality</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Affiliates</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6.69%</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67.53%</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$1,770.23</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$244.08</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Expensive, poor quality leads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Email bulk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6.38%</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73.19%</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$1,811.45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$189.84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Lowest revenue per tiered lead</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PropellerAds</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60%</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$941.25</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Zero Tier 1 leads — pause immediately</w:t>
            </w:r>
          </w:p>
        </w:tc>
      </w:tr>
    </w:tbl>
    <w:p>
      <w:pPr>
        <w:spacing w:after="80" w:before="80"/>
      </w:pPr>
      <w:r>
        <w:t xml:space="preserve"/>
      </w:r>
    </w:p>
    <w:p>
      <w:pPr>
        <w:spacing w:after="160" w:before="80"/>
      </w:pPr>
      <w:r>
        <w:rPr>
          <w:rFonts w:ascii="Arial" w:cs="Arial" w:eastAsia="Arial" w:hAnsi="Arial"/>
          <w:color w:val="000000"/>
          <w:sz w:val="20"/>
          <w:szCs w:val="20"/>
        </w:rPr>
        <w:t xml:space="preserve">Note: Tier 2 was not assigned to any lead during this period across all platforms. This appears to be a system characteristic rather than a data quality issue and should be investigated with the product team.</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Revenue by Lead Tier</w:t>
      </w:r>
    </w:p>
    <w:p>
      <w:pPr>
        <w:spacing w:after="160" w:before="80"/>
      </w:pPr>
      <w:r>
        <w:rPr>
          <w:rFonts w:ascii="Arial" w:cs="Arial" w:eastAsia="Arial" w:hAnsi="Arial"/>
          <w:color w:val="000000"/>
          <w:sz w:val="20"/>
          <w:szCs w:val="20"/>
        </w:rPr>
        <w:t xml:space="preserve">The revenue generated per tier confirms that the quality scoring system is working as intended, with Tier 1 leads producing the most value.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600"/>
        <w:gridCol w:w="3260"/>
      </w:tblGrid>
      <w:tr>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Lead Tier</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Lead Count</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Revenue/Lead</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Revenue</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Insight</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Tier 1 (Highest)</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39,175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$2,029.07</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$79,488,724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Most valuable — prioritise acquisition of Tier 1 leads</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Tier 3</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24,347</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$1,371.49</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$33,391,690</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Solid mid-value segment</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Tier 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5,923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$2,087.46</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$12,364,004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Anomaly — higher avg than expected</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Tier 5 (Lowest)</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10,586</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$1,046.64</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$11,079,690</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Lowest value — reduce focus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bCs/>
                <w:color w:val="000000"/>
                <w:sz w:val="18"/>
                <w:szCs w:val="18"/>
              </w:rPr>
              <w:t xml:space="preserve">Tier 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315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$1,495.19</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$470,985</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Not qualified — minimal impact</w:t>
            </w:r>
          </w:p>
        </w:tc>
      </w:tr>
      <w:tr>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bCs/>
                <w:color w:val="000000"/>
                <w:sz w:val="18"/>
                <w:szCs w:val="18"/>
              </w:rPr>
              <w:t xml:space="preserve">Tier 2</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N/A</w:t>
            </w:r>
          </w:p>
        </w:tc>
        <w:tc>
          <w:tcPr>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Not assigned in this period — system gap</w:t>
            </w:r>
          </w:p>
        </w:tc>
      </w:tr>
    </w:tbl>
    <w:p>
      <w:pPr>
        <w:spacing w:after="80" w:before="80"/>
      </w:pPr>
      <w:r>
        <w:t xml:space="preserve"/>
      </w:r>
    </w:p>
    <w:p>
      <w:pPr>
        <w:spacing w:after="160" w:before="80"/>
      </w:pPr>
      <w:r>
        <w:rPr>
          <w:rFonts w:ascii="Arial" w:cs="Arial" w:eastAsia="Arial" w:hAnsi="Arial"/>
          <w:color w:val="000000"/>
          <w:sz w:val="20"/>
          <w:szCs w:val="20"/>
        </w:rPr>
        <w:t xml:space="preserve">Tier 1 leads account for $79.5 million in total revenue, representing 57.2% of all revenue generated from tiered leads despite being only 10.4% of the tiered lead volume. This concentration demonstrates the outsized importance of acquiring high-quality leads.</w:t>
      </w:r>
    </w:p>
    <w:p>
      <w:pPr>
        <w:spacing w:after="80" w:before="80"/>
      </w:pPr>
      <w:r>
        <w:t xml:space="preserve"/>
      </w:r>
    </w:p>
    <w:p>
      <w:pPr>
        <w:spacing w:after="160" w:before="80"/>
      </w:pPr>
      <w:r>
        <w:rPr>
          <w:rFonts w:ascii="Arial" w:cs="Arial" w:eastAsia="Arial" w:hAnsi="Arial"/>
          <w:color w:val="000000"/>
          <w:sz w:val="20"/>
          <w:szCs w:val="20"/>
        </w:rPr>
        <w:t xml:space="preserve">A notable anomaly is the Tier 4 average revenue per lead of $2,087, which marginally exceeds the Tier 1 average of $2,029. This is likely driven by a small number of high-value Tier 4 conversions rather than a genuine quality signal. The Tier 4 lead count of 5,923 is significantly smaller than Tier 1 at 39,175, making this comparison statistically less reliable.</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4. Actionable Recommendations</w:t>
      </w:r>
    </w:p>
    <w:p>
      <w:pPr>
        <w:spacing w:after="160" w:before="80"/>
      </w:pPr>
      <w:r>
        <w:rPr>
          <w:rFonts w:ascii="Arial" w:cs="Arial" w:eastAsia="Arial" w:hAnsi="Arial"/>
          <w:color w:val="000000"/>
          <w:sz w:val="20"/>
          <w:szCs w:val="20"/>
        </w:rPr>
        <w:t xml:space="preserve">Based on the findings across all three analytical directions, the following actions are recommended in order of priority.</w:t>
      </w:r>
    </w:p>
    <w:p>
      <w:pPr>
        <w:pStyle w:val="Heading2"/>
        <w:spacing w:after="120" w:before="240"/>
      </w:pPr>
      <w:r>
        <w:rPr>
          <w:rFonts w:ascii="Arial" w:cs="Arial" w:eastAsia="Arial" w:hAnsi="Arial"/>
          <w:b/>
          <w:bCs/>
          <w:color w:val="2E75B6"/>
          <w:sz w:val="26"/>
          <w:szCs w:val="26"/>
        </w:rPr>
        <w:t xml:space="preserve">4.1 Immediate Actions (This Week)</w:t>
      </w:r>
    </w:p>
    <w:p>
      <w:pPr>
        <w:pStyle w:val="ListParagraph"/>
        <w:numPr>
          <w:ilvl w:val="0"/>
          <w:numId w:val="3"/>
        </w:numPr>
        <w:spacing w:after="80" w:before="80"/>
      </w:pPr>
      <w:r>
        <w:rPr>
          <w:rFonts w:ascii="Arial" w:cs="Arial" w:eastAsia="Arial" w:hAnsi="Arial"/>
          <w:b/>
          <w:bCs/>
          <w:sz w:val="20"/>
          <w:szCs w:val="20"/>
        </w:rPr>
        <w:t xml:space="preserve">Pause PropellerAds immediately. </w:t>
      </w:r>
      <w:r>
        <w:rPr>
          <w:rFonts w:ascii="Arial" w:cs="Arial" w:eastAsia="Arial" w:hAnsi="Arial"/>
          <w:sz w:val="20"/>
          <w:szCs w:val="20"/>
        </w:rPr>
        <w:t xml:space="preserve">241,482 visits, $12 spend, and $4,706 in revenue across 2 conversions over 59 days is not a viable performance threshold. Redirect this budget to Google Ads or Microsoft Ads.</w:t>
      </w:r>
    </w:p>
    <w:p>
      <w:pPr>
        <w:pStyle w:val="ListParagraph"/>
        <w:numPr>
          <w:ilvl w:val="0"/>
          <w:numId w:val="3"/>
        </w:numPr>
        <w:spacing w:after="80" w:before="80"/>
      </w:pPr>
      <w:r>
        <w:rPr>
          <w:rFonts w:ascii="Arial" w:cs="Arial" w:eastAsia="Arial" w:hAnsi="Arial"/>
          <w:b/>
          <w:bCs/>
          <w:sz w:val="20"/>
          <w:szCs w:val="20"/>
        </w:rPr>
        <w:t xml:space="preserve">Pause the four zero-revenue campaigns. </w:t>
      </w:r>
      <w:r>
        <w:rPr>
          <w:rFonts w:ascii="Arial" w:cs="Arial" w:eastAsia="Arial" w:hAnsi="Arial"/>
          <w:sz w:val="20"/>
          <w:szCs w:val="20"/>
        </w:rPr>
        <w:t xml:space="preserve">Campaigns 2166, 1570, 670, and 877 have generated no revenue while consuming $13,016 in combined spend. These should be paused pending audit.</w:t>
      </w:r>
    </w:p>
    <w:p>
      <w:pPr>
        <w:pStyle w:val="ListParagraph"/>
        <w:numPr>
          <w:ilvl w:val="0"/>
          <w:numId w:val="3"/>
        </w:numPr>
        <w:spacing w:after="80" w:before="80"/>
      </w:pPr>
      <w:r>
        <w:rPr>
          <w:rFonts w:ascii="Arial" w:cs="Arial" w:eastAsia="Arial" w:hAnsi="Arial"/>
          <w:b/>
          <w:bCs/>
          <w:sz w:val="20"/>
          <w:szCs w:val="20"/>
        </w:rPr>
        <w:t xml:space="preserve">Investigate Campaign 23 (Meta Ads) for scaling. </w:t>
      </w:r>
      <w:r>
        <w:rPr>
          <w:rFonts w:ascii="Arial" w:cs="Arial" w:eastAsia="Arial" w:hAnsi="Arial"/>
          <w:sz w:val="20"/>
          <w:szCs w:val="20"/>
        </w:rPr>
        <w:t xml:space="preserve">A ROAS of 20,168x on $9.48 spend generating $191,192 suggests this campaign has significant untapped potential.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Budget Reallocation (Next 30 Days)</w:t>
      </w:r>
    </w:p>
    <w:p>
      <w:pPr>
        <w:pStyle w:val="ListParagraph"/>
        <w:numPr>
          <w:ilvl w:val="0"/>
          <w:numId w:val="3"/>
        </w:numPr>
        <w:spacing w:after="80" w:before="80"/>
      </w:pPr>
      <w:r>
        <w:rPr>
          <w:rFonts w:ascii="Arial" w:cs="Arial" w:eastAsia="Arial" w:hAnsi="Arial"/>
          <w:b/>
          <w:bCs/>
          <w:sz w:val="20"/>
          <w:szCs w:val="20"/>
        </w:rPr>
        <w:t xml:space="preserve">Scale Google Ads budget. </w:t>
      </w:r>
      <w:r>
        <w:rPr>
          <w:rFonts w:ascii="Arial" w:cs="Arial" w:eastAsia="Arial" w:hAnsi="Arial"/>
          <w:sz w:val="20"/>
          <w:szCs w:val="20"/>
        </w:rPr>
        <w:t xml:space="preserve">With a 508x ROAS, 28.83% Tier 1 lead rate (the highest of any platform), a CAC of $4.19, and 45.2% full lead conversion rate, Google Ads is the single most efficient acquisition channel in the portfolio. Increasing budget here is strongly justified.</w:t>
      </w:r>
    </w:p>
    <w:p>
      <w:pPr>
        <w:pStyle w:val="ListParagraph"/>
        <w:numPr>
          <w:ilvl w:val="0"/>
          <w:numId w:val="3"/>
        </w:numPr>
        <w:spacing w:after="80" w:before="80"/>
      </w:pPr>
      <w:r>
        <w:rPr>
          <w:rFonts w:ascii="Arial" w:cs="Arial" w:eastAsia="Arial" w:hAnsi="Arial"/>
          <w:b/>
          <w:bCs/>
          <w:sz w:val="20"/>
          <w:szCs w:val="20"/>
        </w:rPr>
        <w:t xml:space="preserve">Test Microsoft Ads at scale. </w:t>
      </w:r>
      <w:r>
        <w:rPr>
          <w:rFonts w:ascii="Arial" w:cs="Arial" w:eastAsia="Arial" w:hAnsi="Arial"/>
          <w:sz w:val="20"/>
          <w:szCs w:val="20"/>
        </w:rPr>
        <w:t xml:space="preserve">With the highest LTV per customer at $3,072, a 387x ROAS, and strong Tier 1 lead quality at 21.78%, Microsoft Ads is significantly underinvested. A controlled budget increase of 5-10x is recommended to validate scalability.</w:t>
      </w:r>
    </w:p>
    <w:p>
      <w:pPr>
        <w:pStyle w:val="ListParagraph"/>
        <w:numPr>
          <w:ilvl w:val="0"/>
          <w:numId w:val="3"/>
        </w:numPr>
        <w:spacing w:after="80" w:before="80"/>
      </w:pPr>
      <w:r>
        <w:rPr>
          <w:rFonts w:ascii="Arial" w:cs="Arial" w:eastAsia="Arial" w:hAnsi="Arial"/>
          <w:b/>
          <w:bCs/>
          <w:sz w:val="20"/>
          <w:szCs w:val="20"/>
        </w:rPr>
        <w:t xml:space="preserve">Review Affiliates spend. </w:t>
      </w:r>
      <w:r>
        <w:rPr>
          <w:rFonts w:ascii="Arial" w:cs="Arial" w:eastAsia="Arial" w:hAnsi="Arial"/>
          <w:sz w:val="20"/>
          <w:szCs w:val="20"/>
        </w:rPr>
        <w:t xml:space="preserve">At a CAC of $542.34 against an LTV of $1,409.98, the net value per customer is only $867.64. With 67.53% Tier 5 leads and 6.69% Tier 1, this channel consistently delivers the lowest quality leads at the highest acquisition cost. A 50% budget reduction should be tested.</w:t>
      </w:r>
    </w:p>
    <w:p>
      <w:pPr>
        <w:pStyle w:val="ListParagraph"/>
        <w:numPr>
          <w:ilvl w:val="0"/>
          <w:numId w:val="3"/>
        </w:numPr>
        <w:spacing w:after="80" w:before="80"/>
      </w:pPr>
      <w:r>
        <w:rPr>
          <w:rFonts w:ascii="Arial" w:cs="Arial" w:eastAsia="Arial" w:hAnsi="Arial"/>
          <w:b/>
          <w:bCs/>
          <w:sz w:val="20"/>
          <w:szCs w:val="20"/>
        </w:rPr>
        <w:t xml:space="preserve">Optimise SMS Bulk targeting. </w:t>
      </w:r>
      <w:r>
        <w:rPr>
          <w:rFonts w:ascii="Arial" w:cs="Arial" w:eastAsia="Arial" w:hAnsi="Arial"/>
          <w:sz w:val="20"/>
          <w:szCs w:val="20"/>
        </w:rPr>
        <w:t xml:space="preserve">SMS Bulk generates the highest absolute revenue but at the worst lead quality (9.14% Tier 1, 62.15% Tier 5) and a CAC of $479.89. Budget should be maintained but audience targeting should be refined to shift the tier distribution toward higher quality segments.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Strategic Recommendations (Next Quarter)</w:t>
      </w:r>
    </w:p>
    <w:p>
      <w:pPr>
        <w:pStyle w:val="ListParagraph"/>
        <w:numPr>
          <w:ilvl w:val="0"/>
          <w:numId w:val="3"/>
        </w:numPr>
        <w:spacing w:after="80" w:before="80"/>
      </w:pPr>
      <w:r>
        <w:rPr>
          <w:rFonts w:ascii="Arial" w:cs="Arial" w:eastAsia="Arial" w:hAnsi="Arial"/>
          <w:b/>
          <w:bCs/>
          <w:sz w:val="20"/>
          <w:szCs w:val="20"/>
        </w:rPr>
        <w:t xml:space="preserve">Invest in organic channel development. </w:t>
      </w:r>
      <w:r>
        <w:rPr>
          <w:rFonts w:ascii="Arial" w:cs="Arial" w:eastAsia="Arial" w:hAnsi="Arial"/>
          <w:sz w:val="20"/>
          <w:szCs w:val="20"/>
        </w:rPr>
        <w:t xml:space="preserve">Organic traffic delivers 452x ROAS, 26.91% Tier 1 leads, a CPL of $2.31, and 43.98% lead-to-revenue conversion at near-zero cost. Investment in SEO, content marketing, and organic optimisation would yield exceptional long-term returns.</w:t>
      </w:r>
    </w:p>
    <w:p>
      <w:pPr>
        <w:pStyle w:val="ListParagraph"/>
        <w:numPr>
          <w:ilvl w:val="0"/>
          <w:numId w:val="3"/>
        </w:numPr>
        <w:spacing w:after="80" w:before="80"/>
      </w:pPr>
      <w:r>
        <w:rPr>
          <w:rFonts w:ascii="Arial" w:cs="Arial" w:eastAsia="Arial" w:hAnsi="Arial"/>
          <w:b/>
          <w:bCs/>
          <w:sz w:val="20"/>
          <w:szCs w:val="20"/>
        </w:rPr>
        <w:t xml:space="preserve">Investigate and address the February revenue decline. </w:t>
      </w:r>
      <w:r>
        <w:rPr>
          <w:rFonts w:ascii="Arial" w:cs="Arial" w:eastAsia="Arial" w:hAnsi="Arial"/>
          <w:sz w:val="20"/>
          <w:szCs w:val="20"/>
        </w:rPr>
        <w:t xml:space="preserve">Revenue dropped from $20.2 million in the week of January 19 to $13.9 million in the week of February 9 while costs remained stable. Understanding the root cause of this decline is critical for sustaining January performance levels.</w:t>
      </w:r>
    </w:p>
    <w:p>
      <w:pPr>
        <w:pStyle w:val="ListParagraph"/>
        <w:numPr>
          <w:ilvl w:val="0"/>
          <w:numId w:val="3"/>
        </w:numPr>
        <w:spacing w:after="80" w:before="80"/>
      </w:pPr>
      <w:r>
        <w:rPr>
          <w:rFonts w:ascii="Arial" w:cs="Arial" w:eastAsia="Arial" w:hAnsi="Arial"/>
          <w:b/>
          <w:bCs/>
          <w:sz w:val="20"/>
          <w:szCs w:val="20"/>
        </w:rPr>
        <w:t xml:space="preserve">Prioritise Tier 1 lead acquisition across all channels. </w:t>
      </w:r>
      <w:r>
        <w:rPr>
          <w:rFonts w:ascii="Arial" w:cs="Arial" w:eastAsia="Arial" w:hAnsi="Arial"/>
          <w:sz w:val="20"/>
          <w:szCs w:val="20"/>
        </w:rPr>
        <w:t xml:space="preserve">Tier 1 leads represent only 10.4% of tiered lead volume but generate 57.2% of all tiered lead revenue. Campaign targeting, creative, and bidding strategies should be optimised specifically toward Tier 1 lead generation, particularly on Google Ads, Organic, and Microsoft Ads where Tier 1 rates are already highest.</w:t>
      </w:r>
    </w:p>
    <w:p>
      <w:pPr>
        <w:pStyle w:val="ListParagraph"/>
        <w:numPr>
          <w:ilvl w:val="0"/>
          <w:numId w:val="3"/>
        </w:numPr>
        <w:spacing w:after="80" w:before="80"/>
      </w:pPr>
      <w:r>
        <w:rPr>
          <w:rFonts w:ascii="Arial" w:cs="Arial" w:eastAsia="Arial" w:hAnsi="Arial"/>
          <w:b/>
          <w:bCs/>
          <w:sz w:val="20"/>
          <w:szCs w:val="20"/>
        </w:rPr>
        <w:t xml:space="preserve">Investigate the February 16 visit spike. </w:t>
      </w:r>
      <w:r>
        <w:rPr>
          <w:rFonts w:ascii="Arial" w:cs="Arial" w:eastAsia="Arial" w:hAnsi="Arial"/>
          <w:sz w:val="20"/>
          <w:szCs w:val="20"/>
        </w:rPr>
        <w:t xml:space="preserve">The week of February 16 recorded 565,563 visits, more than double the typical weekly range of 170,000 to 250,000. Despite this traffic surge, revenue did not increase proportionally, suggesting either a low-quality traffic source was activated or a tracking anomaly occurred.</w:t>
      </w:r>
    </w:p>
    <w:p>
      <w:pPr>
        <w:spacing w:after="80" w:before="80"/>
      </w:pPr>
      <w:r>
        <w:t xml:space="preserve"/>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5. Data Quality Observations</w:t>
      </w:r>
    </w:p>
    <w:p>
      <w:pPr>
        <w:spacing w:after="160" w:before="80"/>
      </w:pPr>
      <w:r>
        <w:rPr>
          <w:rFonts w:ascii="Arial" w:cs="Arial" w:eastAsia="Arial" w:hAnsi="Arial"/>
          <w:color w:val="000000"/>
          <w:sz w:val="20"/>
          <w:szCs w:val="20"/>
        </w:rPr>
        <w:t xml:space="preserve">The following data characteristics were identified during analysis. These are not errors in the analysis but genuine features of the dataset that should be noted for context.</w:t>
      </w:r>
    </w:p>
    <w:p>
      <w:pPr>
        <w:spacing w:after="80" w:before="80"/>
      </w:pPr>
      <w:r>
        <w:t xml:space="preserve"/>
      </w:r>
    </w:p>
    <w:p>
      <w:pPr>
        <w:spacing w:after="100" w:before="80"/>
      </w:pPr>
      <w:r>
        <w:rPr>
          <w:rFonts w:ascii="Arial" w:cs="Arial" w:eastAsia="Arial" w:hAnsi="Arial"/>
          <w:b/>
          <w:bCs/>
          <w:color w:val="000000"/>
          <w:sz w:val="20"/>
          <w:szCs w:val="20"/>
        </w:rPr>
        <w:t xml:space="preserve">Preliminary lead undercounting: </w:t>
      </w:r>
      <w:r>
        <w:rPr>
          <w:rFonts w:ascii="Arial" w:cs="Arial" w:eastAsia="Arial" w:hAnsi="Arial"/>
          <w:color w:val="000000"/>
          <w:sz w:val="20"/>
          <w:szCs w:val="20"/>
        </w:rPr>
        <w:t xml:space="preserve">Full leads (347,069) significantly outnumber preliminary leads (107,867), producing an impossible conversion rate of 361.67%. This indicates the preliminary lead step is optional or inconsistently captured. The preliminary lead stage should not be used as a funnel entry point in future analysis.</w:t>
      </w:r>
    </w:p>
    <w:p>
      <w:pPr>
        <w:spacing w:after="100" w:before="80"/>
      </w:pPr>
      <w:r>
        <w:rPr>
          <w:rFonts w:ascii="Arial" w:cs="Arial" w:eastAsia="Arial" w:hAnsi="Arial"/>
          <w:b/>
          <w:bCs/>
          <w:color w:val="000000"/>
          <w:sz w:val="20"/>
          <w:szCs w:val="20"/>
        </w:rPr>
        <w:t xml:space="preserve">Tier 2 leads absent: </w:t>
      </w:r>
      <w:r>
        <w:rPr>
          <w:rFonts w:ascii="Arial" w:cs="Arial" w:eastAsia="Arial" w:hAnsi="Arial"/>
          <w:color w:val="000000"/>
          <w:sz w:val="20"/>
          <w:szCs w:val="20"/>
        </w:rPr>
        <w:t xml:space="preserve">No Tier 2 lead classification was assigned during the entire January to February period across any platform or campaign. This appears to be a system-level gap rather than a data quality issue. The product or data engineering team should confirm whether Tier 2 is intentionally unused.</w:t>
      </w:r>
    </w:p>
    <w:p>
      <w:pPr>
        <w:spacing w:after="100" w:before="80"/>
      </w:pPr>
      <w:r>
        <w:rPr>
          <w:rFonts w:ascii="Arial" w:cs="Arial" w:eastAsia="Arial" w:hAnsi="Arial"/>
          <w:b/>
          <w:bCs/>
          <w:color w:val="000000"/>
          <w:sz w:val="20"/>
          <w:szCs w:val="20"/>
        </w:rPr>
        <w:t xml:space="preserve">Remarketing funnel anomalies: </w:t>
      </w:r>
      <w:r>
        <w:rPr>
          <w:rFonts w:ascii="Arial" w:cs="Arial" w:eastAsia="Arial" w:hAnsi="Arial"/>
          <w:color w:val="000000"/>
          <w:sz w:val="20"/>
          <w:szCs w:val="20"/>
        </w:rPr>
        <w:t xml:space="preserve">Cascade (685% visit-to-lead) and Voicebot Bulk (681% visit-to-lead) show impossible acquisition funnel metrics. This is explained by the dataset note that remarketing activities are linked to different click_ids from the original acquisition session. These platforms should be interpreted as remarketing channels with separate performance benchmarks from acquisition channels.</w:t>
      </w:r>
    </w:p>
    <w:p>
      <w:pPr>
        <w:spacing w:after="100" w:before="80"/>
      </w:pPr>
      <w:r>
        <w:rPr>
          <w:rFonts w:ascii="Arial" w:cs="Arial" w:eastAsia="Arial" w:hAnsi="Arial"/>
          <w:b/>
          <w:bCs/>
          <w:color w:val="000000"/>
          <w:sz w:val="20"/>
          <w:szCs w:val="20"/>
        </w:rPr>
        <w:t xml:space="preserve">Zero null values: </w:t>
      </w:r>
      <w:r>
        <w:rPr>
          <w:rFonts w:ascii="Arial" w:cs="Arial" w:eastAsia="Arial" w:hAnsi="Arial"/>
          <w:color w:val="000000"/>
          <w:sz w:val="20"/>
          <w:szCs w:val="20"/>
        </w:rPr>
        <w:t xml:space="preserve">The dataset contained zero null values across all 10 columns and 11.5 million rows. This indicates a high-quality data pipeline with no missing data issues.</w:t>
      </w:r>
    </w:p>
    <w:p>
      <w:pPr>
        <w:spacing w:after="100" w:before="80"/>
      </w:pPr>
      <w:r>
        <w:rPr>
          <w:rFonts w:ascii="Arial" w:cs="Arial" w:eastAsia="Arial" w:hAnsi="Arial"/>
          <w:b/>
          <w:bCs/>
          <w:color w:val="000000"/>
          <w:sz w:val="20"/>
          <w:szCs w:val="20"/>
        </w:rPr>
        <w:t xml:space="preserve">Tier 4 revenue anomaly: </w:t>
      </w:r>
      <w:r>
        <w:rPr>
          <w:rFonts w:ascii="Arial" w:cs="Arial" w:eastAsia="Arial" w:hAnsi="Arial"/>
          <w:color w:val="000000"/>
          <w:sz w:val="20"/>
          <w:szCs w:val="20"/>
        </w:rPr>
        <w:t xml:space="preserve">Tier 4 leads show an average revenue of $2,087, marginally exceeding the Tier 1 average of $2,029. Given the much smaller Tier 4 sample size (5,923 vs 39,175), this is likely driven by outlier high-value conversions rather than a genuine quality signal. The tier classification model may benefit from review.</w:t>
      </w:r>
    </w:p>
    <w:p>
      <w:pPr>
        <w:spacing w:after="80" w:before="80"/>
      </w:pPr>
      <w:r>
        <w:t xml:space="preserve"/>
      </w:r>
    </w:p>
    <w:p>
      <w:pPr>
        <w:pBdr>
          <w:top w:val="single" w:color="2E75B6" w:sz="4" w:space="1"/>
        </w:pBdr>
        <w:spacing w:after="80" w:before="240"/>
      </w:pPr>
      <w:r>
        <w:rPr>
          <w:rFonts w:ascii="Arial" w:cs="Arial" w:eastAsia="Arial" w:hAnsi="Arial"/>
          <w:i/>
          <w:iCs/>
          <w:color w:val="595959"/>
          <w:sz w:val="16"/>
          <w:szCs w:val="16"/>
        </w:rPr>
        <w:t xml:space="preserve">Analysis conducted using DuckDB SQL on events.parquet dataset | January 1 – February 28, 2026 | 11,511,362 total events | 9,020,713 unique sessions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2026-04-18T05:26:39.714Z</dcterms:created>
  <dcterms:modified xsi:type="dcterms:W3CDTF">2026-04-18T05:26:39.716Z</dcterms:modified>
</cp:coreProperties>
</file>

<file path=docProps/custom.xml><?xml version="1.0" encoding="utf-8"?>
<Properties xmlns="http://schemas.openxmlformats.org/officeDocument/2006/custom-properties" xmlns:vt="http://schemas.openxmlformats.org/officeDocument/2006/docPropsVTypes"/>
</file>