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FE9B" w14:textId="77777777" w:rsidR="00DF49BA" w:rsidRPr="009F7404" w:rsidRDefault="00000000">
      <w:pPr>
        <w:pStyle w:val="Title"/>
        <w:rPr>
          <w:color w:val="000000" w:themeColor="text1"/>
        </w:rPr>
      </w:pPr>
      <w:r w:rsidRPr="009F7404">
        <w:rPr>
          <w:color w:val="000000" w:themeColor="text1"/>
        </w:rPr>
        <w:t>M2 – Context and Tradeoff Notebook</w:t>
      </w:r>
    </w:p>
    <w:p w14:paraId="1D697234" w14:textId="77777777" w:rsidR="00DF49BA" w:rsidRPr="009F7404" w:rsidRDefault="00000000">
      <w:pPr>
        <w:pStyle w:val="Heading1"/>
        <w:rPr>
          <w:color w:val="000000" w:themeColor="text1"/>
        </w:rPr>
      </w:pPr>
      <w:r w:rsidRPr="009F7404">
        <w:rPr>
          <w:color w:val="000000" w:themeColor="text1"/>
        </w:rPr>
        <w:t>Scientific Context</w:t>
      </w:r>
    </w:p>
    <w:p w14:paraId="714EEBF6" w14:textId="77777777" w:rsidR="00DF49BA" w:rsidRDefault="00000000">
      <w:r>
        <w:t>Scheduling ↔ Allocation ↔ Binding</w:t>
      </w:r>
    </w:p>
    <w:p w14:paraId="7BBF299C" w14:textId="77777777" w:rsidR="00DF49BA" w:rsidRPr="009F7404" w:rsidRDefault="00000000">
      <w:pPr>
        <w:pStyle w:val="Heading1"/>
        <w:rPr>
          <w:color w:val="000000" w:themeColor="text1"/>
        </w:rPr>
      </w:pPr>
      <w:r w:rsidRPr="009F7404">
        <w:rPr>
          <w:color w:val="000000" w:themeColor="text1"/>
        </w:rPr>
        <w:t>Alternative Approaches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49BA" w14:paraId="0C0091B5" w14:textId="77777777">
        <w:tc>
          <w:tcPr>
            <w:tcW w:w="2880" w:type="dxa"/>
          </w:tcPr>
          <w:p w14:paraId="6FAC3F94" w14:textId="77777777" w:rsidR="00DF49BA" w:rsidRDefault="00000000">
            <w:r>
              <w:t>Method</w:t>
            </w:r>
          </w:p>
        </w:tc>
        <w:tc>
          <w:tcPr>
            <w:tcW w:w="2880" w:type="dxa"/>
          </w:tcPr>
          <w:p w14:paraId="3E0FFEFC" w14:textId="77777777" w:rsidR="00DF49BA" w:rsidRDefault="00000000">
            <w:r>
              <w:t>Pros</w:t>
            </w:r>
          </w:p>
        </w:tc>
        <w:tc>
          <w:tcPr>
            <w:tcW w:w="2880" w:type="dxa"/>
          </w:tcPr>
          <w:p w14:paraId="06B5EAE2" w14:textId="77777777" w:rsidR="00DF49BA" w:rsidRDefault="00000000">
            <w:r>
              <w:t>Cons</w:t>
            </w:r>
          </w:p>
        </w:tc>
      </w:tr>
      <w:tr w:rsidR="00DF49BA" w14:paraId="1EF84E4E" w14:textId="77777777">
        <w:tc>
          <w:tcPr>
            <w:tcW w:w="2880" w:type="dxa"/>
          </w:tcPr>
          <w:p w14:paraId="0CE289AD" w14:textId="77777777" w:rsidR="00DF49BA" w:rsidRDefault="00000000">
            <w:r>
              <w:t>Before Scheduling</w:t>
            </w:r>
          </w:p>
        </w:tc>
        <w:tc>
          <w:tcPr>
            <w:tcW w:w="2880" w:type="dxa"/>
          </w:tcPr>
          <w:p w14:paraId="69C858CF" w14:textId="77777777" w:rsidR="00DF49BA" w:rsidRDefault="00000000">
            <w:r>
              <w:t>Resource aware</w:t>
            </w:r>
          </w:p>
        </w:tc>
        <w:tc>
          <w:tcPr>
            <w:tcW w:w="2880" w:type="dxa"/>
          </w:tcPr>
          <w:p w14:paraId="4603E86C" w14:textId="77777777" w:rsidR="00DF49BA" w:rsidRDefault="00000000">
            <w:r>
              <w:t>Complex</w:t>
            </w:r>
          </w:p>
        </w:tc>
      </w:tr>
      <w:tr w:rsidR="00DF49BA" w14:paraId="504E038E" w14:textId="77777777">
        <w:tc>
          <w:tcPr>
            <w:tcW w:w="2880" w:type="dxa"/>
          </w:tcPr>
          <w:p w14:paraId="36E0BC5C" w14:textId="77777777" w:rsidR="00DF49BA" w:rsidRDefault="00000000">
            <w:r>
              <w:t>After Scheduling</w:t>
            </w:r>
          </w:p>
        </w:tc>
        <w:tc>
          <w:tcPr>
            <w:tcW w:w="2880" w:type="dxa"/>
          </w:tcPr>
          <w:p w14:paraId="66A6EDD6" w14:textId="77777777" w:rsidR="00DF49BA" w:rsidRDefault="00000000">
            <w:r>
              <w:t>Efficient</w:t>
            </w:r>
          </w:p>
        </w:tc>
        <w:tc>
          <w:tcPr>
            <w:tcW w:w="2880" w:type="dxa"/>
          </w:tcPr>
          <w:p w14:paraId="2CFF1178" w14:textId="77777777" w:rsidR="00DF49BA" w:rsidRDefault="00000000">
            <w:r>
              <w:t>Fixed schedule</w:t>
            </w:r>
          </w:p>
        </w:tc>
      </w:tr>
      <w:tr w:rsidR="00DF49BA" w14:paraId="63CB92ED" w14:textId="77777777">
        <w:tc>
          <w:tcPr>
            <w:tcW w:w="2880" w:type="dxa"/>
          </w:tcPr>
          <w:p w14:paraId="5BEB4C0E" w14:textId="77777777" w:rsidR="00DF49BA" w:rsidRDefault="00000000">
            <w:r>
              <w:t>Joint</w:t>
            </w:r>
          </w:p>
        </w:tc>
        <w:tc>
          <w:tcPr>
            <w:tcW w:w="2880" w:type="dxa"/>
          </w:tcPr>
          <w:p w14:paraId="6CD19D62" w14:textId="77777777" w:rsidR="00DF49BA" w:rsidRDefault="00000000">
            <w:r>
              <w:t>Better optimization</w:t>
            </w:r>
          </w:p>
        </w:tc>
        <w:tc>
          <w:tcPr>
            <w:tcW w:w="2880" w:type="dxa"/>
          </w:tcPr>
          <w:p w14:paraId="408FB2CF" w14:textId="77777777" w:rsidR="00DF49BA" w:rsidRDefault="00000000">
            <w:r>
              <w:t>Very complex</w:t>
            </w:r>
          </w:p>
        </w:tc>
      </w:tr>
    </w:tbl>
    <w:p w14:paraId="13D0853D" w14:textId="77777777" w:rsidR="00DF49BA" w:rsidRPr="009F7404" w:rsidRDefault="00000000">
      <w:pPr>
        <w:pStyle w:val="Heading1"/>
        <w:rPr>
          <w:color w:val="000000" w:themeColor="text1"/>
        </w:rPr>
      </w:pPr>
      <w:r w:rsidRPr="009F7404">
        <w:rPr>
          <w:color w:val="000000" w:themeColor="text1"/>
        </w:rPr>
        <w:t>Tradeoff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49BA" w14:paraId="3CF3AAFD" w14:textId="77777777">
        <w:tc>
          <w:tcPr>
            <w:tcW w:w="2880" w:type="dxa"/>
          </w:tcPr>
          <w:p w14:paraId="4194214B" w14:textId="77777777" w:rsidR="00DF49BA" w:rsidRDefault="00000000">
            <w:r>
              <w:t>Objective</w:t>
            </w:r>
          </w:p>
        </w:tc>
        <w:tc>
          <w:tcPr>
            <w:tcW w:w="2880" w:type="dxa"/>
          </w:tcPr>
          <w:p w14:paraId="6ACE138F" w14:textId="77777777" w:rsidR="00DF49BA" w:rsidRDefault="00000000">
            <w:r>
              <w:t>More Sharing</w:t>
            </w:r>
          </w:p>
        </w:tc>
        <w:tc>
          <w:tcPr>
            <w:tcW w:w="2880" w:type="dxa"/>
          </w:tcPr>
          <w:p w14:paraId="7ED14291" w14:textId="77777777" w:rsidR="00DF49BA" w:rsidRDefault="00000000">
            <w:r>
              <w:t>Less Sharing</w:t>
            </w:r>
          </w:p>
        </w:tc>
      </w:tr>
      <w:tr w:rsidR="00DF49BA" w14:paraId="2E1484A1" w14:textId="77777777">
        <w:tc>
          <w:tcPr>
            <w:tcW w:w="2880" w:type="dxa"/>
          </w:tcPr>
          <w:p w14:paraId="6AF37E8E" w14:textId="77777777" w:rsidR="00DF49BA" w:rsidRDefault="00000000">
            <w:r>
              <w:t>Area</w:t>
            </w:r>
          </w:p>
        </w:tc>
        <w:tc>
          <w:tcPr>
            <w:tcW w:w="2880" w:type="dxa"/>
          </w:tcPr>
          <w:p w14:paraId="1A4AF4D7" w14:textId="77777777" w:rsidR="00DF49BA" w:rsidRDefault="00000000">
            <w:r>
              <w:t>Better</w:t>
            </w:r>
          </w:p>
        </w:tc>
        <w:tc>
          <w:tcPr>
            <w:tcW w:w="2880" w:type="dxa"/>
          </w:tcPr>
          <w:p w14:paraId="489F9B45" w14:textId="77777777" w:rsidR="00DF49BA" w:rsidRDefault="00000000">
            <w:r>
              <w:t>Worse</w:t>
            </w:r>
          </w:p>
        </w:tc>
      </w:tr>
      <w:tr w:rsidR="00DF49BA" w14:paraId="511C135A" w14:textId="77777777">
        <w:tc>
          <w:tcPr>
            <w:tcW w:w="2880" w:type="dxa"/>
          </w:tcPr>
          <w:p w14:paraId="6430D0CE" w14:textId="77777777" w:rsidR="00DF49BA" w:rsidRDefault="00000000">
            <w:r>
              <w:t>Cost</w:t>
            </w:r>
          </w:p>
        </w:tc>
        <w:tc>
          <w:tcPr>
            <w:tcW w:w="2880" w:type="dxa"/>
          </w:tcPr>
          <w:p w14:paraId="3FC75124" w14:textId="77777777" w:rsidR="00DF49BA" w:rsidRDefault="00000000">
            <w:r>
              <w:t>Better</w:t>
            </w:r>
          </w:p>
        </w:tc>
        <w:tc>
          <w:tcPr>
            <w:tcW w:w="2880" w:type="dxa"/>
          </w:tcPr>
          <w:p w14:paraId="5C80B7E7" w14:textId="77777777" w:rsidR="00DF49BA" w:rsidRDefault="00000000">
            <w:r>
              <w:t>Worse</w:t>
            </w:r>
          </w:p>
        </w:tc>
      </w:tr>
      <w:tr w:rsidR="00DF49BA" w14:paraId="435F82AB" w14:textId="77777777">
        <w:tc>
          <w:tcPr>
            <w:tcW w:w="2880" w:type="dxa"/>
          </w:tcPr>
          <w:p w14:paraId="3D1F35E4" w14:textId="77777777" w:rsidR="00DF49BA" w:rsidRDefault="00000000">
            <w:r>
              <w:t>Throughput</w:t>
            </w:r>
          </w:p>
        </w:tc>
        <w:tc>
          <w:tcPr>
            <w:tcW w:w="2880" w:type="dxa"/>
          </w:tcPr>
          <w:p w14:paraId="71634FA1" w14:textId="77777777" w:rsidR="00DF49BA" w:rsidRDefault="00000000">
            <w:r>
              <w:t>Worse</w:t>
            </w:r>
          </w:p>
        </w:tc>
        <w:tc>
          <w:tcPr>
            <w:tcW w:w="2880" w:type="dxa"/>
          </w:tcPr>
          <w:p w14:paraId="09F2D199" w14:textId="77777777" w:rsidR="00DF49BA" w:rsidRDefault="00000000">
            <w:r>
              <w:t>Better</w:t>
            </w:r>
          </w:p>
        </w:tc>
      </w:tr>
      <w:tr w:rsidR="00DF49BA" w14:paraId="555F71DB" w14:textId="77777777">
        <w:tc>
          <w:tcPr>
            <w:tcW w:w="2880" w:type="dxa"/>
          </w:tcPr>
          <w:p w14:paraId="4224BAC7" w14:textId="77777777" w:rsidR="00DF49BA" w:rsidRDefault="00000000">
            <w:r>
              <w:t>Latency</w:t>
            </w:r>
          </w:p>
        </w:tc>
        <w:tc>
          <w:tcPr>
            <w:tcW w:w="2880" w:type="dxa"/>
          </w:tcPr>
          <w:p w14:paraId="161E4A46" w14:textId="77777777" w:rsidR="00DF49BA" w:rsidRDefault="00000000">
            <w:r>
              <w:t>Worse</w:t>
            </w:r>
          </w:p>
        </w:tc>
        <w:tc>
          <w:tcPr>
            <w:tcW w:w="2880" w:type="dxa"/>
          </w:tcPr>
          <w:p w14:paraId="23141B13" w14:textId="77777777" w:rsidR="00DF49BA" w:rsidRDefault="00000000">
            <w:r>
              <w:t>Better</w:t>
            </w:r>
          </w:p>
        </w:tc>
      </w:tr>
    </w:tbl>
    <w:p w14:paraId="499FC31D" w14:textId="77777777" w:rsidR="00DF49BA" w:rsidRPr="009F7404" w:rsidRDefault="00000000">
      <w:pPr>
        <w:pStyle w:val="Heading1"/>
        <w:rPr>
          <w:color w:val="000000" w:themeColor="text1"/>
        </w:rPr>
      </w:pPr>
      <w:r w:rsidRPr="009F7404">
        <w:rPr>
          <w:color w:val="000000" w:themeColor="text1"/>
        </w:rPr>
        <w:t>Embedded Systems Analysis</w:t>
      </w:r>
    </w:p>
    <w:p w14:paraId="110D003C" w14:textId="77777777" w:rsidR="00DF49BA" w:rsidRDefault="00000000">
      <w:pPr>
        <w:pStyle w:val="ListBullet"/>
      </w:pPr>
      <w:r>
        <w:t>FPGA</w:t>
      </w:r>
    </w:p>
    <w:p w14:paraId="3ACEC953" w14:textId="77777777" w:rsidR="00DF49BA" w:rsidRDefault="00000000">
      <w:pPr>
        <w:pStyle w:val="ListBullet"/>
      </w:pPr>
      <w:r>
        <w:t>IoT</w:t>
      </w:r>
    </w:p>
    <w:p w14:paraId="2A0E5297" w14:textId="77777777" w:rsidR="00DF49BA" w:rsidRDefault="00000000">
      <w:pPr>
        <w:pStyle w:val="ListBullet"/>
      </w:pPr>
      <w:r>
        <w:t>Embedded Controllers</w:t>
      </w:r>
    </w:p>
    <w:p w14:paraId="028331BE" w14:textId="77777777" w:rsidR="00DF49BA" w:rsidRDefault="00000000">
      <w:pPr>
        <w:pStyle w:val="ListBullet"/>
      </w:pPr>
      <w:r>
        <w:t>DSP Systems</w:t>
      </w:r>
    </w:p>
    <w:p w14:paraId="7E17F30D" w14:textId="77777777" w:rsidR="00DF49BA" w:rsidRPr="009F7404" w:rsidRDefault="00000000">
      <w:pPr>
        <w:pStyle w:val="Heading1"/>
        <w:rPr>
          <w:color w:val="000000" w:themeColor="text1"/>
        </w:rPr>
      </w:pPr>
      <w:r w:rsidRPr="009F7404">
        <w:rPr>
          <w:color w:val="000000" w:themeColor="text1"/>
        </w:rPr>
        <w:t>Reference Justification</w:t>
      </w:r>
    </w:p>
    <w:p w14:paraId="5FCEA469" w14:textId="77777777" w:rsidR="009F7404" w:rsidRDefault="00000000">
      <w:r>
        <w:t xml:space="preserve">Teich: primary source. </w:t>
      </w:r>
    </w:p>
    <w:p w14:paraId="5A979117" w14:textId="77777777" w:rsidR="009F7404" w:rsidRDefault="00000000">
      <w:r>
        <w:t xml:space="preserve">De Micheli: synthesis foundations. </w:t>
      </w:r>
    </w:p>
    <w:p w14:paraId="16188E01" w14:textId="77777777" w:rsidR="009F7404" w:rsidRDefault="00000000">
      <w:r>
        <w:t xml:space="preserve">Coussy: modern HLS context. </w:t>
      </w:r>
    </w:p>
    <w:p w14:paraId="77D4404B" w14:textId="03A618F8" w:rsidR="00DF49BA" w:rsidRDefault="00000000">
      <w:r>
        <w:t>Vitis: industrial relevance.</w:t>
      </w:r>
    </w:p>
    <w:p w14:paraId="24B376DB" w14:textId="77777777" w:rsidR="00DF49BA" w:rsidRPr="009F7404" w:rsidRDefault="00000000">
      <w:pPr>
        <w:pStyle w:val="Heading1"/>
        <w:rPr>
          <w:color w:val="000000" w:themeColor="text1"/>
        </w:rPr>
      </w:pPr>
      <w:r w:rsidRPr="009F7404">
        <w:rPr>
          <w:color w:val="000000" w:themeColor="text1"/>
        </w:rPr>
        <w:lastRenderedPageBreak/>
        <w:t>References</w:t>
      </w:r>
    </w:p>
    <w:p w14:paraId="13E381E8" w14:textId="77777777" w:rsidR="00DF49BA" w:rsidRDefault="00000000">
      <w:r>
        <w:t>[1] Teich &amp; Haubelt (2007)</w:t>
      </w:r>
      <w:r>
        <w:br/>
        <w:t>[2] De Micheli (1994)</w:t>
      </w:r>
      <w:r>
        <w:br/>
        <w:t>[3] Coussy &amp; Morawiec (2008)</w:t>
      </w:r>
      <w:r>
        <w:br/>
        <w:t>[4] AMD Vitis HLS Guide</w:t>
      </w:r>
    </w:p>
    <w:sectPr w:rsidR="00DF49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184861">
    <w:abstractNumId w:val="8"/>
  </w:num>
  <w:num w:numId="2" w16cid:durableId="1731994350">
    <w:abstractNumId w:val="6"/>
  </w:num>
  <w:num w:numId="3" w16cid:durableId="1130592167">
    <w:abstractNumId w:val="5"/>
  </w:num>
  <w:num w:numId="4" w16cid:durableId="979387417">
    <w:abstractNumId w:val="4"/>
  </w:num>
  <w:num w:numId="5" w16cid:durableId="1806921669">
    <w:abstractNumId w:val="7"/>
  </w:num>
  <w:num w:numId="6" w16cid:durableId="568811397">
    <w:abstractNumId w:val="3"/>
  </w:num>
  <w:num w:numId="7" w16cid:durableId="531264288">
    <w:abstractNumId w:val="2"/>
  </w:num>
  <w:num w:numId="8" w16cid:durableId="1005286566">
    <w:abstractNumId w:val="1"/>
  </w:num>
  <w:num w:numId="9" w16cid:durableId="69962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05B"/>
    <w:rsid w:val="009F7404"/>
    <w:rsid w:val="00AA1D8D"/>
    <w:rsid w:val="00B47730"/>
    <w:rsid w:val="00CB0664"/>
    <w:rsid w:val="00DF49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B6412"/>
  <w14:defaultImageDpi w14:val="300"/>
  <w15:docId w15:val="{67287890-18AE-40C3-89BD-9AC16842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oluwasholape oyemade</cp:lastModifiedBy>
  <cp:revision>2</cp:revision>
  <dcterms:created xsi:type="dcterms:W3CDTF">2013-12-23T23:15:00Z</dcterms:created>
  <dcterms:modified xsi:type="dcterms:W3CDTF">2026-06-22T07:41:00Z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37c57f75-213b-483e-929a-6aa0364c3853</vt:lpwstr>
  </property>
</Properties>
</file>