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EVIDENCE BUNDLE 3</w:t>
      </w:r>
      <w:r w:rsidDel="00000000" w:rsidR="00000000" w:rsidRPr="00000000">
        <w:rPr>
          <w:rtl w:val="0"/>
        </w:rPr>
      </w:r>
    </w:p>
    <w:p w:rsidR="00000000" w:rsidDel="00000000" w:rsidP="00000000" w:rsidRDefault="00000000" w:rsidRPr="00000000" w14:paraId="00000002">
      <w:pPr>
        <w:spacing w:after="300" w:lineRule="auto"/>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Board Reporting</w:t>
      </w:r>
      <w:r w:rsidDel="00000000" w:rsidR="00000000" w:rsidRPr="00000000">
        <w:rPr>
          <w:rtl w:val="0"/>
        </w:rPr>
      </w:r>
    </w:p>
    <w:p w:rsidR="00000000" w:rsidDel="00000000" w:rsidP="00000000" w:rsidRDefault="00000000" w:rsidRPr="00000000" w14:paraId="00000003">
      <w:pPr>
        <w:spacing w:after="900" w:lineRule="auto"/>
        <w:jc w:val="center"/>
        <w:rPr>
          <w:rFonts w:ascii="Garamond" w:cs="Garamond" w:eastAsia="Garamond" w:hAnsi="Garamond"/>
          <w:sz w:val="22"/>
          <w:szCs w:val="22"/>
        </w:rPr>
      </w:pPr>
      <w:r w:rsidDel="00000000" w:rsidR="00000000" w:rsidRPr="00000000">
        <w:rPr>
          <w:rFonts w:ascii="Garamond" w:cs="Garamond" w:eastAsia="Garamond" w:hAnsi="Garamond"/>
          <w:i w:val="1"/>
          <w:iCs w:val="1"/>
          <w:sz w:val="22"/>
          <w:szCs w:val="22"/>
          <w:rtl w:val="0"/>
        </w:rPr>
        <w:t xml:space="preserve">One-Page Executive Summary · Five Security Metrics · Priority Risks &amp; Recommendations · Metric Selection Rationale</w:t>
      </w:r>
      <w:r w:rsidDel="00000000" w:rsidR="00000000" w:rsidRPr="00000000">
        <w:rPr>
          <w:rtl w:val="0"/>
        </w:rPr>
      </w:r>
    </w:p>
    <w:p w:rsidR="00000000" w:rsidDel="00000000" w:rsidP="00000000" w:rsidRDefault="00000000" w:rsidRPr="00000000" w14:paraId="00000004">
      <w:pPr>
        <w:spacing w:after="60" w:lineRule="auto"/>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GlobalHealth Connect (GHC)</w:t>
      </w:r>
      <w:r w:rsidDel="00000000" w:rsidR="00000000" w:rsidRPr="00000000">
        <w:rPr>
          <w:rtl w:val="0"/>
        </w:rPr>
      </w:r>
    </w:p>
    <w:p w:rsidR="00000000" w:rsidDel="00000000" w:rsidP="00000000" w:rsidRDefault="00000000" w:rsidRPr="00000000" w14:paraId="00000005">
      <w:pPr>
        <w:spacing w:after="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Executive Governance Simulation</w:t>
      </w:r>
    </w:p>
    <w:p w:rsidR="00000000" w:rsidDel="00000000" w:rsidP="00000000" w:rsidRDefault="00000000" w:rsidRPr="00000000" w14:paraId="00000006">
      <w:pPr>
        <w:spacing w:after="60" w:before="70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Prepared by: Oluwatosin Olajubu</w:t>
      </w:r>
    </w:p>
    <w:p w:rsidR="00000000" w:rsidDel="00000000" w:rsidP="00000000" w:rsidRDefault="00000000" w:rsidRPr="00000000" w14:paraId="00000007">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September 2026</w:t>
      </w:r>
    </w:p>
    <w:p w:rsidR="00000000" w:rsidDel="00000000" w:rsidP="00000000" w:rsidRDefault="00000000" w:rsidRPr="00000000" w14:paraId="00000008">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B">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E">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3">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4">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5">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6">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7">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8">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9">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A">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B">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C">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D">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E">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F">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0">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1">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2">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3">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4">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5">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6">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7">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8">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9">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A">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B">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C">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D">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E">
      <w:pPr>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2F">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3.1 Board Executive Summary</w:t>
      </w:r>
      <w:r w:rsidDel="00000000" w:rsidR="00000000" w:rsidRPr="00000000">
        <w:rPr>
          <w:rtl w:val="0"/>
        </w:rPr>
      </w:r>
    </w:p>
    <w:p w:rsidR="00000000" w:rsidDel="00000000" w:rsidP="00000000" w:rsidRDefault="00000000" w:rsidRPr="00000000" w14:paraId="00000030">
      <w:pPr>
        <w:spacing w:after="20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Overall Security Posture:  </w:t>
      </w:r>
      <w:r w:rsidDel="00000000" w:rsidR="00000000" w:rsidRPr="00000000">
        <w:rPr>
          <w:rtl w:val="0"/>
        </w:rPr>
      </w:r>
    </w:p>
    <w:tbl>
      <w:tblPr>
        <w:tblStyle w:val="Table1"/>
        <w:tblW w:w="8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85"/>
        <w:tblGridChange w:id="0">
          <w:tblGrid>
            <w:gridCol w:w="885"/>
          </w:tblGrid>
        </w:tblGridChange>
      </w:tblGrid>
      <w:tr>
        <w:trPr>
          <w:cantSplit w:val="0"/>
          <w:tblHeader w:val="0"/>
        </w:trPr>
        <w:tc>
          <w:tcPr>
            <w:shd w:fill="c00000" w:val="clear"/>
            <w:tcMar>
              <w:top w:w="140.0" w:type="dxa"/>
              <w:left w:w="100.0" w:type="dxa"/>
              <w:bottom w:w="140.0" w:type="dxa"/>
              <w:right w:w="100.0" w:type="dxa"/>
            </w:tcMar>
          </w:tcPr>
          <w:p w:rsidR="00000000" w:rsidDel="00000000" w:rsidP="00000000" w:rsidRDefault="00000000" w:rsidRPr="00000000" w14:paraId="00000031">
            <w:pPr>
              <w:jc w:val="center"/>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RED</w:t>
            </w:r>
            <w:r w:rsidDel="00000000" w:rsidR="00000000" w:rsidRPr="00000000">
              <w:rPr>
                <w:rtl w:val="0"/>
              </w:rPr>
            </w:r>
          </w:p>
        </w:tc>
      </w:tr>
    </w:tbl>
    <w:p w:rsidR="00000000" w:rsidDel="00000000" w:rsidP="00000000" w:rsidRDefault="00000000" w:rsidRPr="00000000" w14:paraId="00000032">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GHC's overall information security posture is assessed as Red. The six-month security data indicates a deteriorating threat environment and increasing exposure to cyber risk. Phishing activity has increased from 150 incidents in September to 320 in February. Malware incidents have doubled from 25 to 50 over the same period. High-risk security incidents have also increased from two to seven.</w:t>
      </w:r>
      <w:r w:rsidDel="00000000" w:rsidR="00000000" w:rsidRPr="00000000">
        <w:rPr>
          <w:rtl w:val="0"/>
        </w:rPr>
      </w:r>
    </w:p>
    <w:p w:rsidR="00000000" w:rsidDel="00000000" w:rsidP="00000000" w:rsidRDefault="00000000" w:rsidRPr="00000000" w14:paraId="00000033">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At the same time, the organisation's patching performance has declined from 67% to 55%, despite an increasing number of critical vulnerabilities requiring remediation. Although security awareness training completion has improved from 45% to 70%, this improvement has not yet translated into a reduction in phishing or malware activity.</w:t>
      </w:r>
      <w:r w:rsidDel="00000000" w:rsidR="00000000" w:rsidRPr="00000000">
        <w:rPr>
          <w:rtl w:val="0"/>
        </w:rPr>
      </w:r>
    </w:p>
    <w:p w:rsidR="00000000" w:rsidDel="00000000" w:rsidP="00000000" w:rsidRDefault="00000000" w:rsidRPr="00000000" w14:paraId="00000034">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combination of increasing threats, declining patching performance and rising high-risk incidents presents a significant risk to GHC's operations, sensitive patient information and customer trust.</w:t>
      </w:r>
      <w:r w:rsidDel="00000000" w:rsidR="00000000" w:rsidRPr="00000000">
        <w:rPr>
          <w:rtl w:val="0"/>
        </w:rPr>
      </w:r>
    </w:p>
    <w:p w:rsidR="00000000" w:rsidDel="00000000" w:rsidP="00000000" w:rsidRDefault="00000000" w:rsidRPr="00000000" w14:paraId="00000035">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Priority Risks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Increasing exposure to cyber incidents due to the growing number of phishing and malware events.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Delayed remediation of critical vulnerabilities due to declining patching performance.</w:t>
      </w:r>
      <w:r w:rsidDel="00000000" w:rsidR="00000000" w:rsidRPr="00000000">
        <w:rPr>
          <w:rtl w:val="0"/>
        </w:rPr>
      </w:r>
    </w:p>
    <w:p w:rsidR="00000000" w:rsidDel="00000000" w:rsidP="00000000" w:rsidRDefault="00000000" w:rsidRPr="00000000" w14:paraId="00000038">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Board-Level Recommendations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Prioritise investment in vulnerability remediation and establish clear accountability for critical patching performance.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Strengthen phishing and malware prevention through improved technical controls, targeted awareness training and regular monitoring.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420" w:right="0" w:hanging="260"/>
        <w:jc w:val="left"/>
        <w:rPr>
          <w:rFonts w:ascii="Garamond" w:cs="Garamond" w:eastAsia="Garamond" w:hAnsi="Garamond"/>
          <w:sz w:val="22"/>
          <w:szCs w:val="22"/>
        </w:rPr>
      </w:pPr>
      <w:r w:rsidDel="00000000" w:rsidR="00000000" w:rsidRPr="00000000">
        <w:rPr>
          <w:rFonts w:ascii="Garamond" w:cs="Garamond" w:eastAsia="Garamond" w:hAnsi="Garamond"/>
          <w:i w:val="0"/>
          <w:iCs w:val="0"/>
          <w:smallCaps w:val="0"/>
          <w:strike w:val="0"/>
          <w:sz w:val="22"/>
          <w:szCs w:val="22"/>
          <w:u w:val="none"/>
          <w:shd w:fill="auto" w:val="clear"/>
          <w:vertAlign w:val="baseline"/>
          <w:rtl w:val="0"/>
        </w:rPr>
        <w:t xml:space="preserve">Require monthly executive review of high-risk incidents and remediation progress until security performance improves.</w:t>
      </w:r>
      <w:r w:rsidDel="00000000" w:rsidR="00000000" w:rsidRPr="00000000">
        <w:rPr>
          <w:rtl w:val="0"/>
        </w:rPr>
      </w:r>
    </w:p>
    <w:p w:rsidR="00000000" w:rsidDel="00000000" w:rsidP="00000000" w:rsidRDefault="00000000" w:rsidRPr="00000000" w14:paraId="0000003C">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3.2 Selected Security Metrics</w:t>
      </w:r>
      <w:r w:rsidDel="00000000" w:rsidR="00000000" w:rsidRPr="00000000">
        <w:rPr>
          <w:rtl w:val="0"/>
        </w:rPr>
      </w:r>
    </w:p>
    <w:p w:rsidR="00000000" w:rsidDel="00000000" w:rsidP="00000000" w:rsidRDefault="00000000" w:rsidRPr="00000000" w14:paraId="0000003E">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Metric 1: Phishing Incidents</w:t>
      </w:r>
      <w:r w:rsidDel="00000000" w:rsidR="00000000" w:rsidRPr="00000000">
        <w:rPr>
          <w:rtl w:val="0"/>
        </w:rPr>
      </w:r>
    </w:p>
    <w:tbl>
      <w:tblPr>
        <w:tblStyle w:val="Table2"/>
        <w:tblW w:w="828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tblGridChange w:id="0">
          <w:tblGrid>
            <w:gridCol w:w="1800"/>
            <w:gridCol w:w="1080"/>
            <w:gridCol w:w="1080"/>
            <w:gridCol w:w="1080"/>
            <w:gridCol w:w="1080"/>
            <w:gridCol w:w="1080"/>
            <w:gridCol w:w="108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3F">
            <w:pPr>
              <w:rPr>
                <w:rFonts w:ascii="Garamond" w:cs="Garamond" w:eastAsia="Garamond" w:hAnsi="Garamond"/>
                <w:color w:val="f7f9fc"/>
                <w:sz w:val="22"/>
                <w:szCs w:val="22"/>
              </w:rPr>
            </w:pP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0">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Sep</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1">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Oct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2">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Nov</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3">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Dec</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4">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Jan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5">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Feb</w:t>
            </w:r>
            <w:r w:rsidDel="00000000" w:rsidR="00000000" w:rsidRPr="00000000">
              <w:rPr>
                <w:rtl w:val="0"/>
              </w:rPr>
            </w:r>
          </w:p>
        </w:tc>
      </w:tr>
      <w:tr>
        <w:trPr>
          <w:cantSplit w:val="0"/>
          <w:tblHeader w:val="0"/>
        </w:trPr>
        <w:tc>
          <w:tcPr>
            <w:shd w:fill="f7f9fc" w:val="clear"/>
            <w:tcMar>
              <w:top w:w="100.0" w:type="dxa"/>
              <w:left w:w="120.0" w:type="dxa"/>
              <w:bottom w:w="100.0" w:type="dxa"/>
              <w:right w:w="120.0" w:type="dxa"/>
            </w:tcMar>
            <w:vAlign w:val="center"/>
          </w:tcPr>
          <w:p w:rsidR="00000000" w:rsidDel="00000000" w:rsidP="00000000" w:rsidRDefault="00000000" w:rsidRPr="00000000" w14:paraId="00000046">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Phishing Incidents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7">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150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8">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180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9">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210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A">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250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B">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280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4C">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320</w:t>
            </w:r>
          </w:p>
        </w:tc>
      </w:tr>
    </w:tbl>
    <w:p w:rsidR="00000000" w:rsidDel="00000000" w:rsidP="00000000" w:rsidRDefault="00000000" w:rsidRPr="00000000" w14:paraId="0000004D">
      <w:pPr>
        <w:spacing w:after="100" w:before="1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Pr>
        <w:drawing>
          <wp:inline distB="0" distT="0" distL="0" distR="0">
            <wp:extent cx="4572000" cy="19050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72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Trend:   </w:t>
      </w:r>
      <w:r w:rsidDel="00000000" w:rsidR="00000000" w:rsidRPr="00000000">
        <w:rPr>
          <w:rFonts w:ascii="Garamond" w:cs="Garamond" w:eastAsia="Garamond" w:hAnsi="Garamond"/>
          <w:sz w:val="22"/>
          <w:szCs w:val="22"/>
          <w:rtl w:val="0"/>
        </w:rPr>
        <w:t xml:space="preserve">Increasing significantly.</w:t>
      </w:r>
    </w:p>
    <w:p w:rsidR="00000000" w:rsidDel="00000000" w:rsidP="00000000" w:rsidRDefault="00000000" w:rsidRPr="00000000" w14:paraId="0000004F">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Phishing incidents increased by more than 100% over six months. This indicates that GHC's exposure to social engineering attacks is growing and could result in credential compromise, financial loss or unauthorised access to sensitive information.</w:t>
      </w:r>
      <w:r w:rsidDel="00000000" w:rsidR="00000000" w:rsidRPr="00000000">
        <w:rPr>
          <w:rtl w:val="0"/>
        </w:rPr>
      </w:r>
    </w:p>
    <w:p w:rsidR="00000000" w:rsidDel="00000000" w:rsidP="00000000" w:rsidRDefault="00000000" w:rsidRPr="00000000" w14:paraId="00000050">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Metric 2: Malware Incidents</w:t>
      </w:r>
      <w:r w:rsidDel="00000000" w:rsidR="00000000" w:rsidRPr="00000000">
        <w:rPr>
          <w:rtl w:val="0"/>
        </w:rPr>
      </w:r>
    </w:p>
    <w:tbl>
      <w:tblPr>
        <w:tblStyle w:val="Table3"/>
        <w:tblW w:w="828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tblGridChange w:id="0">
          <w:tblGrid>
            <w:gridCol w:w="1800"/>
            <w:gridCol w:w="1080"/>
            <w:gridCol w:w="1080"/>
            <w:gridCol w:w="1080"/>
            <w:gridCol w:w="1080"/>
            <w:gridCol w:w="1080"/>
            <w:gridCol w:w="108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51">
            <w:pPr>
              <w:rPr>
                <w:rFonts w:ascii="Garamond" w:cs="Garamond" w:eastAsia="Garamond" w:hAnsi="Garamond"/>
                <w:color w:val="f7f9fc"/>
                <w:sz w:val="22"/>
                <w:szCs w:val="22"/>
              </w:rPr>
            </w:pP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2">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Sep</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3">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Oct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4">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Nov</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5">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Dec</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6">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Jan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7">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Feb</w:t>
            </w:r>
            <w:r w:rsidDel="00000000" w:rsidR="00000000" w:rsidRPr="00000000">
              <w:rPr>
                <w:rtl w:val="0"/>
              </w:rPr>
            </w:r>
          </w:p>
        </w:tc>
      </w:tr>
      <w:tr>
        <w:trPr>
          <w:cantSplit w:val="0"/>
          <w:tblHeader w:val="0"/>
        </w:trPr>
        <w:tc>
          <w:tcPr>
            <w:shd w:fill="f7f9fc" w:val="clear"/>
            <w:tcMar>
              <w:top w:w="100.0" w:type="dxa"/>
              <w:left w:w="120.0" w:type="dxa"/>
              <w:bottom w:w="100.0" w:type="dxa"/>
              <w:right w:w="120.0" w:type="dxa"/>
            </w:tcMar>
            <w:vAlign w:val="center"/>
          </w:tcPr>
          <w:p w:rsidR="00000000" w:rsidDel="00000000" w:rsidP="00000000" w:rsidRDefault="00000000" w:rsidRPr="00000000" w14:paraId="00000058">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Malware Incidents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9">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A">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30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B">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35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C">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40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D">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45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5E">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50</w:t>
            </w:r>
          </w:p>
        </w:tc>
      </w:tr>
    </w:tbl>
    <w:p w:rsidR="00000000" w:rsidDel="00000000" w:rsidP="00000000" w:rsidRDefault="00000000" w:rsidRPr="00000000" w14:paraId="0000005F">
      <w:pPr>
        <w:spacing w:after="100" w:before="1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Pr>
        <w:drawing>
          <wp:inline distB="0" distT="0" distL="0" distR="0">
            <wp:extent cx="4572000" cy="1905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72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Trend:   </w:t>
      </w:r>
      <w:r w:rsidDel="00000000" w:rsidR="00000000" w:rsidRPr="00000000">
        <w:rPr>
          <w:rFonts w:ascii="Garamond" w:cs="Garamond" w:eastAsia="Garamond" w:hAnsi="Garamond"/>
          <w:sz w:val="22"/>
          <w:szCs w:val="22"/>
          <w:rtl w:val="0"/>
        </w:rPr>
        <w:t xml:space="preserve">Consistently increasing.</w:t>
      </w:r>
    </w:p>
    <w:p w:rsidR="00000000" w:rsidDel="00000000" w:rsidP="00000000" w:rsidRDefault="00000000" w:rsidRPr="00000000" w14:paraId="00000061">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Malware incidents doubled during the reporting period. This suggests increasing exposure and potentially insufficient preventative or detection controls.</w:t>
      </w:r>
      <w:r w:rsidDel="00000000" w:rsidR="00000000" w:rsidRPr="00000000">
        <w:rPr>
          <w:rtl w:val="0"/>
        </w:rPr>
      </w:r>
    </w:p>
    <w:p w:rsidR="00000000" w:rsidDel="00000000" w:rsidP="00000000" w:rsidRDefault="00000000" w:rsidRPr="00000000" w14:paraId="00000062">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Metric 3: Critical Vulnerabilities Patched</w:t>
      </w:r>
      <w:r w:rsidDel="00000000" w:rsidR="00000000" w:rsidRPr="00000000">
        <w:rPr>
          <w:rtl w:val="0"/>
        </w:rPr>
      </w:r>
    </w:p>
    <w:tbl>
      <w:tblPr>
        <w:tblStyle w:val="Table4"/>
        <w:tblW w:w="828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tblGridChange w:id="0">
          <w:tblGrid>
            <w:gridCol w:w="1800"/>
            <w:gridCol w:w="1080"/>
            <w:gridCol w:w="1080"/>
            <w:gridCol w:w="1080"/>
            <w:gridCol w:w="1080"/>
            <w:gridCol w:w="1080"/>
            <w:gridCol w:w="108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64">
            <w:pPr>
              <w:rPr>
                <w:rFonts w:ascii="Garamond" w:cs="Garamond" w:eastAsia="Garamond" w:hAnsi="Garamond"/>
                <w:sz w:val="22"/>
                <w:szCs w:val="22"/>
              </w:rPr>
            </w:pP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5">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Sep</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6">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Oct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7">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Nov</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8">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Dec</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9">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Jan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A">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Feb</w:t>
            </w:r>
            <w:r w:rsidDel="00000000" w:rsidR="00000000" w:rsidRPr="00000000">
              <w:rPr>
                <w:rtl w:val="0"/>
              </w:rPr>
            </w:r>
          </w:p>
        </w:tc>
      </w:tr>
      <w:tr>
        <w:trPr>
          <w:cantSplit w:val="0"/>
          <w:tblHeader w:val="0"/>
        </w:trPr>
        <w:tc>
          <w:tcPr>
            <w:shd w:fill="f7f9fc" w:val="clear"/>
            <w:tcMar>
              <w:top w:w="100.0" w:type="dxa"/>
              <w:left w:w="120.0" w:type="dxa"/>
              <w:bottom w:w="100.0" w:type="dxa"/>
              <w:right w:w="120.0" w:type="dxa"/>
            </w:tcMar>
            <w:vAlign w:val="center"/>
          </w:tcPr>
          <w:p w:rsidR="00000000" w:rsidDel="00000000" w:rsidP="00000000" w:rsidRDefault="00000000" w:rsidRPr="00000000" w14:paraId="0000006B">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Patched of Total</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C">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10 of 15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D">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12 of 20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E">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15 of 25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6F">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18 of 30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70">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20 of 35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71">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22 of 40</w:t>
            </w:r>
          </w:p>
        </w:tc>
      </w:tr>
    </w:tbl>
    <w:p w:rsidR="00000000" w:rsidDel="00000000" w:rsidP="00000000" w:rsidRDefault="00000000" w:rsidRPr="00000000" w14:paraId="00000072">
      <w:pPr>
        <w:spacing w:after="100" w:before="1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Pr>
        <w:drawing>
          <wp:inline distB="0" distT="0" distL="0" distR="0">
            <wp:extent cx="4572000" cy="1905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72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Trend:   </w:t>
      </w:r>
      <w:r w:rsidDel="00000000" w:rsidR="00000000" w:rsidRPr="00000000">
        <w:rPr>
          <w:rFonts w:ascii="Garamond" w:cs="Garamond" w:eastAsia="Garamond" w:hAnsi="Garamond"/>
          <w:sz w:val="22"/>
          <w:szCs w:val="22"/>
          <w:rtl w:val="0"/>
        </w:rPr>
        <w:t xml:space="preserve">The number of vulnerabilities being addressed is increasing, but the backlog is growing faster than remediation efforts.</w:t>
      </w:r>
    </w:p>
    <w:p w:rsidR="00000000" w:rsidDel="00000000" w:rsidP="00000000" w:rsidRDefault="00000000" w:rsidRPr="00000000" w14:paraId="00000074">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organisation is identifying and patching vulnerabilities, but the number of outstanding critical vulnerabilities continues to increase. This creates a growing attack surface and requires management attention.</w:t>
      </w:r>
      <w:r w:rsidDel="00000000" w:rsidR="00000000" w:rsidRPr="00000000">
        <w:rPr>
          <w:rtl w:val="0"/>
        </w:rPr>
      </w:r>
    </w:p>
    <w:p w:rsidR="00000000" w:rsidDel="00000000" w:rsidP="00000000" w:rsidRDefault="00000000" w:rsidRPr="00000000" w14:paraId="00000075">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Metric 4: Patching Performance</w:t>
      </w:r>
      <w:r w:rsidDel="00000000" w:rsidR="00000000" w:rsidRPr="00000000">
        <w:rPr>
          <w:rtl w:val="0"/>
        </w:rPr>
      </w:r>
    </w:p>
    <w:tbl>
      <w:tblPr>
        <w:tblStyle w:val="Table5"/>
        <w:tblW w:w="828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tblGridChange w:id="0">
          <w:tblGrid>
            <w:gridCol w:w="1800"/>
            <w:gridCol w:w="1080"/>
            <w:gridCol w:w="1080"/>
            <w:gridCol w:w="1080"/>
            <w:gridCol w:w="1080"/>
            <w:gridCol w:w="1080"/>
            <w:gridCol w:w="108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76">
            <w:pPr>
              <w:rPr>
                <w:rFonts w:ascii="Garamond" w:cs="Garamond" w:eastAsia="Garamond" w:hAnsi="Garamond"/>
                <w:sz w:val="22"/>
                <w:szCs w:val="22"/>
              </w:rPr>
            </w:pP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7">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Sep</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8">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Oct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9">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Nov</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A">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Dec</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B">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Jan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C">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Feb</w:t>
            </w:r>
            <w:r w:rsidDel="00000000" w:rsidR="00000000" w:rsidRPr="00000000">
              <w:rPr>
                <w:rtl w:val="0"/>
              </w:rPr>
            </w:r>
          </w:p>
        </w:tc>
      </w:tr>
      <w:tr>
        <w:trPr>
          <w:cantSplit w:val="0"/>
          <w:tblHeader w:val="0"/>
        </w:trPr>
        <w:tc>
          <w:tcPr>
            <w:shd w:fill="f7f9fc" w:val="clear"/>
            <w:tcMar>
              <w:top w:w="100.0" w:type="dxa"/>
              <w:left w:w="120.0" w:type="dxa"/>
              <w:bottom w:w="100.0" w:type="dxa"/>
              <w:right w:w="120.0" w:type="dxa"/>
            </w:tcMar>
            <w:vAlign w:val="center"/>
          </w:tcPr>
          <w:p w:rsidR="00000000" w:rsidDel="00000000" w:rsidP="00000000" w:rsidRDefault="00000000" w:rsidRPr="00000000" w14:paraId="0000007D">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Patching Performance</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7E">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67%</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7F">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60%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80">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60%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81">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60%</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82">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57%</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83">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55%</w:t>
            </w:r>
          </w:p>
        </w:tc>
      </w:tr>
    </w:tbl>
    <w:p w:rsidR="00000000" w:rsidDel="00000000" w:rsidP="00000000" w:rsidRDefault="00000000" w:rsidRPr="00000000" w14:paraId="00000084">
      <w:pPr>
        <w:spacing w:after="100" w:before="1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Pr>
        <w:drawing>
          <wp:inline distB="0" distT="0" distL="0" distR="0">
            <wp:extent cx="4572000" cy="19050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72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Trend:   </w:t>
      </w:r>
      <w:r w:rsidDel="00000000" w:rsidR="00000000" w:rsidRPr="00000000">
        <w:rPr>
          <w:rFonts w:ascii="Garamond" w:cs="Garamond" w:eastAsia="Garamond" w:hAnsi="Garamond"/>
          <w:sz w:val="22"/>
          <w:szCs w:val="22"/>
          <w:rtl w:val="0"/>
        </w:rPr>
        <w:t xml:space="preserve">Declining.</w:t>
      </w:r>
    </w:p>
    <w:p w:rsidR="00000000" w:rsidDel="00000000" w:rsidP="00000000" w:rsidRDefault="00000000" w:rsidRPr="00000000" w14:paraId="00000086">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Patching performance has declined from 67% to 55%. Given the increasing number of critical vulnerabilities, this represents a significant governance concern and increases the likelihood of exploitation.</w:t>
      </w:r>
      <w:r w:rsidDel="00000000" w:rsidR="00000000" w:rsidRPr="00000000">
        <w:rPr>
          <w:rtl w:val="0"/>
        </w:rPr>
      </w:r>
    </w:p>
    <w:p w:rsidR="00000000" w:rsidDel="00000000" w:rsidP="00000000" w:rsidRDefault="00000000" w:rsidRPr="00000000" w14:paraId="00000087">
      <w:pPr>
        <w:rPr>
          <w:rFonts w:ascii="Garamond" w:cs="Garamond" w:eastAsia="Garamond" w:hAnsi="Garamond"/>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spacing w:after="120" w:before="28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Metric 5: High-Risk Security Incidents</w:t>
      </w:r>
      <w:r w:rsidDel="00000000" w:rsidR="00000000" w:rsidRPr="00000000">
        <w:rPr>
          <w:rtl w:val="0"/>
        </w:rPr>
      </w:r>
    </w:p>
    <w:tbl>
      <w:tblPr>
        <w:tblStyle w:val="Table6"/>
        <w:tblW w:w="828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000"/>
      </w:tblPr>
      <w:tblGrid>
        <w:gridCol w:w="2235"/>
        <w:gridCol w:w="645"/>
        <w:gridCol w:w="1080"/>
        <w:gridCol w:w="1080"/>
        <w:gridCol w:w="1080"/>
        <w:gridCol w:w="1080"/>
        <w:gridCol w:w="1080"/>
        <w:tblGridChange w:id="0">
          <w:tblGrid>
            <w:gridCol w:w="2235"/>
            <w:gridCol w:w="645"/>
            <w:gridCol w:w="1080"/>
            <w:gridCol w:w="1080"/>
            <w:gridCol w:w="1080"/>
            <w:gridCol w:w="1080"/>
            <w:gridCol w:w="108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89">
            <w:pPr>
              <w:rPr>
                <w:rFonts w:ascii="Garamond" w:cs="Garamond" w:eastAsia="Garamond" w:hAnsi="Garamond"/>
                <w:sz w:val="22"/>
                <w:szCs w:val="22"/>
              </w:rPr>
            </w:pP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A">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Sep</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B">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Oct</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C">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Nov</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D">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Dec</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E">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Jan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F">
            <w:pPr>
              <w:rPr>
                <w:rFonts w:ascii="Garamond" w:cs="Garamond" w:eastAsia="Garamond" w:hAnsi="Garamond"/>
                <w:color w:val="f7f9fc"/>
                <w:sz w:val="22"/>
                <w:szCs w:val="22"/>
              </w:rPr>
            </w:pPr>
            <w:r w:rsidDel="00000000" w:rsidR="00000000" w:rsidRPr="00000000">
              <w:rPr>
                <w:rFonts w:ascii="Garamond" w:cs="Garamond" w:eastAsia="Garamond" w:hAnsi="Garamond"/>
                <w:b w:val="1"/>
                <w:bCs w:val="1"/>
                <w:color w:val="f7f9fc"/>
                <w:sz w:val="22"/>
                <w:szCs w:val="22"/>
                <w:rtl w:val="0"/>
              </w:rPr>
              <w:t xml:space="preserve">Feb</w:t>
            </w:r>
            <w:r w:rsidDel="00000000" w:rsidR="00000000" w:rsidRPr="00000000">
              <w:rPr>
                <w:rtl w:val="0"/>
              </w:rPr>
            </w:r>
          </w:p>
        </w:tc>
      </w:tr>
      <w:tr>
        <w:trPr>
          <w:cantSplit w:val="0"/>
          <w:tblHeader w:val="0"/>
        </w:trPr>
        <w:tc>
          <w:tcPr>
            <w:shd w:fill="f7f9fc" w:val="clear"/>
            <w:tcMar>
              <w:top w:w="100.0" w:type="dxa"/>
              <w:left w:w="120.0" w:type="dxa"/>
              <w:bottom w:w="100.0" w:type="dxa"/>
              <w:right w:w="120.0" w:type="dxa"/>
            </w:tcMar>
            <w:vAlign w:val="center"/>
          </w:tcPr>
          <w:p w:rsidR="00000000" w:rsidDel="00000000" w:rsidP="00000000" w:rsidRDefault="00000000" w:rsidRPr="00000000" w14:paraId="00000090">
            <w:pPr>
              <w:jc w:val="left"/>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High-Risk Security Incidents</w:t>
            </w:r>
            <w:r w:rsidDel="00000000" w:rsidR="00000000" w:rsidRPr="00000000">
              <w:rPr>
                <w:rtl w:val="0"/>
              </w:rPr>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91">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2</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92">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3</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93">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4</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94">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5</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95">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6</w:t>
            </w:r>
          </w:p>
        </w:tc>
        <w:tc>
          <w:tcPr>
            <w:shd w:fill="ffffff" w:val="clear"/>
            <w:tcMar>
              <w:top w:w="100.0" w:type="dxa"/>
              <w:left w:w="120.0" w:type="dxa"/>
              <w:bottom w:w="100.0" w:type="dxa"/>
              <w:right w:w="120.0" w:type="dxa"/>
            </w:tcMar>
            <w:vAlign w:val="center"/>
          </w:tcPr>
          <w:p w:rsidR="00000000" w:rsidDel="00000000" w:rsidP="00000000" w:rsidRDefault="00000000" w:rsidRPr="00000000" w14:paraId="00000096">
            <w:pPr>
              <w:jc w:val="center"/>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7</w:t>
            </w:r>
          </w:p>
        </w:tc>
      </w:tr>
    </w:tbl>
    <w:p w:rsidR="00000000" w:rsidDel="00000000" w:rsidP="00000000" w:rsidRDefault="00000000" w:rsidRPr="00000000" w14:paraId="00000097">
      <w:pPr>
        <w:spacing w:after="100" w:before="160" w:lineRule="auto"/>
        <w:jc w:val="center"/>
        <w:rPr>
          <w:rFonts w:ascii="Garamond" w:cs="Garamond" w:eastAsia="Garamond" w:hAnsi="Garamond"/>
          <w:sz w:val="22"/>
          <w:szCs w:val="22"/>
        </w:rPr>
      </w:pPr>
      <w:r w:rsidDel="00000000" w:rsidR="00000000" w:rsidRPr="00000000">
        <w:rPr>
          <w:rFonts w:ascii="Garamond" w:cs="Garamond" w:eastAsia="Garamond" w:hAnsi="Garamond"/>
          <w:sz w:val="22"/>
          <w:szCs w:val="22"/>
        </w:rPr>
        <w:drawing>
          <wp:inline distB="0" distT="0" distL="0" distR="0">
            <wp:extent cx="4572000" cy="19050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72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60" w:lineRule="auto"/>
        <w:rPr>
          <w:rFonts w:ascii="Garamond" w:cs="Garamond" w:eastAsia="Garamond" w:hAnsi="Garamond"/>
          <w:sz w:val="22"/>
          <w:szCs w:val="22"/>
        </w:rPr>
      </w:pPr>
      <w:r w:rsidDel="00000000" w:rsidR="00000000" w:rsidRPr="00000000">
        <w:rPr>
          <w:rFonts w:ascii="Garamond" w:cs="Garamond" w:eastAsia="Garamond" w:hAnsi="Garamond"/>
          <w:b w:val="1"/>
          <w:bCs w:val="1"/>
          <w:sz w:val="22"/>
          <w:szCs w:val="22"/>
          <w:rtl w:val="0"/>
        </w:rPr>
        <w:t xml:space="preserve">Trend:   </w:t>
      </w:r>
      <w:r w:rsidDel="00000000" w:rsidR="00000000" w:rsidRPr="00000000">
        <w:rPr>
          <w:rFonts w:ascii="Garamond" w:cs="Garamond" w:eastAsia="Garamond" w:hAnsi="Garamond"/>
          <w:sz w:val="22"/>
          <w:szCs w:val="22"/>
          <w:rtl w:val="0"/>
        </w:rPr>
        <w:t xml:space="preserve">Increasing consistently.</w:t>
      </w:r>
    </w:p>
    <w:p w:rsidR="00000000" w:rsidDel="00000000" w:rsidP="00000000" w:rsidRDefault="00000000" w:rsidRPr="00000000" w14:paraId="00000099">
      <w:pPr>
        <w:spacing w:after="2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High-risk incidents have increased steadily throughout the reporting period. This is the most significant Board-level outcome metric because it demonstrates that security risks are increasingly translating into incidents with potentially material business impact.</w:t>
      </w:r>
      <w:r w:rsidDel="00000000" w:rsidR="00000000" w:rsidRPr="00000000">
        <w:rPr>
          <w:rtl w:val="0"/>
        </w:rPr>
      </w:r>
    </w:p>
    <w:p w:rsidR="00000000" w:rsidDel="00000000" w:rsidP="00000000" w:rsidRDefault="00000000" w:rsidRPr="00000000" w14:paraId="0000009A">
      <w:pPr>
        <w:pStyle w:val="Heading1"/>
        <w:pBdr>
          <w:bottom w:color="1f3864" w:space="4" w:sz="6" w:val="single"/>
        </w:pBdr>
        <w:spacing w:after="160" w:before="360" w:lineRule="auto"/>
        <w:rPr>
          <w:rFonts w:ascii="Garamond" w:cs="Garamond" w:eastAsia="Garamond" w:hAnsi="Garamond"/>
          <w:color w:val="000000"/>
          <w:sz w:val="22"/>
          <w:szCs w:val="22"/>
        </w:rPr>
      </w:pPr>
      <w:r w:rsidDel="00000000" w:rsidR="00000000" w:rsidRPr="00000000">
        <w:rPr>
          <w:rFonts w:ascii="Garamond" w:cs="Garamond" w:eastAsia="Garamond" w:hAnsi="Garamond"/>
          <w:b w:val="1"/>
          <w:bCs w:val="1"/>
          <w:color w:val="000000"/>
          <w:sz w:val="22"/>
          <w:szCs w:val="22"/>
          <w:rtl w:val="0"/>
        </w:rPr>
        <w:t xml:space="preserve">3.3 Metric Selection Rationale</w:t>
      </w:r>
      <w:r w:rsidDel="00000000" w:rsidR="00000000" w:rsidRPr="00000000">
        <w:rPr>
          <w:rtl w:val="0"/>
        </w:rPr>
      </w:r>
    </w:p>
    <w:p w:rsidR="00000000" w:rsidDel="00000000" w:rsidP="00000000" w:rsidRDefault="00000000" w:rsidRPr="00000000" w14:paraId="0000009B">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 five selected metrics were chosen because they provide the Board with a balanced view of threat exposure, control effectiveness and business risk.</w:t>
      </w:r>
      <w:r w:rsidDel="00000000" w:rsidR="00000000" w:rsidRPr="00000000">
        <w:rPr>
          <w:rtl w:val="0"/>
        </w:rPr>
      </w:r>
    </w:p>
    <w:p w:rsidR="00000000" w:rsidDel="00000000" w:rsidP="00000000" w:rsidRDefault="00000000" w:rsidRPr="00000000" w14:paraId="0000009C">
      <w:pPr>
        <w:spacing w:after="16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Phishing and malware incidents demonstrate changes in the external and internal threat environment. Critical vulnerability remediation and patching performance provide insight into GHC's ability to manage known technical weaknesses. High-risk incidents provide an outcome-focused measure of whether security risks are affecting the organisation.</w:t>
      </w:r>
      <w:r w:rsidDel="00000000" w:rsidR="00000000" w:rsidRPr="00000000">
        <w:rPr>
          <w:rtl w:val="0"/>
        </w:rPr>
      </w:r>
    </w:p>
    <w:p w:rsidR="00000000" w:rsidDel="00000000" w:rsidP="00000000" w:rsidRDefault="00000000" w:rsidRPr="00000000" w14:paraId="0000009D">
      <w:pPr>
        <w:spacing w:after="0" w:line="300" w:lineRule="auto"/>
        <w:jc w:val="both"/>
        <w:rPr>
          <w:rFonts w:ascii="Garamond" w:cs="Garamond" w:eastAsia="Garamond" w:hAnsi="Garamond"/>
          <w:sz w:val="22"/>
          <w:szCs w:val="22"/>
        </w:rPr>
      </w:pPr>
      <w:r w:rsidDel="00000000" w:rsidR="00000000" w:rsidRPr="00000000">
        <w:rPr>
          <w:rFonts w:ascii="Garamond" w:cs="Garamond" w:eastAsia="Garamond" w:hAnsi="Garamond"/>
          <w:i w:val="0"/>
          <w:iCs w:val="0"/>
          <w:sz w:val="22"/>
          <w:szCs w:val="22"/>
          <w:rtl w:val="0"/>
        </w:rPr>
        <w:t xml:space="preserve">These metrics are suitable for Board oversight because they show trends over time and can support strategic decisions regarding investment, risk prioritisation and management accountability.</w:t>
      </w:r>
      <w:r w:rsidDel="00000000" w:rsidR="00000000" w:rsidRPr="00000000">
        <w:rPr>
          <w:rtl w:val="0"/>
        </w:rPr>
      </w:r>
    </w:p>
    <w:sectPr>
      <w:foot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EYFMlKWOZLkk/moKZt7Gy5szw==">CgMxLjA4AHIhMV9kZGk5N1NRTlRtWmlBY0tVTWZkU2pIMkdZVGdqTHlH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2026-09-09T09:05:58.984Z</dcterms:created>
  <dc:creator>Un-named</dc:creator>
</cp:coreProperties>
</file>

<file path=docProps/custom.xml><?xml version="1.0" encoding="utf-8"?>
<Properties xmlns="http://schemas.openxmlformats.org/officeDocument/2006/custom-properties" xmlns:vt="http://schemas.openxmlformats.org/officeDocument/2006/docPropsVTypes"/>
</file>