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color w:val="17324d"/>
          <w:sz w:val="50"/>
          <w:szCs w:val="50"/>
        </w:rPr>
      </w:pPr>
      <w:r w:rsidDel="00000000" w:rsidR="00000000" w:rsidRPr="00000000">
        <w:rPr>
          <w:rtl w:val="0"/>
        </w:rPr>
      </w:r>
    </w:p>
    <w:p w:rsidR="00000000" w:rsidDel="00000000" w:rsidP="00000000" w:rsidRDefault="00000000" w:rsidRPr="00000000" w14:paraId="00000002">
      <w:pPr>
        <w:rPr>
          <w:rFonts w:ascii="Garamond" w:cs="Garamond" w:eastAsia="Garamond" w:hAnsi="Garamond"/>
          <w:b w:val="1"/>
          <w:bCs w:val="1"/>
          <w:color w:val="17324d"/>
        </w:rPr>
      </w:pPr>
      <w:r w:rsidDel="00000000" w:rsidR="00000000" w:rsidRPr="00000000">
        <w:rPr>
          <w:rtl w:val="0"/>
        </w:rPr>
      </w:r>
    </w:p>
    <w:sdt>
      <w:sdtPr>
        <w:lock w:val="contentLocked"/>
        <w:id w:val="-1023514627"/>
        <w:tag w:val="goog_rdk_0"/>
      </w:sdtPr>
      <w:sdtContent>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475"/>
            <w:tblGridChange w:id="0">
              <w:tblGrid>
                <w:gridCol w:w="15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Oluwatosin Olajubu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C11/26/CGRCE/17602</w:t>
                </w:r>
              </w:p>
            </w:tc>
          </w:tr>
        </w:tbl>
      </w:sdtContent>
    </w:sdt>
    <w:p w:rsidR="00000000" w:rsidDel="00000000" w:rsidP="00000000" w:rsidRDefault="00000000" w:rsidRPr="00000000" w14:paraId="00000007">
      <w:pPr>
        <w:ind w:left="2160" w:firstLine="720"/>
        <w:jc w:val="left"/>
        <w:rPr>
          <w:rFonts w:ascii="Garamond" w:cs="Garamond" w:eastAsia="Garamond" w:hAnsi="Garamond"/>
        </w:rPr>
      </w:pPr>
      <w:r w:rsidDel="00000000" w:rsidR="00000000" w:rsidRPr="00000000">
        <w:rPr>
          <w:rFonts w:ascii="Garamond" w:cs="Garamond" w:eastAsia="Garamond" w:hAnsi="Garamond"/>
          <w:b w:val="1"/>
          <w:bCs w:val="1"/>
          <w:color w:val="17324d"/>
          <w:sz w:val="50"/>
          <w:szCs w:val="50"/>
          <w:rtl w:val="0"/>
        </w:rPr>
        <w:t xml:space="preserve">Evidence Bundle 1</w:t>
      </w:r>
      <w:r w:rsidDel="00000000" w:rsidR="00000000" w:rsidRPr="00000000">
        <w:rPr>
          <w:rtl w:val="0"/>
        </w:rPr>
      </w:r>
    </w:p>
    <w:p w:rsidR="00000000" w:rsidDel="00000000" w:rsidP="00000000" w:rsidRDefault="00000000" w:rsidRPr="00000000" w14:paraId="00000008">
      <w:pPr>
        <w:jc w:val="center"/>
        <w:rPr>
          <w:rFonts w:ascii="Garamond" w:cs="Garamond" w:eastAsia="Garamond" w:hAnsi="Garamond"/>
        </w:rPr>
      </w:pPr>
      <w:r w:rsidDel="00000000" w:rsidR="00000000" w:rsidRPr="00000000">
        <w:rPr>
          <w:rFonts w:ascii="Garamond" w:cs="Garamond" w:eastAsia="Garamond" w:hAnsi="Garamond"/>
          <w:color w:val="5b6770"/>
          <w:sz w:val="22"/>
          <w:szCs w:val="22"/>
          <w:rtl w:val="0"/>
        </w:rPr>
        <w:t xml:space="preserve">Security Policy Hierarchy &amp; Statement Categorisation</w:t>
      </w:r>
      <w:r w:rsidDel="00000000" w:rsidR="00000000" w:rsidRPr="00000000">
        <w:rPr>
          <w:rtl w:val="0"/>
        </w:rPr>
      </w:r>
    </w:p>
    <w:p w:rsidR="00000000" w:rsidDel="00000000" w:rsidP="00000000" w:rsidRDefault="00000000" w:rsidRPr="00000000" w14:paraId="00000009">
      <w:pPr>
        <w:jc w:val="center"/>
        <w:rPr>
          <w:rFonts w:ascii="Garamond" w:cs="Garamond" w:eastAsia="Garamond" w:hAnsi="Garamond"/>
        </w:rPr>
      </w:pPr>
      <w:r w:rsidDel="00000000" w:rsidR="00000000" w:rsidRPr="00000000">
        <w:rPr>
          <w:rFonts w:ascii="Garamond" w:cs="Garamond" w:eastAsia="Garamond" w:hAnsi="Garamond"/>
          <w:color w:val="0f766e"/>
          <w:sz w:val="18"/>
          <w:szCs w:val="18"/>
          <w:rtl w:val="0"/>
        </w:rPr>
        <w:t xml:space="preserve">NexusTech Solutions | GRC102 – Information Security Governance | Week 2</w:t>
      </w: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1. Purpose</w:t>
      </w: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rtl w:val="0"/>
        </w:rPr>
        <w:t xml:space="preserve">This bundle establishes a four-level documentation hierarchy for NexusTech and applies it to the eight statements supplied in the laboratory scenario. The hierarchy separates management intent from mandatory technical requirements, recommended practices and repeatable operational steps.</w:t>
      </w:r>
    </w:p>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2. Hierarchy Definition</w:t>
      </w:r>
      <w:r w:rsidDel="00000000" w:rsidR="00000000" w:rsidRPr="00000000">
        <w:rPr>
          <w:rtl w:val="0"/>
        </w:rPr>
      </w:r>
    </w:p>
    <w:tbl>
      <w:tblPr>
        <w:tblStyle w:val="Table2"/>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17324d" w:val="clear"/>
            <w:vAlign w:val="center"/>
          </w:tcPr>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Document type</w:t>
            </w:r>
            <w:r w:rsidDel="00000000" w:rsidR="00000000" w:rsidRPr="00000000">
              <w:rPr>
                <w:rtl w:val="0"/>
              </w:rPr>
            </w:r>
          </w:p>
        </w:tc>
        <w:tc>
          <w:tcPr>
            <w:shd w:fill="17324d" w:val="clear"/>
            <w:vAlign w:val="center"/>
          </w:tcPr>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Purpose</w:t>
            </w:r>
            <w:r w:rsidDel="00000000" w:rsidR="00000000" w:rsidRPr="00000000">
              <w:rPr>
                <w:rtl w:val="0"/>
              </w:rPr>
            </w:r>
          </w:p>
        </w:tc>
        <w:tc>
          <w:tcPr>
            <w:shd w:fill="17324d" w:val="clear"/>
            <w:vAlign w:val="center"/>
          </w:tcPr>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Authority</w:t>
            </w:r>
            <w:r w:rsidDel="00000000" w:rsidR="00000000" w:rsidRPr="00000000">
              <w:rPr>
                <w:rtl w:val="0"/>
              </w:rPr>
            </w:r>
          </w:p>
        </w:tc>
        <w:tc>
          <w:tcPr>
            <w:shd w:fill="17324d" w:val="clear"/>
            <w:vAlign w:val="center"/>
          </w:tcPr>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Nature</w:t>
            </w:r>
            <w:r w:rsidDel="00000000" w:rsidR="00000000" w:rsidRPr="00000000">
              <w:rPr>
                <w:rtl w:val="0"/>
              </w:rPr>
            </w:r>
          </w:p>
        </w:tc>
        <w:tc>
          <w:tcPr>
            <w:shd w:fill="17324d" w:val="clear"/>
            <w:vAlign w:val="center"/>
          </w:tcPr>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Level of detail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w:t>
            </w:r>
            <w:r w:rsidDel="00000000" w:rsidR="00000000" w:rsidRPr="00000000">
              <w:rPr>
                <w:rtl w:val="0"/>
              </w:rPr>
            </w:r>
          </w:p>
        </w:tc>
        <w:tc>
          <w:tcPr>
            <w:vAlign w:val="center"/>
          </w:tcPr>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Sets organisational direction, intent, principles and mandatory requirements.</w:t>
            </w:r>
            <w:r w:rsidDel="00000000" w:rsidR="00000000" w:rsidRPr="00000000">
              <w:rPr>
                <w:rtl w:val="0"/>
              </w:rPr>
            </w:r>
          </w:p>
        </w:tc>
        <w:tc>
          <w:tcPr>
            <w:vAlign w:val="center"/>
          </w:tcPr>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Executive/management approval; highest internal authority.</w:t>
            </w:r>
            <w:r w:rsidDel="00000000" w:rsidR="00000000" w:rsidRPr="00000000">
              <w:rPr>
                <w:rtl w:val="0"/>
              </w:rPr>
            </w:r>
          </w:p>
        </w:tc>
        <w:tc>
          <w:tcPr>
            <w:vAlign w:val="center"/>
          </w:tcPr>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w:t>
            </w:r>
            <w:r w:rsidDel="00000000" w:rsidR="00000000" w:rsidRPr="00000000">
              <w:rPr>
                <w:rtl w:val="0"/>
              </w:rPr>
            </w:r>
          </w:p>
        </w:tc>
        <w:tc>
          <w:tcPr>
            <w:vAlign w:val="center"/>
          </w:tcPr>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High-level; defines what and why.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Standard</w:t>
            </w:r>
            <w:r w:rsidDel="00000000" w:rsidR="00000000" w:rsidRPr="00000000">
              <w:rPr>
                <w:rtl w:val="0"/>
              </w:rPr>
            </w:r>
          </w:p>
        </w:tc>
        <w:tc>
          <w:tcPr>
            <w:vAlign w:val="center"/>
          </w:tcPr>
          <w:p w:rsidR="00000000" w:rsidDel="00000000" w:rsidP="00000000" w:rsidRDefault="00000000" w:rsidRPr="00000000" w14:paraId="0000001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Defines specific, measurable mandatory requirements that support policy.</w:t>
            </w:r>
            <w:r w:rsidDel="00000000" w:rsidR="00000000" w:rsidRPr="00000000">
              <w:rPr>
                <w:rtl w:val="0"/>
              </w:rPr>
            </w:r>
          </w:p>
        </w:tc>
        <w:tc>
          <w:tcPr>
            <w:vAlign w:val="center"/>
          </w:tcPr>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 owner / designated governance authority.</w:t>
            </w:r>
            <w:r w:rsidDel="00000000" w:rsidR="00000000" w:rsidRPr="00000000">
              <w:rPr>
                <w:rtl w:val="0"/>
              </w:rPr>
            </w:r>
          </w:p>
        </w:tc>
        <w:tc>
          <w:tcPr>
            <w:vAlign w:val="center"/>
          </w:tcPr>
          <w:p w:rsidR="00000000" w:rsidDel="00000000" w:rsidP="00000000" w:rsidRDefault="00000000" w:rsidRPr="00000000" w14:paraId="0000001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w:t>
            </w:r>
            <w:r w:rsidDel="00000000" w:rsidR="00000000" w:rsidRPr="00000000">
              <w:rPr>
                <w:rtl w:val="0"/>
              </w:rPr>
            </w:r>
          </w:p>
        </w:tc>
        <w:tc>
          <w:tcPr>
            <w:vAlign w:val="center"/>
          </w:tcPr>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More specific; measurable control or configuration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Guideline</w:t>
            </w:r>
            <w:r w:rsidDel="00000000" w:rsidR="00000000" w:rsidRPr="00000000">
              <w:rPr>
                <w:rtl w:val="0"/>
              </w:rPr>
            </w:r>
          </w:p>
        </w:tc>
        <w:tc>
          <w:tcPr>
            <w:vAlign w:val="center"/>
          </w:tcPr>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Provides recommended practices or advice to help users achieve secure outcomes.</w:t>
            </w:r>
            <w:r w:rsidDel="00000000" w:rsidR="00000000" w:rsidRPr="00000000">
              <w:rPr>
                <w:rtl w:val="0"/>
              </w:rPr>
            </w:r>
          </w:p>
        </w:tc>
        <w:tc>
          <w:tcPr>
            <w:vAlign w:val="center"/>
          </w:tcPr>
          <w:p w:rsidR="00000000" w:rsidDel="00000000" w:rsidP="00000000" w:rsidRDefault="00000000" w:rsidRPr="00000000" w14:paraId="0000001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 owner / security function.</w:t>
            </w:r>
            <w:r w:rsidDel="00000000" w:rsidR="00000000" w:rsidRPr="00000000">
              <w:rPr>
                <w:rtl w:val="0"/>
              </w:rPr>
            </w:r>
          </w:p>
        </w:tc>
        <w:tc>
          <w:tcPr>
            <w:vAlign w:val="center"/>
          </w:tcPr>
          <w:p w:rsidR="00000000" w:rsidDel="00000000" w:rsidP="00000000" w:rsidRDefault="00000000" w:rsidRPr="00000000" w14:paraId="0000001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Recommended unless explicitly adopted as mandatory.</w:t>
            </w:r>
            <w:r w:rsidDel="00000000" w:rsidR="00000000" w:rsidRPr="00000000">
              <w:rPr>
                <w:rtl w:val="0"/>
              </w:rPr>
            </w:r>
          </w:p>
        </w:tc>
        <w:tc>
          <w:tcPr>
            <w:vAlign w:val="center"/>
          </w:tcPr>
          <w:p w:rsidR="00000000" w:rsidDel="00000000" w:rsidP="00000000" w:rsidRDefault="00000000" w:rsidRPr="00000000" w14:paraId="0000002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Practical guidance; flexible.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w:t>
            </w:r>
            <w:r w:rsidDel="00000000" w:rsidR="00000000" w:rsidRPr="00000000">
              <w:rPr>
                <w:rtl w:val="0"/>
              </w:rPr>
            </w:r>
          </w:p>
        </w:tc>
        <w:tc>
          <w:tcPr>
            <w:vAlign w:val="center"/>
          </w:tcPr>
          <w:p w:rsidR="00000000" w:rsidDel="00000000" w:rsidP="00000000" w:rsidRDefault="00000000" w:rsidRPr="00000000" w14:paraId="0000002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Defines the repeatable steps used to implement a policy or standard.</w:t>
            </w:r>
            <w:r w:rsidDel="00000000" w:rsidR="00000000" w:rsidRPr="00000000">
              <w:rPr>
                <w:rtl w:val="0"/>
              </w:rPr>
            </w:r>
          </w:p>
        </w:tc>
        <w:tc>
          <w:tcPr>
            <w:vAlign w:val="center"/>
          </w:tcPr>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Process/system owner under policy authority.</w:t>
            </w:r>
            <w:r w:rsidDel="00000000" w:rsidR="00000000" w:rsidRPr="00000000">
              <w:rPr>
                <w:rtl w:val="0"/>
              </w:rPr>
            </w:r>
          </w:p>
        </w:tc>
        <w:tc>
          <w:tcPr>
            <w:vAlign w:val="center"/>
          </w:tcPr>
          <w:p w:rsidR="00000000" w:rsidDel="00000000" w:rsidP="00000000" w:rsidRDefault="00000000" w:rsidRPr="00000000" w14:paraId="0000002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Mandatory when the governing policy/process requires it.</w:t>
            </w:r>
            <w:r w:rsidDel="00000000" w:rsidR="00000000" w:rsidRPr="00000000">
              <w:rPr>
                <w:rtl w:val="0"/>
              </w:rPr>
            </w:r>
          </w:p>
        </w:tc>
        <w:tc>
          <w:tcPr>
            <w:vAlign w:val="center"/>
          </w:tcPr>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Detailed, sequential and action-oriented.</w:t>
            </w:r>
            <w:r w:rsidDel="00000000" w:rsidR="00000000" w:rsidRPr="00000000">
              <w:rPr>
                <w:rtl w:val="0"/>
              </w:rPr>
            </w:r>
          </w:p>
        </w:tc>
      </w:tr>
    </w:tbl>
    <w:p w:rsidR="00000000" w:rsidDel="00000000" w:rsidP="00000000" w:rsidRDefault="00000000" w:rsidRPr="00000000" w14:paraId="00000026">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3. Documentation Hierarchy</w:t>
      </w: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Fonts w:ascii="Garamond" w:cs="Garamond" w:eastAsia="Garamond" w:hAnsi="Garamond"/>
          <w:rtl w:val="0"/>
        </w:rPr>
        <w:t xml:space="preserve">Direction flows downward from organisational policy into measurable standards and operational procedures, while guidelines support implementation. Evidence and performance information flow upward for monitoring, review and improvement.</w:t>
      </w:r>
    </w:p>
    <w:p w:rsidR="00000000" w:rsidDel="00000000" w:rsidP="00000000" w:rsidRDefault="00000000" w:rsidRPr="00000000" w14:paraId="00000028">
      <w:pPr>
        <w:jc w:val="center"/>
        <w:rPr>
          <w:rFonts w:ascii="Garamond" w:cs="Garamond" w:eastAsia="Garamond" w:hAnsi="Garamond"/>
        </w:rPr>
      </w:pPr>
      <w:sdt>
        <w:sdtPr>
          <w:id w:val="-947033796"/>
          <w:tag w:val="goog_rdk_1"/>
        </w:sdtPr>
        <w:sdtContent>
          <w:r w:rsidDel="00000000" w:rsidR="00000000" w:rsidRPr="00000000">
            <w:rPr>
              <w:rFonts w:ascii="Cardo" w:cs="Cardo" w:eastAsia="Cardo" w:hAnsi="Cardo"/>
              <w:b w:val="1"/>
              <w:bCs w:val="1"/>
              <w:color w:val="0f766e"/>
              <w:sz w:val="24"/>
              <w:szCs w:val="24"/>
              <w:rtl w:val="0"/>
            </w:rPr>
            <w:t xml:space="preserve">POLICY</w:t>
            <w:br w:type="textWrapping"/>
            <w:t xml:space="preserve">↓</w:t>
            <w:br w:type="textWrapping"/>
            <w:t xml:space="preserve">STANDARDS</w:t>
            <w:br w:type="textWrapping"/>
            <w:t xml:space="preserve">↓</w:t>
            <w:br w:type="textWrapping"/>
            <w:t xml:space="preserve">PROCEDURES</w:t>
            <w:br w:type="textWrapping"/>
            <w:t xml:space="preserve">↕</w:t>
            <w:br w:type="textWrapping"/>
            <w:t xml:space="preserve">GUIDELINES (supporting guidance)</w:t>
            <w:br w:type="textWrapping"/>
            <w:br w:type="textWrapping"/>
            <w:t xml:space="preserve">Implementation evidence → monitoring → management review → policy improvement</w:t>
          </w:r>
        </w:sdtContent>
      </w:sdt>
      <w:r w:rsidDel="00000000" w:rsidR="00000000" w:rsidRPr="00000000">
        <w:rPr>
          <w:rtl w:val="0"/>
        </w:rPr>
      </w:r>
    </w:p>
    <w:p w:rsidR="00000000" w:rsidDel="00000000" w:rsidP="00000000" w:rsidRDefault="00000000" w:rsidRPr="00000000" w14:paraId="00000029">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4. Statement Categorisation</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7324d" w:val="clear"/>
            <w:vAlign w:val="center"/>
          </w:tcPr>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w:t>
            </w:r>
            <w:r w:rsidDel="00000000" w:rsidR="00000000" w:rsidRPr="00000000">
              <w:rPr>
                <w:rtl w:val="0"/>
              </w:rPr>
            </w:r>
          </w:p>
        </w:tc>
        <w:tc>
          <w:tcPr>
            <w:shd w:fill="17324d" w:val="clear"/>
            <w:vAlign w:val="center"/>
          </w:tcPr>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Classification</w:t>
            </w:r>
            <w:r w:rsidDel="00000000" w:rsidR="00000000" w:rsidRPr="00000000">
              <w:rPr>
                <w:rtl w:val="0"/>
              </w:rPr>
            </w:r>
          </w:p>
        </w:tc>
        <w:tc>
          <w:tcPr>
            <w:shd w:fill="17324d" w:val="clear"/>
            <w:vAlign w:val="center"/>
          </w:tcPr>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Statement type</w:t>
            </w:r>
            <w:r w:rsidDel="00000000" w:rsidR="00000000" w:rsidRPr="00000000">
              <w:rPr>
                <w:rtl w:val="0"/>
              </w:rPr>
            </w:r>
          </w:p>
        </w:tc>
        <w:tc>
          <w:tcPr>
            <w:shd w:fill="17324d" w:val="clear"/>
            <w:vAlign w:val="center"/>
          </w:tcPr>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Justification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2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w:t>
            </w:r>
            <w:r w:rsidDel="00000000" w:rsidR="00000000" w:rsidRPr="00000000">
              <w:rPr>
                <w:rtl w:val="0"/>
              </w:rPr>
            </w:r>
          </w:p>
        </w:tc>
        <w:tc>
          <w:tcPr>
            <w:vAlign w:val="cente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Remote access to corporate resources requires MFA.</w:t>
            </w:r>
            <w:r w:rsidDel="00000000" w:rsidR="00000000" w:rsidRPr="00000000">
              <w:rPr>
                <w:rtl w:val="0"/>
              </w:rPr>
            </w:r>
          </w:p>
        </w:tc>
        <w:tc>
          <w:tcPr>
            <w:vAlign w:val="center"/>
          </w:tcPr>
          <w:p w:rsidR="00000000" w:rsidDel="00000000" w:rsidP="00000000" w:rsidRDefault="00000000" w:rsidRPr="00000000" w14:paraId="0000003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establishes a mandatory organisational requirement without prescribing implementation steps.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3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w:t>
            </w:r>
            <w:r w:rsidDel="00000000" w:rsidR="00000000" w:rsidRPr="00000000">
              <w:rPr>
                <w:rtl w:val="0"/>
              </w:rPr>
            </w:r>
          </w:p>
        </w:tc>
        <w:tc>
          <w:tcPr>
            <w:vAlign w:val="center"/>
          </w:tcPr>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MFA mobile-device configuration steps.</w:t>
            </w:r>
            <w:r w:rsidDel="00000000" w:rsidR="00000000" w:rsidRPr="00000000">
              <w:rPr>
                <w:rtl w:val="0"/>
              </w:rPr>
            </w:r>
          </w:p>
        </w:tc>
        <w:tc>
          <w:tcPr>
            <w:vAlign w:val="center"/>
          </w:tcPr>
          <w:p w:rsidR="00000000" w:rsidDel="00000000" w:rsidP="00000000" w:rsidRDefault="00000000" w:rsidRPr="00000000" w14:paraId="0000003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gives sequential instructions for completing a specific operational task.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3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Guideline</w:t>
            </w:r>
            <w:r w:rsidDel="00000000" w:rsidR="00000000" w:rsidRPr="00000000">
              <w:rPr>
                <w:rtl w:val="0"/>
              </w:rPr>
            </w:r>
          </w:p>
        </w:tc>
        <w:tc>
          <w:tcPr>
            <w:vAlign w:val="center"/>
          </w:tcPr>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Developers are recommended to use parameterised queries.</w:t>
            </w:r>
            <w:r w:rsidDel="00000000" w:rsidR="00000000" w:rsidRPr="00000000">
              <w:rPr>
                <w:rtl w:val="0"/>
              </w:rPr>
            </w:r>
          </w:p>
        </w:tc>
        <w:tc>
          <w:tcPr>
            <w:vAlign w:val="center"/>
          </w:tcPr>
          <w:p w:rsidR="00000000" w:rsidDel="00000000" w:rsidP="00000000" w:rsidRDefault="00000000" w:rsidRPr="00000000" w14:paraId="0000003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recommends a risk-reducing practice rather than imposing a mandatory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3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w:t>
            </w:r>
            <w:r w:rsidDel="00000000" w:rsidR="00000000" w:rsidRPr="00000000">
              <w:rPr>
                <w:rtl w:val="0"/>
              </w:rPr>
            </w:r>
          </w:p>
        </w:tc>
        <w:tc>
          <w:tcPr>
            <w:vAlign w:val="center"/>
          </w:tcPr>
          <w:p w:rsidR="00000000" w:rsidDel="00000000" w:rsidP="00000000" w:rsidRDefault="00000000" w:rsidRPr="00000000" w14:paraId="0000003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NexusTech is committed to protecting confidentiality, integrity and availability.</w:t>
            </w:r>
            <w:r w:rsidDel="00000000" w:rsidR="00000000" w:rsidRPr="00000000">
              <w:rPr>
                <w:rtl w:val="0"/>
              </w:rPr>
            </w:r>
          </w:p>
        </w:tc>
        <w:tc>
          <w:tcPr>
            <w:vAlign w:val="center"/>
          </w:tcPr>
          <w:p w:rsidR="00000000" w:rsidDel="00000000" w:rsidP="00000000" w:rsidRDefault="00000000" w:rsidRPr="00000000" w14:paraId="0000003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expresses high-level organisational security intent and principles.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3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Standard</w:t>
            </w:r>
            <w:r w:rsidDel="00000000" w:rsidR="00000000" w:rsidRPr="00000000">
              <w:rPr>
                <w:rtl w:val="0"/>
              </w:rPr>
            </w:r>
          </w:p>
        </w:tc>
        <w:tc>
          <w:tcPr>
            <w:vAlign w:val="center"/>
          </w:tcPr>
          <w:p w:rsidR="00000000" w:rsidDel="00000000" w:rsidP="00000000" w:rsidRDefault="00000000" w:rsidRPr="00000000" w14:paraId="0000004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Corporate laptops must use full-disk encryption with approved platform technologies.</w:t>
            </w:r>
            <w:r w:rsidDel="00000000" w:rsidR="00000000" w:rsidRPr="00000000">
              <w:rPr>
                <w:rtl w:val="0"/>
              </w:rPr>
            </w:r>
          </w:p>
        </w:tc>
        <w:tc>
          <w:tcPr>
            <w:vAlign w:val="center"/>
          </w:tcPr>
          <w:p w:rsidR="00000000" w:rsidDel="00000000" w:rsidP="00000000" w:rsidRDefault="00000000" w:rsidRPr="00000000" w14:paraId="0000004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defines a specific, measurable mandatory technical requirement supporting security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4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Guideline</w:t>
            </w:r>
            <w:r w:rsidDel="00000000" w:rsidR="00000000" w:rsidRPr="00000000">
              <w:rPr>
                <w:rtl w:val="0"/>
              </w:rPr>
            </w:r>
          </w:p>
        </w:tc>
        <w:tc>
          <w:tcPr>
            <w:vAlign w:val="center"/>
          </w:tcPr>
          <w:p w:rsidR="00000000" w:rsidDel="00000000" w:rsidP="00000000" w:rsidRDefault="00000000" w:rsidRPr="00000000" w14:paraId="0000004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Employees should avoid public, unsecured Wi-Fi when travelling.</w:t>
            </w:r>
            <w:r w:rsidDel="00000000" w:rsidR="00000000" w:rsidRPr="00000000">
              <w:rPr>
                <w:rtl w:val="0"/>
              </w:rPr>
            </w:r>
          </w:p>
        </w:tc>
        <w:tc>
          <w:tcPr>
            <w:vAlign w:val="center"/>
          </w:tcPr>
          <w:p w:rsidR="00000000" w:rsidDel="00000000" w:rsidP="00000000" w:rsidRDefault="00000000" w:rsidRPr="00000000" w14:paraId="0000004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provides recommended user behaviour without prescribing an absolute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4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w:t>
            </w:r>
            <w:r w:rsidDel="00000000" w:rsidR="00000000" w:rsidRPr="00000000">
              <w:rPr>
                <w:rtl w:val="0"/>
              </w:rPr>
            </w:r>
          </w:p>
        </w:tc>
        <w:tc>
          <w:tcPr>
            <w:vAlign w:val="center"/>
          </w:tcPr>
          <w:p w:rsidR="00000000" w:rsidDel="00000000" w:rsidP="00000000" w:rsidRDefault="00000000" w:rsidRPr="00000000" w14:paraId="0000004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Suspected breaches must be reported to the Helpdesk using the stated channel.</w:t>
            </w:r>
            <w:r w:rsidDel="00000000" w:rsidR="00000000" w:rsidRPr="00000000">
              <w:rPr>
                <w:rtl w:val="0"/>
              </w:rPr>
            </w:r>
          </w:p>
        </w:tc>
        <w:tc>
          <w:tcPr>
            <w:vAlign w:val="center"/>
          </w:tcPr>
          <w:p w:rsidR="00000000" w:rsidDel="00000000" w:rsidP="00000000" w:rsidRDefault="00000000" w:rsidRPr="00000000" w14:paraId="0000004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defines an immediate operational action and reporting route following an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4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Standard</w:t>
            </w:r>
            <w:r w:rsidDel="00000000" w:rsidR="00000000" w:rsidRPr="00000000">
              <w:rPr>
                <w:rtl w:val="0"/>
              </w:rPr>
            </w:r>
          </w:p>
        </w:tc>
        <w:tc>
          <w:tcPr>
            <w:vAlign w:val="center"/>
          </w:tcPr>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Passwords must meet a defined length and complexity threshold.</w:t>
            </w:r>
            <w:r w:rsidDel="00000000" w:rsidR="00000000" w:rsidRPr="00000000">
              <w:rPr>
                <w:rtl w:val="0"/>
              </w:rPr>
            </w:r>
          </w:p>
        </w:tc>
        <w:tc>
          <w:tcPr>
            <w:vAlign w:val="center"/>
          </w:tcPr>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sets measurable mandatory authentication requirements rather than describing process steps.</w:t>
            </w:r>
            <w:r w:rsidDel="00000000" w:rsidR="00000000" w:rsidRPr="00000000">
              <w:rPr>
                <w:rtl w:val="0"/>
              </w:rPr>
            </w:r>
          </w:p>
        </w:tc>
      </w:tr>
    </w:tbl>
    <w:p w:rsidR="00000000" w:rsidDel="00000000" w:rsidP="00000000" w:rsidRDefault="00000000" w:rsidRPr="00000000" w14:paraId="0000004E">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5. Lifecycle Application</w:t>
      </w:r>
      <w:r w:rsidDel="00000000" w:rsidR="00000000" w:rsidRPr="00000000">
        <w:rPr>
          <w:rtl w:val="0"/>
        </w:rPr>
      </w:r>
    </w:p>
    <w:p w:rsidR="00000000" w:rsidDel="00000000" w:rsidP="00000000" w:rsidRDefault="00000000" w:rsidRPr="00000000" w14:paraId="0000004F">
      <w:pPr>
        <w:rPr>
          <w:rFonts w:ascii="Garamond" w:cs="Garamond" w:eastAsia="Garamond" w:hAnsi="Garamond"/>
        </w:rPr>
      </w:pPr>
      <w:sdt>
        <w:sdtPr>
          <w:id w:val="1251780"/>
          <w:tag w:val="goog_rdk_2"/>
        </w:sdtPr>
        <w:sdtContent>
          <w:r w:rsidDel="00000000" w:rsidR="00000000" w:rsidRPr="00000000">
            <w:rPr>
              <w:rFonts w:ascii="Cardo" w:cs="Cardo" w:eastAsia="Cardo" w:hAnsi="Cardo"/>
              <w:rtl w:val="0"/>
            </w:rPr>
            <w:t xml:space="preserve">NexusTech should manage each document through a controlled lifecycle: identify business/regulatory drivers → assess risk and requirements → draft → consult stakeholders → review and approve → publish and communicate → implement → monitor compliance and effectiveness → review after defined intervals or trigger events → revise, approve and retire superseded versions. This prevents the former five-year-old “IT Rules” document from becoming a static repository of mixed requirements.</w:t>
          </w:r>
        </w:sdtContent>
      </w:sdt>
    </w:p>
    <w:p w:rsidR="00000000" w:rsidDel="00000000" w:rsidP="00000000" w:rsidRDefault="00000000" w:rsidRPr="00000000" w14:paraId="00000050">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6. Governance Outcome</w:t>
      </w:r>
      <w:r w:rsidDel="00000000" w:rsidR="00000000" w:rsidRPr="00000000">
        <w:rPr>
          <w:rtl w:val="0"/>
        </w:rPr>
      </w:r>
    </w:p>
    <w:p w:rsidR="00000000" w:rsidDel="00000000" w:rsidP="00000000" w:rsidRDefault="00000000" w:rsidRPr="00000000" w14:paraId="00000051">
      <w:pPr>
        <w:rPr>
          <w:rFonts w:ascii="Garamond" w:cs="Garamond" w:eastAsia="Garamond" w:hAnsi="Garamond"/>
        </w:rPr>
      </w:pPr>
      <w:r w:rsidDel="00000000" w:rsidR="00000000" w:rsidRPr="00000000">
        <w:rPr>
          <w:rFonts w:ascii="Garamond" w:cs="Garamond" w:eastAsia="Garamond" w:hAnsi="Garamond"/>
          <w:rtl w:val="0"/>
        </w:rPr>
        <w:t xml:space="preserve">The framework gives each requirement a clear home, owner, authority level and maintenance path. It also supports evidence generation for an ISMS and control environment without treating ISO/IEC 27001, NIST CSF or SOC 2 as identical frameworks.</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b6770"/>
        <w:sz w:val="16"/>
        <w:szCs w:val="16"/>
        <w:u w:val="none"/>
        <w:shd w:fill="auto" w:val="clear"/>
        <w:vertAlign w:val="baseline"/>
        <w:rtl w:val="0"/>
      </w:rPr>
      <w:t xml:space="preserve">NexusTech Solutions — Information Security Policy Framework | Confidential — Training Simulation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We7kNeETDF/sK1j8nKDAMWtA==">CgMxLjAaHwoBMBIaChgICVIUChJ0YWJsZS5tZW1yeHZhb3NpZmMaHAoBMRIXChUIB0IRCghHYXJhbW9uZBIFQ2FyZG8aHAoBMhIXChUIB0IRCghHYXJhbW9uZBIFQ2FyZG84AHIhMXYyRjY3SkJsc0FyR2d0S0Z5VmRnTmx0MUVkUjMxcldv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