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color w:val="17324d"/>
        </w:rPr>
      </w:pPr>
      <w:r w:rsidDel="00000000" w:rsidR="00000000" w:rsidRPr="00000000">
        <w:rPr>
          <w:rtl w:val="0"/>
        </w:rPr>
      </w:r>
    </w:p>
    <w:sdt>
      <w:sdtPr>
        <w:lock w:val="contentLocked"/>
        <w:id w:val="2048154397"/>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6">
      <w:pPr>
        <w:rPr>
          <w:rFonts w:ascii="Play" w:cs="Play" w:eastAsia="Play" w:hAnsi="Play"/>
          <w:b w:val="1"/>
          <w:bCs w:val="1"/>
          <w:color w:val="17324d"/>
          <w:sz w:val="50"/>
          <w:szCs w:val="50"/>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Play" w:cs="Play" w:eastAsia="Play" w:hAnsi="Play"/>
          <w:b w:val="1"/>
          <w:bCs w:val="1"/>
          <w:color w:val="17324d"/>
          <w:sz w:val="50"/>
          <w:szCs w:val="50"/>
          <w:rtl w:val="0"/>
        </w:rPr>
        <w:t xml:space="preserve">Evidence Bundle 4</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b6770"/>
          <w:sz w:val="22"/>
          <w:szCs w:val="22"/>
          <w:rtl w:val="0"/>
        </w:rPr>
        <w:t xml:space="preserve">AUP Communication &amp; Training Plan</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1. Rollout Objective</w:t>
      </w: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rtl w:val="0"/>
        </w:rPr>
        <w:t xml:space="preserve">The rollout will move the AUP from an approved document to understood and evidenced behaviour. Communication will be role-specific, training will be mandatory for in-scope personnel, and effectiveness will be measured rather than assumed from email delivery.</w:t>
      </w:r>
    </w:p>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2. Communication and Training Plan</w:t>
      </w:r>
      <w:r w:rsidDel="00000000" w:rsidR="00000000" w:rsidRPr="00000000">
        <w:rPr>
          <w:rtl w:val="0"/>
        </w:rPr>
      </w:r>
    </w:p>
    <w:tbl>
      <w:tblPr>
        <w:tblStyle w:val="Table2"/>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17324d" w:val="clear"/>
            <w:vAlign w:val="center"/>
          </w:tcPr>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Audience</w:t>
            </w:r>
            <w:r w:rsidDel="00000000" w:rsidR="00000000" w:rsidRPr="00000000">
              <w:rPr>
                <w:rtl w:val="0"/>
              </w:rPr>
            </w:r>
          </w:p>
        </w:tc>
        <w:tc>
          <w:tcPr>
            <w:shd w:fill="17324d" w:val="clear"/>
            <w:vAlign w:val="center"/>
          </w:tcPr>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Key message</w:t>
            </w:r>
            <w:r w:rsidDel="00000000" w:rsidR="00000000" w:rsidRPr="00000000">
              <w:rPr>
                <w:rtl w:val="0"/>
              </w:rPr>
            </w:r>
          </w:p>
        </w:tc>
        <w:tc>
          <w:tcPr>
            <w:shd w:fill="17324d" w:val="clear"/>
            <w:vAlign w:val="center"/>
          </w:tcPr>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Channel</w:t>
            </w:r>
            <w:r w:rsidDel="00000000" w:rsidR="00000000" w:rsidRPr="00000000">
              <w:rPr>
                <w:rtl w:val="0"/>
              </w:rPr>
            </w:r>
          </w:p>
        </w:tc>
        <w:tc>
          <w:tcPr>
            <w:shd w:fill="17324d" w:val="clear"/>
            <w:vAlign w:val="center"/>
          </w:tcPr>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Owner</w:t>
            </w:r>
            <w:r w:rsidDel="00000000" w:rsidR="00000000" w:rsidRPr="00000000">
              <w:rPr>
                <w:rtl w:val="0"/>
              </w:rPr>
            </w:r>
          </w:p>
        </w:tc>
        <w:tc>
          <w:tcPr>
            <w:shd w:fill="17324d" w:val="clea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Timing</w:t>
            </w:r>
            <w:r w:rsidDel="00000000" w:rsidR="00000000" w:rsidRPr="00000000">
              <w:rPr>
                <w:rtl w:val="0"/>
              </w:rPr>
            </w:r>
          </w:p>
        </w:tc>
        <w:tc>
          <w:tcPr>
            <w:shd w:fill="17324d" w:val="clea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Acknowledgement</w:t>
            </w:r>
            <w:r w:rsidDel="00000000" w:rsidR="00000000" w:rsidRPr="00000000">
              <w:rPr>
                <w:rtl w:val="0"/>
              </w:rPr>
            </w:r>
          </w:p>
        </w:tc>
        <w:tc>
          <w:tcPr>
            <w:shd w:fill="17324d" w:val="clear"/>
            <w:vAlign w:val="center"/>
          </w:tcPr>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Success measure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General employees</w:t>
            </w:r>
            <w:r w:rsidDel="00000000" w:rsidR="00000000" w:rsidRPr="00000000">
              <w:rPr>
                <w:rtl w:val="0"/>
              </w:rPr>
            </w:r>
          </w:p>
        </w:tc>
        <w:tc>
          <w:tcPr>
            <w:vAlign w:val="center"/>
          </w:tcPr>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What acceptable use means; prohibited activities; personal cloud/software restrictions; incident reporting.</w:t>
            </w:r>
            <w:r w:rsidDel="00000000" w:rsidR="00000000" w:rsidRPr="00000000">
              <w:rPr>
                <w:rtl w:val="0"/>
              </w:rPr>
            </w:r>
          </w:p>
        </w:tc>
        <w:tc>
          <w:tcPr>
            <w:vAlign w:val="center"/>
          </w:tcPr>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All-hands launch; email; intranet; mandatory e-learning.</w:t>
            </w:r>
            <w:r w:rsidDel="00000000" w:rsidR="00000000" w:rsidRPr="00000000">
              <w:rPr>
                <w:rtl w:val="0"/>
              </w:rPr>
            </w:r>
          </w:p>
        </w:tc>
        <w:tc>
          <w:tcPr>
            <w:vAlign w:val="center"/>
          </w:tcPr>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1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1–7</w:t>
            </w:r>
            <w:r w:rsidDel="00000000" w:rsidR="00000000" w:rsidRPr="00000000">
              <w:rPr>
                <w:rtl w:val="0"/>
              </w:rPr>
            </w:r>
          </w:p>
        </w:tc>
        <w:tc>
          <w:tcPr>
            <w:vAlign w:val="center"/>
          </w:tcPr>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Digital attestation after module</w:t>
            </w:r>
            <w:r w:rsidDel="00000000" w:rsidR="00000000" w:rsidRPr="00000000">
              <w:rPr>
                <w:rtl w:val="0"/>
              </w:rPr>
            </w:r>
          </w:p>
        </w:tc>
        <w:tc>
          <w:tcPr>
            <w:vAlign w:val="center"/>
          </w:tcPr>
          <w:p w:rsidR="00000000" w:rsidDel="00000000" w:rsidP="00000000" w:rsidRDefault="00000000" w:rsidRPr="00000000" w14:paraId="0000001A">
            <w:pPr>
              <w:rPr>
                <w:rFonts w:ascii="Garamond" w:cs="Garamond" w:eastAsia="Garamond" w:hAnsi="Garamond"/>
              </w:rPr>
            </w:pPr>
            <w:sdt>
              <w:sdtPr>
                <w:id w:val="-1623255748"/>
                <w:tag w:val="goog_rdk_1"/>
              </w:sdtPr>
              <w:sdtContent>
                <w:r w:rsidDel="00000000" w:rsidR="00000000" w:rsidRPr="00000000">
                  <w:rPr>
                    <w:rFonts w:ascii="Gungsuh" w:cs="Gungsuh" w:eastAsia="Gungsuh" w:hAnsi="Gungsuh"/>
                    <w:color w:val="1f2933"/>
                    <w:sz w:val="17"/>
                    <w:szCs w:val="17"/>
                    <w:rtl w:val="0"/>
                  </w:rPr>
                  <w:t xml:space="preserve">≥95% completion and ≥90% knowledge-check pass rate.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 Helpdesk</w:t>
            </w:r>
            <w:r w:rsidDel="00000000" w:rsidR="00000000" w:rsidRPr="00000000">
              <w:rPr>
                <w:rtl w:val="0"/>
              </w:rPr>
            </w:r>
          </w:p>
        </w:tc>
        <w:tc>
          <w:tcPr>
            <w:vAlign w:val="center"/>
          </w:tcPr>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AUP technical implications; access, software, endpoint and incident-reporting expectations.</w:t>
            </w:r>
            <w:r w:rsidDel="00000000" w:rsidR="00000000" w:rsidRPr="00000000">
              <w:rPr>
                <w:rtl w:val="0"/>
              </w:rPr>
            </w:r>
          </w:p>
        </w:tc>
        <w:tc>
          <w:tcPr>
            <w:vAlign w:val="center"/>
          </w:tcPr>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Technical briefing; procedure walkthrough; LMS module.</w:t>
            </w:r>
            <w:r w:rsidDel="00000000" w:rsidR="00000000" w:rsidRPr="00000000">
              <w:rPr>
                <w:rtl w:val="0"/>
              </w:rPr>
            </w:r>
          </w:p>
        </w:tc>
        <w:tc>
          <w:tcPr>
            <w:vAlign w:val="center"/>
          </w:tcPr>
          <w:p w:rsidR="00000000" w:rsidDel="00000000" w:rsidP="00000000" w:rsidRDefault="00000000" w:rsidRPr="00000000" w14:paraId="0000001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 IT Director</w:t>
            </w:r>
            <w:r w:rsidDel="00000000" w:rsidR="00000000" w:rsidRPr="00000000">
              <w:rPr>
                <w:rtl w:val="0"/>
              </w:rPr>
            </w:r>
          </w:p>
        </w:tc>
        <w:tc>
          <w:tcPr>
            <w:vAlign w:val="center"/>
          </w:tcPr>
          <w:p w:rsidR="00000000" w:rsidDel="00000000" w:rsidP="00000000" w:rsidRDefault="00000000" w:rsidRPr="00000000" w14:paraId="0000001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3–10</w:t>
            </w:r>
            <w:r w:rsidDel="00000000" w:rsidR="00000000" w:rsidRPr="00000000">
              <w:rPr>
                <w:rtl w:val="0"/>
              </w:rPr>
            </w:r>
          </w:p>
        </w:tc>
        <w:tc>
          <w:tcPr>
            <w:vAlign w:val="center"/>
          </w:tcPr>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Training attendance + attestation</w:t>
            </w:r>
            <w:r w:rsidDel="00000000" w:rsidR="00000000" w:rsidRPr="00000000">
              <w:rPr>
                <w:rtl w:val="0"/>
              </w:rPr>
            </w:r>
          </w:p>
        </w:tc>
        <w:tc>
          <w:tcPr>
            <w:vAlign w:val="center"/>
          </w:tcPr>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100% completion; 100% of sampled tickets align with procedure.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Managers</w:t>
            </w:r>
            <w:r w:rsidDel="00000000" w:rsidR="00000000" w:rsidRPr="00000000">
              <w:rPr>
                <w:rtl w:val="0"/>
              </w:rPr>
            </w:r>
          </w:p>
        </w:tc>
        <w:tc>
          <w:tcPr>
            <w:vAlign w:val="center"/>
          </w:tcPr>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Manager accountability; approvals; escalation; handling repeated non-compliance.</w:t>
            </w:r>
            <w:r w:rsidDel="00000000" w:rsidR="00000000" w:rsidRPr="00000000">
              <w:rPr>
                <w:rtl w:val="0"/>
              </w:rPr>
            </w:r>
          </w:p>
        </w:tc>
        <w:tc>
          <w:tcPr>
            <w:vAlign w:val="center"/>
          </w:tcPr>
          <w:p w:rsidR="00000000" w:rsidDel="00000000" w:rsidP="00000000" w:rsidRDefault="00000000" w:rsidRPr="00000000" w14:paraId="0000002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Manager briefing; intranet manager pack; email.</w:t>
            </w:r>
            <w:r w:rsidDel="00000000" w:rsidR="00000000" w:rsidRPr="00000000">
              <w:rPr>
                <w:rtl w:val="0"/>
              </w:rPr>
            </w:r>
          </w:p>
        </w:tc>
        <w:tc>
          <w:tcPr>
            <w:vAlign w:val="center"/>
          </w:tcPr>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5–10</w:t>
            </w:r>
            <w:r w:rsidDel="00000000" w:rsidR="00000000" w:rsidRPr="00000000">
              <w:rPr>
                <w:rtl w:val="0"/>
              </w:rPr>
            </w:r>
          </w:p>
        </w:tc>
        <w:tc>
          <w:tcPr>
            <w:vAlign w:val="center"/>
          </w:tcPr>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Manager acknowledgement</w:t>
            </w:r>
            <w:r w:rsidDel="00000000" w:rsidR="00000000" w:rsidRPr="00000000">
              <w:rPr>
                <w:rtl w:val="0"/>
              </w:rPr>
            </w:r>
          </w:p>
        </w:tc>
        <w:tc>
          <w:tcPr>
            <w:vAlign w:val="center"/>
          </w:tcPr>
          <w:p w:rsidR="00000000" w:rsidDel="00000000" w:rsidP="00000000" w:rsidRDefault="00000000" w:rsidRPr="00000000" w14:paraId="00000028">
            <w:pPr>
              <w:rPr>
                <w:rFonts w:ascii="Garamond" w:cs="Garamond" w:eastAsia="Garamond" w:hAnsi="Garamond"/>
              </w:rPr>
            </w:pPr>
            <w:sdt>
              <w:sdtPr>
                <w:id w:val="106304831"/>
                <w:tag w:val="goog_rdk_2"/>
              </w:sdtPr>
              <w:sdtContent>
                <w:r w:rsidDel="00000000" w:rsidR="00000000" w:rsidRPr="00000000">
                  <w:rPr>
                    <w:rFonts w:ascii="Gungsuh" w:cs="Gungsuh" w:eastAsia="Gungsuh" w:hAnsi="Gungsuh"/>
                    <w:color w:val="1f2933"/>
                    <w:sz w:val="17"/>
                    <w:szCs w:val="17"/>
                    <w:rtl w:val="0"/>
                  </w:rPr>
                  <w:t xml:space="preserve">≥95% acknowledgement; escalation routes understood.</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HR / People team</w:t>
            </w:r>
            <w:r w:rsidDel="00000000" w:rsidR="00000000" w:rsidRPr="00000000">
              <w:rPr>
                <w:rtl w:val="0"/>
              </w:rPr>
            </w:r>
          </w:p>
        </w:tc>
        <w:tc>
          <w:tcPr>
            <w:vAlign w:val="center"/>
          </w:tcPr>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breach handling, retraining and disciplinary escalation.</w:t>
            </w:r>
            <w:r w:rsidDel="00000000" w:rsidR="00000000" w:rsidRPr="00000000">
              <w:rPr>
                <w:rtl w:val="0"/>
              </w:rPr>
            </w:r>
          </w:p>
        </w:tc>
        <w:tc>
          <w:tcPr>
            <w:vAlign w:val="center"/>
          </w:tcPr>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HR workshop; policy pack.</w:t>
            </w:r>
            <w:r w:rsidDel="00000000" w:rsidR="00000000" w:rsidRPr="00000000">
              <w:rPr>
                <w:rtl w:val="0"/>
              </w:rPr>
            </w:r>
          </w:p>
        </w:tc>
        <w:tc>
          <w:tcPr>
            <w:vAlign w:val="center"/>
          </w:tcPr>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5–10</w:t>
            </w:r>
            <w:r w:rsidDel="00000000" w:rsidR="00000000" w:rsidRPr="00000000">
              <w:rPr>
                <w:rtl w:val="0"/>
              </w:rPr>
            </w:r>
          </w:p>
        </w:tc>
        <w:tc>
          <w:tcPr>
            <w:vAlign w:val="center"/>
          </w:tcPr>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Acknowledgement</w:t>
            </w:r>
            <w:r w:rsidDel="00000000" w:rsidR="00000000" w:rsidRPr="00000000">
              <w:rPr>
                <w:rtl w:val="0"/>
              </w:rPr>
            </w:r>
          </w:p>
        </w:tc>
        <w:tc>
          <w:tcP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100% completion; documented escalation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New joiners</w:t>
            </w:r>
            <w:r w:rsidDel="00000000" w:rsidR="00000000" w:rsidRPr="00000000">
              <w:rPr>
                <w:rtl w:val="0"/>
              </w:rPr>
            </w:r>
          </w:p>
        </w:tc>
        <w:tc>
          <w:tcPr>
            <w:vAlign w:val="center"/>
          </w:tcPr>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Core AUP expectations before system access or within onboarding window.</w:t>
            </w:r>
            <w:r w:rsidDel="00000000" w:rsidR="00000000" w:rsidRPr="00000000">
              <w:rPr>
                <w:rtl w:val="0"/>
              </w:rPr>
            </w:r>
          </w:p>
        </w:tc>
        <w:tc>
          <w:tcPr>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Onboarding LMS + acknowledgement.</w:t>
            </w:r>
            <w:r w:rsidDel="00000000" w:rsidR="00000000" w:rsidRPr="00000000">
              <w:rPr>
                <w:rtl w:val="0"/>
              </w:rPr>
            </w:r>
          </w:p>
        </w:tc>
        <w:tc>
          <w:tcPr>
            <w:vAlign w:val="center"/>
          </w:tcPr>
          <w:p w:rsidR="00000000" w:rsidDel="00000000" w:rsidP="00000000" w:rsidRDefault="00000000" w:rsidRPr="00000000" w14:paraId="0000003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HR + IT</w:t>
            </w:r>
            <w:r w:rsidDel="00000000" w:rsidR="00000000" w:rsidRPr="00000000">
              <w:rPr>
                <w:rtl w:val="0"/>
              </w:rPr>
            </w:r>
          </w:p>
        </w:tc>
        <w:tc>
          <w:tcPr>
            <w:vAlign w:val="cente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Ongoing</w:t>
            </w:r>
            <w:r w:rsidDel="00000000" w:rsidR="00000000" w:rsidRPr="00000000">
              <w:rPr>
                <w:rtl w:val="0"/>
              </w:rPr>
            </w:r>
          </w:p>
        </w:tc>
        <w:tc>
          <w:tcP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Electronic attestation</w:t>
            </w:r>
            <w:r w:rsidDel="00000000" w:rsidR="00000000" w:rsidRPr="00000000">
              <w:rPr>
                <w:rtl w:val="0"/>
              </w:rPr>
            </w:r>
          </w:p>
        </w:tc>
        <w:tc>
          <w:tcPr>
            <w:vAlign w:val="center"/>
          </w:tcPr>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100% acknowledgement before/at onboarding checkpoint.</w:t>
            </w:r>
            <w:r w:rsidDel="00000000" w:rsidR="00000000" w:rsidRPr="00000000">
              <w:rPr>
                <w:rtl w:val="0"/>
              </w:rPr>
            </w:r>
          </w:p>
        </w:tc>
      </w:tr>
    </w:tbl>
    <w:p w:rsidR="00000000" w:rsidDel="00000000" w:rsidP="00000000" w:rsidRDefault="00000000" w:rsidRPr="00000000" w14:paraId="00000037">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3. Rollout Timeline</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Timing</w:t>
            </w:r>
            <w:r w:rsidDel="00000000" w:rsidR="00000000" w:rsidRPr="00000000">
              <w:rPr>
                <w:rtl w:val="0"/>
              </w:rPr>
            </w:r>
          </w:p>
        </w:tc>
        <w:tc>
          <w:tcPr>
            <w:shd w:fill="17324d" w:val="clear"/>
            <w:vAlign w:val="center"/>
          </w:tcPr>
          <w:p w:rsidR="00000000" w:rsidDel="00000000" w:rsidP="00000000" w:rsidRDefault="00000000" w:rsidRPr="00000000" w14:paraId="00000039">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Activity</w:t>
            </w:r>
            <w:r w:rsidDel="00000000" w:rsidR="00000000" w:rsidRPr="00000000">
              <w:rPr>
                <w:rtl w:val="0"/>
              </w:rPr>
            </w:r>
          </w:p>
        </w:tc>
        <w:tc>
          <w:tcPr>
            <w:shd w:fill="17324d" w:val="clear"/>
            <w:vAlign w:val="center"/>
          </w:tcPr>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1</w:t>
            </w:r>
            <w:r w:rsidDel="00000000" w:rsidR="00000000" w:rsidRPr="00000000">
              <w:rPr>
                <w:rtl w:val="0"/>
              </w:rPr>
            </w:r>
          </w:p>
        </w:tc>
        <w:tc>
          <w:tcPr>
            <w:vAlign w:val="center"/>
          </w:tcPr>
          <w:p w:rsidR="00000000" w:rsidDel="00000000" w:rsidP="00000000" w:rsidRDefault="00000000" w:rsidRPr="00000000" w14:paraId="0000003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CEO announcement and intranet publication</w:t>
            </w:r>
            <w:r w:rsidDel="00000000" w:rsidR="00000000" w:rsidRPr="00000000">
              <w:rPr>
                <w:rtl w:val="0"/>
              </w:rPr>
            </w:r>
          </w:p>
        </w:tc>
        <w:tc>
          <w:tcPr>
            <w:vAlign w:val="center"/>
          </w:tcPr>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Visible executive sponsorship and published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Days 2–7</w:t>
            </w:r>
            <w:r w:rsidDel="00000000" w:rsidR="00000000" w:rsidRPr="00000000">
              <w:rPr>
                <w:rtl w:val="0"/>
              </w:rPr>
            </w:r>
          </w:p>
        </w:tc>
        <w:tc>
          <w:tcPr>
            <w:vAlign w:val="center"/>
          </w:tcPr>
          <w:p w:rsidR="00000000" w:rsidDel="00000000" w:rsidP="00000000" w:rsidRDefault="00000000" w:rsidRPr="00000000" w14:paraId="0000003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 learning module and knowledge check</w:t>
            </w:r>
            <w:r w:rsidDel="00000000" w:rsidR="00000000" w:rsidRPr="00000000">
              <w:rPr>
                <w:rtl w:val="0"/>
              </w:rPr>
            </w:r>
          </w:p>
        </w:tc>
        <w:tc>
          <w:tcPr>
            <w:vAlign w:val="center"/>
          </w:tcPr>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Training records and assessment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Days 3–10</w:t>
            </w:r>
            <w:r w:rsidDel="00000000" w:rsidR="00000000" w:rsidRPr="00000000">
              <w:rPr>
                <w:rtl w:val="0"/>
              </w:rPr>
            </w:r>
          </w:p>
        </w:tc>
        <w:tc>
          <w:tcPr>
            <w:vAlign w:val="center"/>
          </w:tcPr>
          <w:p w:rsidR="00000000" w:rsidDel="00000000" w:rsidP="00000000" w:rsidRDefault="00000000" w:rsidRPr="00000000" w14:paraId="0000004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and manager role-based sessions</w:t>
            </w:r>
            <w:r w:rsidDel="00000000" w:rsidR="00000000" w:rsidRPr="00000000">
              <w:rPr>
                <w:rtl w:val="0"/>
              </w:rPr>
            </w:r>
          </w:p>
        </w:tc>
        <w:tc>
          <w:tcPr>
            <w:vAlign w:val="center"/>
          </w:tcPr>
          <w:p w:rsidR="00000000" w:rsidDel="00000000" w:rsidP="00000000" w:rsidRDefault="00000000" w:rsidRPr="00000000" w14:paraId="0000004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Role-specific understanding and attendance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10</w:t>
            </w:r>
            <w:r w:rsidDel="00000000" w:rsidR="00000000" w:rsidRPr="00000000">
              <w:rPr>
                <w:rtl w:val="0"/>
              </w:rPr>
            </w:r>
          </w:p>
        </w:tc>
        <w:tc>
          <w:tcPr>
            <w:vAlign w:val="center"/>
          </w:tcPr>
          <w:p w:rsidR="00000000" w:rsidDel="00000000" w:rsidP="00000000" w:rsidRDefault="00000000" w:rsidRPr="00000000" w14:paraId="0000004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Attestation deadline and exception follow-up</w:t>
            </w:r>
            <w:r w:rsidDel="00000000" w:rsidR="00000000" w:rsidRPr="00000000">
              <w:rPr>
                <w:rtl w:val="0"/>
              </w:rPr>
            </w:r>
          </w:p>
        </w:tc>
        <w:tc>
          <w:tcPr>
            <w:vAlign w:val="center"/>
          </w:tcPr>
          <w:p w:rsidR="00000000" w:rsidDel="00000000" w:rsidP="00000000" w:rsidRDefault="00000000" w:rsidRPr="00000000" w14:paraId="0000004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Signed/digital acknowledgements; exception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Days 11–30</w:t>
            </w:r>
            <w:r w:rsidDel="00000000" w:rsidR="00000000" w:rsidRPr="00000000">
              <w:rPr>
                <w:rtl w:val="0"/>
              </w:rPr>
            </w:r>
          </w:p>
        </w:tc>
        <w:tc>
          <w:tcPr>
            <w:vAlign w:val="center"/>
          </w:tcPr>
          <w:p w:rsidR="00000000" w:rsidDel="00000000" w:rsidP="00000000" w:rsidRDefault="00000000" w:rsidRPr="00000000" w14:paraId="0000004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Targeted reminders and remediation</w:t>
            </w:r>
            <w:r w:rsidDel="00000000" w:rsidR="00000000" w:rsidRPr="00000000">
              <w:rPr>
                <w:rtl w:val="0"/>
              </w:rPr>
            </w:r>
          </w:p>
        </w:tc>
        <w:tc>
          <w:tcPr>
            <w:vAlign w:val="center"/>
          </w:tcPr>
          <w:p w:rsidR="00000000" w:rsidDel="00000000" w:rsidP="00000000" w:rsidRDefault="00000000" w:rsidRPr="00000000" w14:paraId="0000004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Outstanding completion closed; repeat issues identified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Day 30</w:t>
            </w:r>
            <w:r w:rsidDel="00000000" w:rsidR="00000000" w:rsidRPr="00000000">
              <w:rPr>
                <w:rtl w:val="0"/>
              </w:rPr>
            </w:r>
          </w:p>
        </w:tc>
        <w:tc>
          <w:tcPr>
            <w:vAlign w:val="center"/>
          </w:tcPr>
          <w:p w:rsidR="00000000" w:rsidDel="00000000" w:rsidP="00000000" w:rsidRDefault="00000000" w:rsidRPr="00000000" w14:paraId="0000004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Effectiveness review</w:t>
            </w:r>
            <w:r w:rsidDel="00000000" w:rsidR="00000000" w:rsidRPr="00000000">
              <w:rPr>
                <w:rtl w:val="0"/>
              </w:rPr>
            </w:r>
          </w:p>
        </w:tc>
        <w:tc>
          <w:tcPr>
            <w:vAlign w:val="center"/>
          </w:tcPr>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Completion, acknowledgement, knowledge and incident trends reported</w:t>
            </w:r>
            <w:r w:rsidDel="00000000" w:rsidR="00000000" w:rsidRPr="00000000">
              <w:rPr>
                <w:rtl w:val="0"/>
              </w:rPr>
            </w:r>
          </w:p>
        </w:tc>
      </w:tr>
    </w:tbl>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4. Non-Compliance and Escalation</w:t>
      </w:r>
      <w:r w:rsidDel="00000000" w:rsidR="00000000" w:rsidRPr="00000000">
        <w:rPr>
          <w:rtl w:val="0"/>
        </w:rPr>
      </w:r>
    </w:p>
    <w:p w:rsidR="00000000" w:rsidDel="00000000" w:rsidP="00000000" w:rsidRDefault="00000000" w:rsidRPr="00000000" w14:paraId="0000004E">
      <w:pPr>
        <w:rPr>
          <w:rFonts w:ascii="Garamond" w:cs="Garamond" w:eastAsia="Garamond" w:hAnsi="Garamond"/>
        </w:rPr>
      </w:pPr>
      <w:r w:rsidDel="00000000" w:rsidR="00000000" w:rsidRPr="00000000">
        <w:rPr>
          <w:rFonts w:ascii="Garamond" w:cs="Garamond" w:eastAsia="Garamond" w:hAnsi="Garamond"/>
          <w:rtl w:val="0"/>
        </w:rPr>
        <w:t xml:space="preserve">Outstanding training or attestation after the deadline will trigger automated reminders, followed by manager escalation. Repeated misunderstanding will result in targeted retraining. Suspected deliberate or material AUP violations will be handled through the security investigation and HR/management escalation process rather than treated as a training-completion issue.</w:t>
      </w:r>
    </w:p>
    <w:p w:rsidR="00000000" w:rsidDel="00000000" w:rsidP="00000000" w:rsidRDefault="00000000" w:rsidRPr="00000000" w14:paraId="0000004F">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5. Effectiveness Measures</w:t>
      </w:r>
      <w:r w:rsidDel="00000000" w:rsidR="00000000" w:rsidRPr="00000000">
        <w:rPr>
          <w:rtl w:val="0"/>
        </w:rPr>
      </w:r>
    </w:p>
    <w:p w:rsidR="00000000" w:rsidDel="00000000" w:rsidP="00000000" w:rsidRDefault="00000000" w:rsidRPr="00000000" w14:paraId="00000050">
      <w:pPr>
        <w:rPr>
          <w:rFonts w:ascii="Garamond" w:cs="Garamond" w:eastAsia="Garamond" w:hAnsi="Garamond"/>
        </w:rPr>
      </w:pPr>
      <w:r w:rsidDel="00000000" w:rsidR="00000000" w:rsidRPr="00000000">
        <w:rPr>
          <w:rFonts w:ascii="Garamond" w:cs="Garamond" w:eastAsia="Garamond" w:hAnsi="Garamond"/>
          <w:rtl w:val="0"/>
        </w:rPr>
        <w:t xml:space="preserve">Core measures: training completion rate; acknowledgement/attestation rate; knowledge-check pass rate; number and type of AUP-related incidents; repeat incidents after remediation; and a sample of operational evidence such as software-installation or access tickets. Results should be reviewed after rollout and incorporated into the next policy review.</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ungsuh"/>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kyLix1hvm94sn795Gqrij95dYQ==">CgMxLjAaHwoBMBIaChgICVIUChJ0YWJsZS5tZW1yeHZhb3NpZmMaHgoBMRIZChcIB0ITCghHYXJhbW9uZBIHR3VuZ3N1aBoeCgEyEhkKFwgHQhMKCEdhcmFtb25kEgdHdW5nc3VoOAByITFobWEzNFVnZi1BUjdNS2NEV0paX2xtWnl3NDBzRjlPWA==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