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aramond" w:cs="Garamond" w:eastAsia="Garamond" w:hAnsi="Garamond"/>
          <w:b w:val="1"/>
          <w:bCs w:val="1"/>
          <w:color w:val="17324d"/>
        </w:rPr>
      </w:pPr>
      <w:r w:rsidDel="00000000" w:rsidR="00000000" w:rsidRPr="00000000">
        <w:rPr>
          <w:rtl w:val="0"/>
        </w:rPr>
      </w:r>
    </w:p>
    <w:sdt>
      <w:sdtPr>
        <w:lock w:val="contentLocked"/>
        <w:id w:val="336215469"/>
        <w:tag w:val="goog_rdk_0"/>
      </w:sdtPr>
      <w:sdtContent>
        <w:tbl>
          <w:tblPr>
            <w:tblStyle w:val="Table1"/>
            <w:tblW w:w="4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475"/>
            <w:tblGridChange w:id="0">
              <w:tblGrid>
                <w:gridCol w:w="1590"/>
                <w:gridCol w:w="2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after="0" w:line="240" w:lineRule="auto"/>
                  <w:rPr>
                    <w:rFonts w:ascii="Garamond" w:cs="Garamond" w:eastAsia="Garamond" w:hAnsi="Garamond"/>
                    <w:b w:val="1"/>
                    <w:bCs w:val="1"/>
                    <w:color w:val="17324d"/>
                  </w:rPr>
                </w:pPr>
                <w:r w:rsidDel="00000000" w:rsidR="00000000" w:rsidRPr="00000000">
                  <w:rPr>
                    <w:rFonts w:ascii="Garamond" w:cs="Garamond" w:eastAsia="Garamond" w:hAnsi="Garamond"/>
                    <w:b w:val="1"/>
                    <w:bCs w:val="1"/>
                    <w:color w:val="17324d"/>
                    <w:rtl w:val="0"/>
                  </w:rPr>
                  <w:t xml:space="preserve">Student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0" w:line="240" w:lineRule="auto"/>
                  <w:rPr>
                    <w:rFonts w:ascii="Garamond" w:cs="Garamond" w:eastAsia="Garamond" w:hAnsi="Garamond"/>
                    <w:b w:val="1"/>
                    <w:bCs w:val="1"/>
                    <w:color w:val="17324d"/>
                  </w:rPr>
                </w:pPr>
                <w:r w:rsidDel="00000000" w:rsidR="00000000" w:rsidRPr="00000000">
                  <w:rPr>
                    <w:rFonts w:ascii="Garamond" w:cs="Garamond" w:eastAsia="Garamond" w:hAnsi="Garamond"/>
                    <w:b w:val="1"/>
                    <w:bCs w:val="1"/>
                    <w:color w:val="17324d"/>
                    <w:rtl w:val="0"/>
                  </w:rPr>
                  <w:t xml:space="preserve">Oluwatosin Olajubu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line="240" w:lineRule="auto"/>
                  <w:rPr>
                    <w:rFonts w:ascii="Garamond" w:cs="Garamond" w:eastAsia="Garamond" w:hAnsi="Garamond"/>
                    <w:b w:val="1"/>
                    <w:bCs w:val="1"/>
                    <w:color w:val="17324d"/>
                  </w:rPr>
                </w:pPr>
                <w:r w:rsidDel="00000000" w:rsidR="00000000" w:rsidRPr="00000000">
                  <w:rPr>
                    <w:rFonts w:ascii="Garamond" w:cs="Garamond" w:eastAsia="Garamond" w:hAnsi="Garamond"/>
                    <w:b w:val="1"/>
                    <w:bCs w:val="1"/>
                    <w:color w:val="17324d"/>
                    <w:rtl w:val="0"/>
                  </w:rPr>
                  <w:t xml:space="preserve">Reg.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0" w:line="240" w:lineRule="auto"/>
                  <w:rPr>
                    <w:rFonts w:ascii="Garamond" w:cs="Garamond" w:eastAsia="Garamond" w:hAnsi="Garamond"/>
                    <w:b w:val="1"/>
                    <w:bCs w:val="1"/>
                    <w:color w:val="17324d"/>
                  </w:rPr>
                </w:pPr>
                <w:r w:rsidDel="00000000" w:rsidR="00000000" w:rsidRPr="00000000">
                  <w:rPr>
                    <w:rFonts w:ascii="Garamond" w:cs="Garamond" w:eastAsia="Garamond" w:hAnsi="Garamond"/>
                    <w:b w:val="1"/>
                    <w:bCs w:val="1"/>
                    <w:color w:val="17324d"/>
                    <w:rtl w:val="0"/>
                  </w:rPr>
                  <w:t xml:space="preserve">C11/26/CGRCE/17602</w:t>
                </w:r>
              </w:p>
            </w:tc>
          </w:tr>
        </w:tbl>
      </w:sdtContent>
    </w:sdt>
    <w:p w:rsidR="00000000" w:rsidDel="00000000" w:rsidP="00000000" w:rsidRDefault="00000000" w:rsidRPr="00000000" w14:paraId="00000006">
      <w:pPr>
        <w:rPr>
          <w:rFonts w:ascii="Play" w:cs="Play" w:eastAsia="Play" w:hAnsi="Play"/>
          <w:b w:val="1"/>
          <w:bCs w:val="1"/>
          <w:color w:val="17324d"/>
          <w:sz w:val="50"/>
          <w:szCs w:val="50"/>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Play" w:cs="Play" w:eastAsia="Play" w:hAnsi="Play"/>
          <w:b w:val="1"/>
          <w:bCs w:val="1"/>
          <w:color w:val="17324d"/>
          <w:sz w:val="50"/>
          <w:szCs w:val="50"/>
          <w:rtl w:val="0"/>
        </w:rPr>
        <w:t xml:space="preserve">Evidence Bundle 5</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color w:val="5b6770"/>
          <w:sz w:val="22"/>
          <w:szCs w:val="22"/>
          <w:rtl w:val="0"/>
        </w:rPr>
        <w:t xml:space="preserve">Policy Review &amp; Maintenance Memo</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color w:val="0f766e"/>
          <w:sz w:val="18"/>
          <w:szCs w:val="18"/>
          <w:rtl w:val="0"/>
        </w:rPr>
        <w:t xml:space="preserve">NexusTech Solutions | GRC102 – Information Security Governance | Week 2</w:t>
      </w:r>
      <w:r w:rsidDel="00000000" w:rsidR="00000000" w:rsidRPr="00000000">
        <w:rPr>
          <w:rtl w:val="0"/>
        </w:rPr>
      </w:r>
    </w:p>
    <w:p w:rsidR="00000000" w:rsidDel="00000000" w:rsidP="00000000" w:rsidRDefault="00000000" w:rsidRPr="00000000" w14:paraId="0000000A">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Policy Review Memo</w:t>
      </w:r>
      <w:r w:rsidDel="00000000" w:rsidR="00000000" w:rsidRPr="00000000">
        <w:rPr>
          <w:rtl w:val="0"/>
        </w:rPr>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7324d" w:val="clear"/>
            <w:vAlign w:val="center"/>
          </w:tcPr>
          <w:p w:rsidR="00000000" w:rsidDel="00000000" w:rsidP="00000000" w:rsidRDefault="00000000" w:rsidRPr="00000000" w14:paraId="0000000B">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To</w:t>
            </w:r>
            <w:r w:rsidDel="00000000" w:rsidR="00000000" w:rsidRPr="00000000">
              <w:rPr>
                <w:rtl w:val="0"/>
              </w:rPr>
            </w:r>
          </w:p>
        </w:tc>
        <w:tc>
          <w:tcPr>
            <w:shd w:fill="17324d" w:val="clear"/>
            <w:vAlign w:val="center"/>
          </w:tcPr>
          <w:p w:rsidR="00000000" w:rsidDel="00000000" w:rsidP="00000000" w:rsidRDefault="00000000" w:rsidRPr="00000000" w14:paraId="0000000C">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Information Security Steering Committee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From</w:t>
            </w:r>
            <w:r w:rsidDel="00000000" w:rsidR="00000000" w:rsidRPr="00000000">
              <w:rPr>
                <w:rtl w:val="0"/>
              </w:rPr>
            </w:r>
          </w:p>
        </w:tc>
        <w:tc>
          <w:tcPr>
            <w:vAlign w:val="center"/>
          </w:tcPr>
          <w:p w:rsidR="00000000" w:rsidDel="00000000" w:rsidP="00000000" w:rsidRDefault="00000000" w:rsidRPr="00000000" w14:paraId="0000000E">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Information Security Manager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Date</w:t>
            </w:r>
            <w:r w:rsidDel="00000000" w:rsidR="00000000" w:rsidRPr="00000000">
              <w:rPr>
                <w:rtl w:val="0"/>
              </w:rPr>
            </w:r>
          </w:p>
        </w:tc>
        <w:tc>
          <w:tcPr>
            <w:vAlign w:val="center"/>
          </w:tcPr>
          <w:p w:rsidR="00000000" w:rsidDel="00000000" w:rsidP="00000000" w:rsidRDefault="00000000" w:rsidRPr="00000000" w14:paraId="00000010">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18 September 2027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Subject</w:t>
            </w:r>
            <w:r w:rsidDel="00000000" w:rsidR="00000000" w:rsidRPr="00000000">
              <w:rPr>
                <w:rtl w:val="0"/>
              </w:rPr>
            </w:r>
          </w:p>
        </w:tc>
        <w:tc>
          <w:tcPr>
            <w:vAlign w:val="center"/>
          </w:tcPr>
          <w:p w:rsidR="00000000" w:rsidDel="00000000" w:rsidP="00000000" w:rsidRDefault="00000000" w:rsidRPr="00000000" w14:paraId="00000012">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AUP Review Following AWS Migration and Personal-Cloud Sharing Incident</w:t>
            </w:r>
            <w:r w:rsidDel="00000000" w:rsidR="00000000" w:rsidRPr="00000000">
              <w:rPr>
                <w:rtl w:val="0"/>
              </w:rPr>
            </w:r>
          </w:p>
        </w:tc>
      </w:tr>
    </w:tbl>
    <w:p w:rsidR="00000000" w:rsidDel="00000000" w:rsidP="00000000" w:rsidRDefault="00000000" w:rsidRPr="00000000" w14:paraId="00000013">
      <w:pPr>
        <w:rPr>
          <w:rFonts w:ascii="Garamond" w:cs="Garamond" w:eastAsia="Garamond" w:hAnsi="Garamond"/>
        </w:rPr>
      </w:pPr>
      <w:r w:rsidDel="00000000" w:rsidR="00000000" w:rsidRPr="00000000">
        <w:rPr>
          <w:rFonts w:ascii="Garamond" w:cs="Garamond" w:eastAsia="Garamond" w:hAnsi="Garamond"/>
          <w:rtl w:val="0"/>
        </w:rPr>
        <w:t xml:space="preserve">The Acceptable Use Policy should be formally reviewed because two material trigger events have occurred since its approval. First, NexusTech migrated its primary database to AWS, changing the technology environment, responsibilities and cloud-service usage patterns addressed by acceptable-use requirements. The review should confirm that the AUP remains aligned with authorised cloud services, data handling, access, monitoring and use of company information in cloud environments. Second, an employee shared a sensitive document through a personal cloud-storage account. This incident demonstrates a need to test whether the current prohibition on personal cloud storage is sufficiently clear, understood and supported by preventive and detective controls.</w:t>
      </w:r>
    </w:p>
    <w:p w:rsidR="00000000" w:rsidDel="00000000" w:rsidP="00000000" w:rsidRDefault="00000000" w:rsidRPr="00000000" w14:paraId="00000014">
      <w:pPr>
        <w:rPr>
          <w:rFonts w:ascii="Garamond" w:cs="Garamond" w:eastAsia="Garamond" w:hAnsi="Garamond"/>
        </w:rPr>
      </w:pPr>
      <w:r w:rsidDel="00000000" w:rsidR="00000000" w:rsidRPr="00000000">
        <w:rPr>
          <w:rFonts w:ascii="Garamond" w:cs="Garamond" w:eastAsia="Garamond" w:hAnsi="Garamond"/>
          <w:rtl w:val="0"/>
        </w:rPr>
        <w:t xml:space="preserve">The review should involve Information Security, IT/Cloud Engineering, relevant data/system owners, Legal/Privacy, HR and business representatives. The team should examine the incident record, user feedback, training and acknowledgement results, access and cloud-usage evidence, and any relevant contractual or regulatory requirements, then assess residual risk and document proposed changes. At minimum, the revised AUP should explicitly prohibit the use of personal cloud storage and personal file-sharing services for NexusTech or client information, and should clarify that only approved corporate cloud services may be used for business data. It should also add a clear requirement to report accidental external sharing promptly and preserve the evidence needed for investigation.</w:t>
      </w:r>
    </w:p>
    <w:p w:rsidR="00000000" w:rsidDel="00000000" w:rsidP="00000000" w:rsidRDefault="00000000" w:rsidRPr="00000000" w14:paraId="00000015">
      <w:pPr>
        <w:rPr>
          <w:rFonts w:ascii="Garamond" w:cs="Garamond" w:eastAsia="Garamond" w:hAnsi="Garamond"/>
        </w:rPr>
      </w:pPr>
      <w:r w:rsidDel="00000000" w:rsidR="00000000" w:rsidRPr="00000000">
        <w:rPr>
          <w:rFonts w:ascii="Garamond" w:cs="Garamond" w:eastAsia="Garamond" w:hAnsi="Garamond"/>
          <w:rtl w:val="0"/>
        </w:rPr>
        <w:t xml:space="preserve">The Information Security Manager remains the policy owner. The revised policy should follow the controlled approval route to the CEO, with material risk, legal or client-impact issues escalated through the Information Security Steering Committee before approval. The AUP should be reviewed at least annually, with an early review triggered by material cloud/platform changes, significant security or data incidents, major changes in client/regulatory obligations, or evidence that the policy is no longer effective.</w:t>
      </w:r>
    </w:p>
    <w:sectPr>
      <w:footerReference r:id="rId7"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5b6770"/>
        <w:sz w:val="16"/>
        <w:szCs w:val="16"/>
        <w:u w:val="none"/>
        <w:shd w:fill="auto" w:val="clear"/>
        <w:vertAlign w:val="baseline"/>
        <w:rtl w:val="0"/>
      </w:rPr>
      <w:t xml:space="preserve">NexusTech Solutions — Information Security Policy Framework | Confidential — Training Simulation</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G+d2jKHPM5dn9lCizg61cePQdA==">CgMxLjAaHwoBMBIaChgICVIUChJ0YWJsZS5tZW1yeHZhb3NpZmM4AHIhMUJwbGROUDZ2Zk5kVzhsRVNoWHZBTldla0VWcTRKMEZt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