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40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GRC102 — WEEK 1 PRACTICAL LABORATORY</w:t>
      </w:r>
      <w:r w:rsidDel="00000000" w:rsidR="00000000" w:rsidRPr="00000000">
        <w:rPr>
          <w:rtl w:val="0"/>
        </w:rPr>
      </w:r>
    </w:p>
    <w:p w:rsidR="00000000" w:rsidDel="00000000" w:rsidP="00000000" w:rsidRDefault="00000000" w:rsidRPr="00000000" w14:paraId="00000002">
      <w:pPr>
        <w:spacing w:after="500" w:lineRule="auto"/>
        <w:jc w:val="center"/>
        <w:rPr>
          <w:rFonts w:ascii="Garamond" w:cs="Garamond" w:eastAsia="Garamond" w:hAnsi="Garamond"/>
          <w:sz w:val="22"/>
          <w:szCs w:val="22"/>
        </w:rPr>
      </w:pPr>
      <w:r w:rsidDel="00000000" w:rsidR="00000000" w:rsidRPr="00000000">
        <w:rPr>
          <w:rFonts w:ascii="Garamond" w:cs="Garamond" w:eastAsia="Garamond" w:hAnsi="Garamond"/>
          <w:i w:val="1"/>
          <w:iCs w:val="1"/>
          <w:sz w:val="22"/>
          <w:szCs w:val="22"/>
          <w:rtl w:val="0"/>
        </w:rPr>
        <w:t xml:space="preserve">Information Security Governance in Action</w:t>
      </w:r>
      <w:r w:rsidDel="00000000" w:rsidR="00000000" w:rsidRPr="00000000">
        <w:rPr>
          <w:rtl w:val="0"/>
        </w:rPr>
      </w:r>
    </w:p>
    <w:p w:rsidR="00000000" w:rsidDel="00000000" w:rsidP="00000000" w:rsidRDefault="00000000" w:rsidRPr="00000000" w14:paraId="00000003">
      <w:pPr>
        <w:spacing w:after="20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EVIDENCE BUNDLE 2</w:t>
      </w:r>
      <w:r w:rsidDel="00000000" w:rsidR="00000000" w:rsidRPr="00000000">
        <w:rPr>
          <w:rtl w:val="0"/>
        </w:rPr>
      </w:r>
    </w:p>
    <w:p w:rsidR="00000000" w:rsidDel="00000000" w:rsidP="00000000" w:rsidRDefault="00000000" w:rsidRPr="00000000" w14:paraId="00000004">
      <w:pPr>
        <w:spacing w:after="30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Information Security Charter</w:t>
      </w:r>
      <w:r w:rsidDel="00000000" w:rsidR="00000000" w:rsidRPr="00000000">
        <w:rPr>
          <w:rtl w:val="0"/>
        </w:rPr>
      </w:r>
    </w:p>
    <w:p w:rsidR="00000000" w:rsidDel="00000000" w:rsidP="00000000" w:rsidRDefault="00000000" w:rsidRPr="00000000" w14:paraId="00000005">
      <w:pPr>
        <w:spacing w:after="900" w:lineRule="auto"/>
        <w:jc w:val="center"/>
        <w:rPr>
          <w:rFonts w:ascii="Garamond" w:cs="Garamond" w:eastAsia="Garamond" w:hAnsi="Garamond"/>
          <w:sz w:val="22"/>
          <w:szCs w:val="22"/>
        </w:rPr>
      </w:pPr>
      <w:r w:rsidDel="00000000" w:rsidR="00000000" w:rsidRPr="00000000">
        <w:rPr>
          <w:rFonts w:ascii="Garamond" w:cs="Garamond" w:eastAsia="Garamond" w:hAnsi="Garamond"/>
          <w:i w:val="1"/>
          <w:iCs w:val="1"/>
          <w:sz w:val="22"/>
          <w:szCs w:val="22"/>
          <w:rtl w:val="0"/>
        </w:rPr>
        <w:t xml:space="preserve">GHC Information Security Charter · CFO Justification Memo</w:t>
      </w:r>
      <w:r w:rsidDel="00000000" w:rsidR="00000000" w:rsidRPr="00000000">
        <w:rPr>
          <w:rtl w:val="0"/>
        </w:rPr>
      </w:r>
    </w:p>
    <w:p w:rsidR="00000000" w:rsidDel="00000000" w:rsidP="00000000" w:rsidRDefault="00000000" w:rsidRPr="00000000" w14:paraId="00000006">
      <w:pPr>
        <w:spacing w:after="6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GlobalHealth Connect (GHC)</w:t>
      </w:r>
      <w:r w:rsidDel="00000000" w:rsidR="00000000" w:rsidRPr="00000000">
        <w:rPr>
          <w:rtl w:val="0"/>
        </w:rPr>
      </w:r>
    </w:p>
    <w:p w:rsidR="00000000" w:rsidDel="00000000" w:rsidP="00000000" w:rsidRDefault="00000000" w:rsidRPr="00000000" w14:paraId="00000007">
      <w:pPr>
        <w:spacing w:after="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Executive Governance Simulation</w:t>
      </w:r>
    </w:p>
    <w:p w:rsidR="00000000" w:rsidDel="00000000" w:rsidP="00000000" w:rsidRDefault="00000000" w:rsidRPr="00000000" w14:paraId="00000008">
      <w:pPr>
        <w:spacing w:after="60" w:before="70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Prepared by: Oluwatosin Olajubu</w:t>
      </w:r>
    </w:p>
    <w:p w:rsidR="00000000" w:rsidDel="00000000" w:rsidP="00000000" w:rsidRDefault="00000000" w:rsidRPr="00000000" w14:paraId="00000009">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September 2026</w:t>
      </w:r>
    </w:p>
    <w:p w:rsidR="00000000" w:rsidDel="00000000" w:rsidP="00000000" w:rsidRDefault="00000000" w:rsidRPr="00000000" w14:paraId="0000000A">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2.1 Purpose</w:t>
      </w:r>
      <w:r w:rsidDel="00000000" w:rsidR="00000000" w:rsidRPr="00000000">
        <w:rPr>
          <w:rtl w:val="0"/>
        </w:rPr>
      </w:r>
    </w:p>
    <w:p w:rsidR="00000000" w:rsidDel="00000000" w:rsidP="00000000" w:rsidRDefault="00000000" w:rsidRPr="00000000" w14:paraId="0000000C">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purpose of the GlobalHealth Connect Information Security Programme is to protect the confidentiality, integrity and availability of the organisation's information, systems and services.</w:t>
      </w:r>
      <w:r w:rsidDel="00000000" w:rsidR="00000000" w:rsidRPr="00000000">
        <w:rPr>
          <w:rtl w:val="0"/>
        </w:rPr>
      </w:r>
    </w:p>
    <w:p w:rsidR="00000000" w:rsidDel="00000000" w:rsidP="00000000" w:rsidRDefault="00000000" w:rsidRPr="00000000" w14:paraId="0000000D">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programme supports GHC's strategic objectives by protecting sensitive patient and organisational information, maintaining customer trust, supporting regulatory compliance, enabling secure innovation and reducing the risk of security incidents that could disrupt business operations.</w:t>
      </w:r>
      <w:r w:rsidDel="00000000" w:rsidR="00000000" w:rsidRPr="00000000">
        <w:rPr>
          <w:rtl w:val="0"/>
        </w:rPr>
      </w:r>
    </w:p>
    <w:p w:rsidR="00000000" w:rsidDel="00000000" w:rsidP="00000000" w:rsidRDefault="00000000" w:rsidRPr="00000000" w14:paraId="0000000E">
      <w:pPr>
        <w:spacing w:after="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Information security governance will operate as a business-enabling function that supports responsible growth and informed decision-making.</w:t>
      </w:r>
      <w:r w:rsidDel="00000000" w:rsidR="00000000" w:rsidRPr="00000000">
        <w:rPr>
          <w:rtl w:val="0"/>
        </w:rPr>
      </w:r>
    </w:p>
    <w:p w:rsidR="00000000" w:rsidDel="00000000" w:rsidP="00000000" w:rsidRDefault="00000000" w:rsidRPr="00000000" w14:paraId="0000000F">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2.2 Scope</w:t>
      </w:r>
      <w:r w:rsidDel="00000000" w:rsidR="00000000" w:rsidRPr="00000000">
        <w:rPr>
          <w:rtl w:val="0"/>
        </w:rPr>
      </w:r>
    </w:p>
    <w:p w:rsidR="00000000" w:rsidDel="00000000" w:rsidP="00000000" w:rsidRDefault="00000000" w:rsidRPr="00000000" w14:paraId="00000010">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This Charter applies to all information assets and activities associated with GlobalHealth Connect, including:</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Patient and healthcare-related information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Customer and employee information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Cloud infrastructure and applications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Networks, endpoints and technology platforms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Software development and digital products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Employees, contractors and temporary personnel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Third-party service providers and suppliers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Acquired businesses and newly integrated systems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Physical and digital information assets</w:t>
      </w:r>
      <w:r w:rsidDel="00000000" w:rsidR="00000000" w:rsidRPr="00000000">
        <w:rPr>
          <w:rtl w:val="0"/>
        </w:rPr>
      </w:r>
    </w:p>
    <w:p w:rsidR="00000000" w:rsidDel="00000000" w:rsidP="00000000" w:rsidRDefault="00000000" w:rsidRPr="00000000" w14:paraId="0000001A">
      <w:pPr>
        <w:spacing w:after="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All personnel and relevant third parties are expected to comply with applicable information security policies and requirements.</w:t>
      </w:r>
      <w:r w:rsidDel="00000000" w:rsidR="00000000" w:rsidRPr="00000000">
        <w:rPr>
          <w:rtl w:val="0"/>
        </w:rPr>
      </w:r>
    </w:p>
    <w:p w:rsidR="00000000" w:rsidDel="00000000" w:rsidP="00000000" w:rsidRDefault="00000000" w:rsidRPr="00000000" w14:paraId="0000001B">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2.3 Authority</w:t>
      </w:r>
      <w:r w:rsidDel="00000000" w:rsidR="00000000" w:rsidRPr="00000000">
        <w:rPr>
          <w:rtl w:val="0"/>
        </w:rPr>
      </w:r>
    </w:p>
    <w:p w:rsidR="00000000" w:rsidDel="00000000" w:rsidP="00000000" w:rsidRDefault="00000000" w:rsidRPr="00000000" w14:paraId="0000001C">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Information Security Programme derives its authority from executive management and the Board of Directors.</w:t>
      </w:r>
      <w:r w:rsidDel="00000000" w:rsidR="00000000" w:rsidRPr="00000000">
        <w:rPr>
          <w:rtl w:val="0"/>
        </w:rPr>
      </w:r>
    </w:p>
    <w:p w:rsidR="00000000" w:rsidDel="00000000" w:rsidP="00000000" w:rsidRDefault="00000000" w:rsidRPr="00000000" w14:paraId="0000001D">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Director of Information Security Governance is authorised to: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Develop and maintain information security governance policies and standards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Coordinate organisation-wide security risk assessments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Monitor security governance performance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Escalate significant risks and control weaknesses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Recommend corrective actions and security investments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Report material security matters to executive management and the Board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Coordinate cross-functional security governance activities</w:t>
      </w:r>
      <w:r w:rsidDel="00000000" w:rsidR="00000000" w:rsidRPr="00000000">
        <w:rPr>
          <w:rtl w:val="0"/>
        </w:rPr>
      </w:r>
    </w:p>
    <w:p w:rsidR="00000000" w:rsidDel="00000000" w:rsidP="00000000" w:rsidRDefault="00000000" w:rsidRPr="00000000" w14:paraId="00000025">
      <w:pPr>
        <w:spacing w:after="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Material risks that exceed management's authority or risk tolerance must be escalated to the CEO and, where appropriate, the Board.</w:t>
      </w:r>
      <w:r w:rsidDel="00000000" w:rsidR="00000000" w:rsidRPr="00000000">
        <w:rPr>
          <w:rtl w:val="0"/>
        </w:rPr>
      </w:r>
    </w:p>
    <w:p w:rsidR="00000000" w:rsidDel="00000000" w:rsidP="00000000" w:rsidRDefault="00000000" w:rsidRPr="00000000" w14:paraId="00000026">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2.4 Roles and Responsibilities</w:t>
      </w:r>
      <w:r w:rsidDel="00000000" w:rsidR="00000000" w:rsidRPr="00000000">
        <w:rPr>
          <w:rtl w:val="0"/>
        </w:rPr>
      </w:r>
    </w:p>
    <w:tbl>
      <w:tblPr>
        <w:tblStyle w:val="Table1"/>
        <w:tblW w:w="9426.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800"/>
        <w:gridCol w:w="6626"/>
        <w:tblGridChange w:id="0">
          <w:tblGrid>
            <w:gridCol w:w="2800"/>
            <w:gridCol w:w="6626"/>
          </w:tblGrid>
        </w:tblGridChange>
      </w:tblGrid>
      <w:tr>
        <w:trPr>
          <w:cantSplit w:val="0"/>
          <w:tblHeader w:val="1"/>
        </w:trPr>
        <w:tc>
          <w:tcPr>
            <w:tcBorders>
              <w:top w:color="8e7cc3" w:space="0" w:sz="4" w:val="single"/>
              <w:left w:color="8e7cc3" w:space="0" w:sz="4" w:val="single"/>
              <w:bottom w:color="8e7cc3" w:space="0" w:sz="4" w:val="single"/>
              <w:right w:color="8e7cc3" w:space="0" w:sz="4" w:val="single"/>
            </w:tcBorders>
            <w:shd w:fill="8e7cc3" w:val="clear"/>
            <w:tcMar>
              <w:top w:w="100.0" w:type="dxa"/>
              <w:left w:w="120.0" w:type="dxa"/>
              <w:bottom w:w="100.0" w:type="dxa"/>
              <w:right w:w="120.0" w:type="dxa"/>
            </w:tcMar>
            <w:vAlign w:val="center"/>
          </w:tcPr>
          <w:p w:rsidR="00000000" w:rsidDel="00000000" w:rsidP="00000000" w:rsidRDefault="00000000" w:rsidRPr="00000000" w14:paraId="00000027">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Role</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8e7cc3" w:val="clear"/>
            <w:tcMar>
              <w:top w:w="100.0" w:type="dxa"/>
              <w:left w:w="120.0" w:type="dxa"/>
              <w:bottom w:w="100.0" w:type="dxa"/>
              <w:right w:w="120.0" w:type="dxa"/>
            </w:tcMar>
            <w:vAlign w:val="center"/>
          </w:tcPr>
          <w:p w:rsidR="00000000" w:rsidDel="00000000" w:rsidP="00000000" w:rsidRDefault="00000000" w:rsidRPr="00000000" w14:paraId="00000028">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Responsibility</w:t>
            </w:r>
            <w:r w:rsidDel="00000000" w:rsidR="00000000" w:rsidRPr="00000000">
              <w:rPr>
                <w:rtl w:val="0"/>
              </w:rPr>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9">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Board of Directors</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A">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Provides strategic oversight of information security governance, approves significant policies and receives reports on material security risks.</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B">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Chief Executive Officer</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C">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Accountable for ensuring that information security governance supports GHC's strategic objectives and receives appropriate executive attention.</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D">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Director of Information Security Governance</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E">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Responsible for coordinating the Information Security Programme, maintaining governance processes, facilitating risk management and providing management and Board reporting.</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2F">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Chief Technology Officer</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0">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Ensures that technology and product development activities incorporate appropriate security requirements while supporting innovation and operational objectives.</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1">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IT Manager</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2">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Responsible for implementing and maintaining operational security controls within IT infrastructure and operations.</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3">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Compliance Officer</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4">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Supports the identification and monitoring of applicable regulatory and legal obligations.</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5">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Human Resources Manager</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6">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Supports security-related responsibilities involving employee onboarding, offboarding and security awareness.</w:t>
            </w:r>
          </w:p>
        </w:tc>
      </w:tr>
      <w:tr>
        <w:trPr>
          <w:cantSplit w:val="0"/>
          <w:tblHeader w:val="0"/>
        </w:trPr>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7">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Employees and Contractors</w:t>
            </w:r>
            <w:r w:rsidDel="00000000" w:rsidR="00000000" w:rsidRPr="00000000">
              <w:rPr>
                <w:rtl w:val="0"/>
              </w:rPr>
            </w:r>
          </w:p>
        </w:tc>
        <w:tc>
          <w:tcPr>
            <w:tcBorders>
              <w:top w:color="8e7cc3" w:space="0" w:sz="4" w:val="single"/>
              <w:left w:color="8e7cc3" w:space="0" w:sz="4" w:val="single"/>
              <w:bottom w:color="8e7cc3" w:space="0" w:sz="4" w:val="single"/>
              <w:right w:color="8e7cc3"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38">
            <w:pPr>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Responsible for complying with applicable security policies and reporting suspected security incidents or weaknesses.</w:t>
            </w:r>
          </w:p>
        </w:tc>
      </w:tr>
    </w:tbl>
    <w:p w:rsidR="00000000" w:rsidDel="00000000" w:rsidP="00000000" w:rsidRDefault="00000000" w:rsidRPr="00000000" w14:paraId="00000039">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2.5 Key Principles</w:t>
      </w:r>
      <w:r w:rsidDel="00000000" w:rsidR="00000000" w:rsidRPr="00000000">
        <w:rPr>
          <w:rtl w:val="0"/>
        </w:rPr>
      </w:r>
    </w:p>
    <w:p w:rsidR="00000000" w:rsidDel="00000000" w:rsidP="00000000" w:rsidRDefault="00000000" w:rsidRPr="00000000" w14:paraId="0000003A">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Information Security Programme will operate according to the following principles:</w:t>
      </w:r>
      <w:r w:rsidDel="00000000" w:rsidR="00000000" w:rsidRPr="00000000">
        <w:rPr>
          <w:rtl w:val="0"/>
        </w:rPr>
      </w:r>
    </w:p>
    <w:tbl>
      <w:tblPr>
        <w:tblStyle w:val="Table2"/>
        <w:tblW w:w="9426.0" w:type="dxa"/>
        <w:jc w:val="left"/>
        <w:tblBorders>
          <w:top w:color="d9d9d9" w:space="0" w:sz="4" w:val="single"/>
          <w:left w:color="d9d9d9" w:space="0" w:sz="4" w:val="single"/>
          <w:bottom w:color="d9d9d9" w:space="0" w:sz="4" w:val="single"/>
          <w:right w:color="d9d9d9" w:space="0" w:sz="4" w:val="single"/>
          <w:insideH w:color="000000" w:space="0" w:sz="4" w:val="single"/>
          <w:insideV w:color="000000" w:space="0" w:sz="4" w:val="single"/>
        </w:tblBorders>
        <w:tblLayout w:type="fixed"/>
        <w:tblLook w:val="0000"/>
      </w:tblPr>
      <w:tblGrid>
        <w:gridCol w:w="4713"/>
        <w:gridCol w:w="4713"/>
        <w:tblGridChange w:id="0">
          <w:tblGrid>
            <w:gridCol w:w="4713"/>
            <w:gridCol w:w="4713"/>
          </w:tblGrid>
        </w:tblGridChange>
      </w:tblGrid>
      <w:tr>
        <w:trPr>
          <w:cantSplit w:val="0"/>
          <w:tblHeader w:val="0"/>
        </w:trPr>
        <w:tc>
          <w:tcPr>
            <w:tcBorders>
              <w:top w:color="a64d79" w:space="0" w:sz="4" w:val="single"/>
              <w:left w:color="a64d79" w:space="0" w:sz="4" w:val="single"/>
              <w:bottom w:color="a64d79" w:space="0" w:sz="4" w:val="single"/>
              <w:right w:color="a64d79" w:space="0" w:sz="4" w:val="single"/>
            </w:tcBorders>
            <w:shd w:fill="cfe2f3" w:val="clear"/>
            <w:tcMar>
              <w:top w:w="160.0" w:type="dxa"/>
              <w:left w:w="180.0" w:type="dxa"/>
              <w:bottom w:w="160.0" w:type="dxa"/>
              <w:right w:w="180.0" w:type="dxa"/>
            </w:tcMar>
          </w:tcPr>
          <w:p w:rsidR="00000000" w:rsidDel="00000000" w:rsidP="00000000" w:rsidRDefault="00000000" w:rsidRPr="00000000" w14:paraId="0000003B">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1. Risk-Based</w:t>
            </w:r>
            <w:r w:rsidDel="00000000" w:rsidR="00000000" w:rsidRPr="00000000">
              <w:rPr>
                <w:rtl w:val="0"/>
              </w:rPr>
            </w:r>
          </w:p>
          <w:p w:rsidR="00000000" w:rsidDel="00000000" w:rsidP="00000000" w:rsidRDefault="00000000" w:rsidRPr="00000000" w14:paraId="0000003C">
            <w:pPr>
              <w:spacing w:line="28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decisions and investments should be based on the level of risk to GHC's business objectives, assets and stakeholders.</w:t>
            </w:r>
          </w:p>
        </w:tc>
        <w:tc>
          <w:tcPr>
            <w:tcBorders>
              <w:top w:color="a64d79" w:space="0" w:sz="4" w:val="single"/>
              <w:left w:color="a64d79" w:space="0" w:sz="4" w:val="single"/>
              <w:bottom w:color="a64d79" w:space="0" w:sz="4" w:val="single"/>
              <w:right w:color="a64d79" w:space="0" w:sz="4" w:val="single"/>
            </w:tcBorders>
            <w:shd w:fill="cfe2f3" w:val="clear"/>
            <w:tcMar>
              <w:top w:w="160.0" w:type="dxa"/>
              <w:left w:w="180.0" w:type="dxa"/>
              <w:bottom w:w="160.0" w:type="dxa"/>
              <w:right w:w="180.0" w:type="dxa"/>
            </w:tcMar>
          </w:tcPr>
          <w:p w:rsidR="00000000" w:rsidDel="00000000" w:rsidP="00000000" w:rsidRDefault="00000000" w:rsidRPr="00000000" w14:paraId="0000003D">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2. Business-Aligned</w:t>
            </w:r>
            <w:r w:rsidDel="00000000" w:rsidR="00000000" w:rsidRPr="00000000">
              <w:rPr>
                <w:rtl w:val="0"/>
              </w:rPr>
            </w:r>
          </w:p>
          <w:p w:rsidR="00000000" w:rsidDel="00000000" w:rsidP="00000000" w:rsidRDefault="00000000" w:rsidRPr="00000000" w14:paraId="0000003E">
            <w:pPr>
              <w:spacing w:line="28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Information security should support organisational growth, innovation, operational efficiency and customer trust.</w:t>
            </w:r>
          </w:p>
        </w:tc>
      </w:tr>
      <w:tr>
        <w:trPr>
          <w:cantSplit w:val="0"/>
          <w:tblHeader w:val="0"/>
        </w:trPr>
        <w:tc>
          <w:tcPr>
            <w:tcBorders>
              <w:top w:color="a64d79" w:space="0" w:sz="4" w:val="single"/>
              <w:left w:color="a64d79" w:space="0" w:sz="4" w:val="single"/>
              <w:bottom w:color="a64d79" w:space="0" w:sz="4" w:val="single"/>
              <w:right w:color="a64d79" w:space="0" w:sz="4" w:val="single"/>
            </w:tcBorders>
            <w:shd w:fill="cfe2f3" w:val="clear"/>
            <w:tcMar>
              <w:top w:w="160.0" w:type="dxa"/>
              <w:left w:w="180.0" w:type="dxa"/>
              <w:bottom w:w="160.0" w:type="dxa"/>
              <w:right w:w="180.0" w:type="dxa"/>
            </w:tcMar>
          </w:tcPr>
          <w:p w:rsidR="00000000" w:rsidDel="00000000" w:rsidP="00000000" w:rsidRDefault="00000000" w:rsidRPr="00000000" w14:paraId="0000003F">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3. Proportionate</w:t>
            </w:r>
            <w:r w:rsidDel="00000000" w:rsidR="00000000" w:rsidRPr="00000000">
              <w:rPr>
                <w:rtl w:val="0"/>
              </w:rPr>
            </w:r>
          </w:p>
          <w:p w:rsidR="00000000" w:rsidDel="00000000" w:rsidP="00000000" w:rsidRDefault="00000000" w:rsidRPr="00000000" w14:paraId="00000040">
            <w:pPr>
              <w:spacing w:line="28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Security controls should be appropriate to the nature of the risk and should avoid unnecessary operational burden.</w:t>
            </w:r>
          </w:p>
        </w:tc>
        <w:tc>
          <w:tcPr>
            <w:tcBorders>
              <w:top w:color="a64d79" w:space="0" w:sz="4" w:val="single"/>
              <w:left w:color="a64d79" w:space="0" w:sz="4" w:val="single"/>
              <w:bottom w:color="a64d79" w:space="0" w:sz="4" w:val="single"/>
              <w:right w:color="a64d79" w:space="0" w:sz="4" w:val="single"/>
            </w:tcBorders>
            <w:shd w:fill="cfe2f3" w:val="clear"/>
            <w:tcMar>
              <w:top w:w="160.0" w:type="dxa"/>
              <w:left w:w="180.0" w:type="dxa"/>
              <w:bottom w:w="160.0" w:type="dxa"/>
              <w:right w:w="180.0" w:type="dxa"/>
            </w:tcMar>
          </w:tcPr>
          <w:p w:rsidR="00000000" w:rsidDel="00000000" w:rsidP="00000000" w:rsidRDefault="00000000" w:rsidRPr="00000000" w14:paraId="00000041">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4. Accountable</w:t>
            </w:r>
            <w:r w:rsidDel="00000000" w:rsidR="00000000" w:rsidRPr="00000000">
              <w:rPr>
                <w:rtl w:val="0"/>
              </w:rPr>
            </w:r>
          </w:p>
          <w:p w:rsidR="00000000" w:rsidDel="00000000" w:rsidP="00000000" w:rsidRDefault="00000000" w:rsidRPr="00000000" w14:paraId="00000042">
            <w:pPr>
              <w:spacing w:line="28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Roles, responsibilities and decision-making authority must be clearly defined.</w:t>
            </w:r>
          </w:p>
        </w:tc>
      </w:tr>
      <w:tr>
        <w:trPr>
          <w:cantSplit w:val="0"/>
          <w:tblHeader w:val="0"/>
        </w:trPr>
        <w:tc>
          <w:tcPr>
            <w:tcBorders>
              <w:top w:color="a64d79" w:space="0" w:sz="4" w:val="single"/>
              <w:left w:color="a64d79" w:space="0" w:sz="4" w:val="single"/>
              <w:bottom w:color="a64d79" w:space="0" w:sz="4" w:val="single"/>
              <w:right w:color="a64d79" w:space="0" w:sz="4" w:val="single"/>
            </w:tcBorders>
            <w:shd w:fill="cfe2f3" w:val="clear"/>
            <w:tcMar>
              <w:top w:w="160.0" w:type="dxa"/>
              <w:left w:w="180.0" w:type="dxa"/>
              <w:bottom w:w="160.0" w:type="dxa"/>
              <w:right w:w="180.0" w:type="dxa"/>
            </w:tcMar>
          </w:tcPr>
          <w:p w:rsidR="00000000" w:rsidDel="00000000" w:rsidP="00000000" w:rsidRDefault="00000000" w:rsidRPr="00000000" w14:paraId="00000043">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5. Transparent</w:t>
            </w:r>
            <w:r w:rsidDel="00000000" w:rsidR="00000000" w:rsidRPr="00000000">
              <w:rPr>
                <w:rtl w:val="0"/>
              </w:rPr>
            </w:r>
          </w:p>
          <w:p w:rsidR="00000000" w:rsidDel="00000000" w:rsidP="00000000" w:rsidRDefault="00000000" w:rsidRPr="00000000" w14:paraId="00000044">
            <w:pPr>
              <w:spacing w:line="28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Significant security risks and performance issues must be communicated to appropriate stakeholders.</w:t>
            </w:r>
          </w:p>
        </w:tc>
        <w:tc>
          <w:tcPr>
            <w:tcBorders>
              <w:top w:color="a64d79" w:space="0" w:sz="4" w:val="single"/>
              <w:left w:color="a64d79" w:space="0" w:sz="4" w:val="single"/>
              <w:bottom w:color="a64d79" w:space="0" w:sz="4" w:val="single"/>
              <w:right w:color="a64d79" w:space="0" w:sz="4" w:val="single"/>
            </w:tcBorders>
            <w:shd w:fill="cfe2f3" w:val="clear"/>
            <w:tcMar>
              <w:top w:w="160.0" w:type="dxa"/>
              <w:left w:w="180.0" w:type="dxa"/>
              <w:bottom w:w="160.0" w:type="dxa"/>
              <w:right w:w="180.0" w:type="dxa"/>
            </w:tcMar>
          </w:tcPr>
          <w:p w:rsidR="00000000" w:rsidDel="00000000" w:rsidP="00000000" w:rsidRDefault="00000000" w:rsidRPr="00000000" w14:paraId="00000045">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6. Continuously Improving</w:t>
            </w:r>
            <w:r w:rsidDel="00000000" w:rsidR="00000000" w:rsidRPr="00000000">
              <w:rPr>
                <w:rtl w:val="0"/>
              </w:rPr>
            </w:r>
          </w:p>
          <w:p w:rsidR="00000000" w:rsidDel="00000000" w:rsidP="00000000" w:rsidRDefault="00000000" w:rsidRPr="00000000" w14:paraId="00000046">
            <w:pPr>
              <w:spacing w:line="28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Information Security Programme will be reviewed regularly and improved in response to changing business requirements, threats and lessons learned.</w:t>
            </w:r>
          </w:p>
        </w:tc>
      </w:tr>
    </w:tbl>
    <w:p w:rsidR="00000000" w:rsidDel="00000000" w:rsidP="00000000" w:rsidRDefault="00000000" w:rsidRPr="00000000" w14:paraId="00000047">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2.6 Reporting Structure</w:t>
      </w:r>
      <w:r w:rsidDel="00000000" w:rsidR="00000000" w:rsidRPr="00000000">
        <w:rPr>
          <w:rtl w:val="0"/>
        </w:rPr>
      </w:r>
    </w:p>
    <w:p w:rsidR="00000000" w:rsidDel="00000000" w:rsidP="00000000" w:rsidRDefault="00000000" w:rsidRPr="00000000" w14:paraId="00000048">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Information security performance and risks will be reported through the following governance structure: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Operational issues will be managed by relevant business and technology teams.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Cross-functional security issues will be reviewed by the Security Steering Committee.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Significant risks and programme performance will be reported to executive management.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Material risks, incidents and strategic issues will be reported to the Board.</w:t>
      </w:r>
      <w:r w:rsidDel="00000000" w:rsidR="00000000" w:rsidRPr="00000000">
        <w:rPr>
          <w:rtl w:val="0"/>
        </w:rPr>
      </w:r>
    </w:p>
    <w:p w:rsidR="00000000" w:rsidDel="00000000" w:rsidP="00000000" w:rsidRDefault="00000000" w:rsidRPr="00000000" w14:paraId="0000004D">
      <w:pPr>
        <w:spacing w:after="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Board reporting will focus on business impact, material risks, governance performance and strategic decisions rather than unnecessary technical detail.</w:t>
      </w:r>
      <w:r w:rsidDel="00000000" w:rsidR="00000000" w:rsidRPr="00000000">
        <w:rPr>
          <w:rtl w:val="0"/>
        </w:rPr>
      </w:r>
    </w:p>
    <w:p w:rsidR="00000000" w:rsidDel="00000000" w:rsidP="00000000" w:rsidRDefault="00000000" w:rsidRPr="00000000" w14:paraId="0000004E">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2.7 Review and Approval</w:t>
      </w:r>
      <w:r w:rsidDel="00000000" w:rsidR="00000000" w:rsidRPr="00000000">
        <w:rPr>
          <w:rtl w:val="0"/>
        </w:rPr>
      </w:r>
    </w:p>
    <w:p w:rsidR="00000000" w:rsidDel="00000000" w:rsidP="00000000" w:rsidRDefault="00000000" w:rsidRPr="00000000" w14:paraId="0000004F">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This Charter will be approved by executive management and endorsed by the Board.</w:t>
      </w:r>
      <w:r w:rsidDel="00000000" w:rsidR="00000000" w:rsidRPr="00000000">
        <w:rPr>
          <w:rtl w:val="0"/>
        </w:rPr>
      </w:r>
    </w:p>
    <w:p w:rsidR="00000000" w:rsidDel="00000000" w:rsidP="00000000" w:rsidRDefault="00000000" w:rsidRPr="00000000" w14:paraId="00000050">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Charter will be formally reviewed at least annually or earlier where significant organisational, regulatory or technological changes occur.</w:t>
      </w:r>
      <w:r w:rsidDel="00000000" w:rsidR="00000000" w:rsidRPr="00000000">
        <w:rPr>
          <w:rtl w:val="0"/>
        </w:rPr>
      </w:r>
    </w:p>
    <w:p w:rsidR="00000000" w:rsidDel="00000000" w:rsidP="00000000" w:rsidRDefault="00000000" w:rsidRPr="00000000" w14:paraId="00000051">
      <w:pPr>
        <w:spacing w:after="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Changes to the Charter must follow the established governance and approval process.</w:t>
      </w:r>
      <w:r w:rsidDel="00000000" w:rsidR="00000000" w:rsidRPr="00000000">
        <w:rPr>
          <w:rtl w:val="0"/>
        </w:rPr>
      </w:r>
    </w:p>
    <w:p w:rsidR="00000000" w:rsidDel="00000000" w:rsidP="00000000" w:rsidRDefault="00000000" w:rsidRPr="00000000" w14:paraId="00000052">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2.8 CFO Justification Memo</w:t>
      </w:r>
      <w:r w:rsidDel="00000000" w:rsidR="00000000" w:rsidRPr="00000000">
        <w:rPr>
          <w:rtl w:val="0"/>
        </w:rPr>
      </w:r>
    </w:p>
    <w:tbl>
      <w:tblPr>
        <w:tblStyle w:val="Table3"/>
        <w:tblW w:w="9226.0" w:type="dxa"/>
        <w:jc w:val="left"/>
        <w:tblBorders>
          <w:top w:color="1f3864" w:space="0" w:sz="6" w:val="single"/>
          <w:left w:color="000000" w:space="0" w:sz="0" w:val="nil"/>
          <w:bottom w:color="1f3864" w:space="0" w:sz="6" w:val="single"/>
          <w:right w:color="000000" w:space="0" w:sz="0" w:val="nil"/>
          <w:insideH w:color="d9d9d9" w:space="0" w:sz="4" w:val="single"/>
          <w:insideV w:color="000000" w:space="0" w:sz="0" w:val="nil"/>
        </w:tblBorders>
        <w:tblLayout w:type="fixed"/>
        <w:tblLook w:val="0000"/>
      </w:tblPr>
      <w:tblGrid>
        <w:gridCol w:w="1400"/>
        <w:gridCol w:w="7826"/>
        <w:tblGridChange w:id="0">
          <w:tblGrid>
            <w:gridCol w:w="14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54">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55">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Marcus Thorne, Chief Financial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56">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57">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Director of Information Security Governance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58">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59">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September 2026</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5A">
            <w:pP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05B">
            <w:pP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Justification for the GlobalHealth Connect Information Security Charter</w:t>
            </w:r>
          </w:p>
        </w:tc>
      </w:tr>
    </w:tbl>
    <w:p w:rsidR="00000000" w:rsidDel="00000000" w:rsidP="00000000" w:rsidRDefault="00000000" w:rsidRPr="00000000" w14:paraId="0000005C">
      <w:pPr>
        <w:spacing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5D">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proposed Information Security Charter provides GHC with a formal mandate for managing information security as the organisation continues to grow, expand into new markets and invest in digital innovation. The Charter establishes clear authority, accountability and reporting arrangements, reducing the risk of fragmented decision-making across IT, Development, Compliance and other business functions.</w:t>
      </w:r>
      <w:r w:rsidDel="00000000" w:rsidR="00000000" w:rsidRPr="00000000">
        <w:rPr>
          <w:rtl w:val="0"/>
        </w:rPr>
      </w:r>
    </w:p>
    <w:p w:rsidR="00000000" w:rsidDel="00000000" w:rsidP="00000000" w:rsidRDefault="00000000" w:rsidRPr="00000000" w14:paraId="0000005E">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From a financial and investment perspective, the Charter supports more informed decision-making by linking security investments to business risks and strategic priorities. It will help management prioritise resources based on risk, regulatory requirements and business impact rather than responding only after incidents occur. This is particularly important as GHC seeks to protect customer trust, achieve regulatory excellence and maintain operational resilience while pursuing growth and innovation.</w:t>
      </w:r>
      <w:r w:rsidDel="00000000" w:rsidR="00000000" w:rsidRPr="00000000">
        <w:rPr>
          <w:rtl w:val="0"/>
        </w:rPr>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BxzdKXjdIL5wCmONg1ORbZpkZA==">CgMxLjA4AHIhMTI4dm9PVzBXNW5HSm8tcnFTQ1g4MkZKZUlieUlrTWJz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2026-09-09T09:08:26.180Z</dcterms:created>
  <dc:creator>Un-named</dc:creator>
</cp:coreProperties>
</file>

<file path=docProps/custom.xml><?xml version="1.0" encoding="utf-8"?>
<Properties xmlns="http://schemas.openxmlformats.org/officeDocument/2006/custom-properties" xmlns:vt="http://schemas.openxmlformats.org/officeDocument/2006/docPropsVTypes"/>
</file>