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OLYMPUS</w:t>
      </w:r>
    </w:p>
    <w:p>
      <w:pPr>
        <w:pBdr>
          <w:bottom w:val="single" w:color="2E75B6" w:sz="4" w:space="8"/>
        </w:pBdr>
        <w:spacing w:after="100"/>
        <w:jc w:val="center"/>
      </w:pPr>
      <w:r>
        <w:rPr>
          <w:rFonts w:ascii="Arial" w:cs="Arial" w:eastAsia="Arial" w:hAnsi="Arial"/>
          <w:color w:val="2E75B6"/>
          <w:sz w:val="28"/>
          <w:szCs w:val="28"/>
        </w:rPr>
        <w:t xml:space="preserve">Verifiable Ledger for Institutional Accountability</w:t>
      </w:r>
    </w:p>
    <w:p>
      <w:pPr>
        <w:spacing w:after="600"/>
      </w:pPr>
    </w:p>
    <w:p>
      <w:pPr>
        <w:spacing w:after="80"/>
        <w:jc w:val="center"/>
      </w:pPr>
      <w:r>
        <w:rPr>
          <w:rFonts w:ascii="Arial" w:cs="Arial" w:eastAsia="Arial" w:hAnsi="Arial"/>
          <w:b/>
          <w:bCs/>
          <w:color w:val="1B3A5C"/>
          <w:sz w:val="36"/>
          <w:szCs w:val="36"/>
        </w:rPr>
        <w:t xml:space="preserve">Grant Application Framework</w:t>
      </w:r>
    </w:p>
    <w:p>
      <w:pPr>
        <w:spacing w:after="400"/>
        <w:jc w:val="center"/>
      </w:pPr>
      <w:r>
        <w:rPr>
          <w:rFonts w:ascii="Arial" w:cs="Arial" w:eastAsia="Arial" w:hAnsi="Arial"/>
          <w:color w:val="666666"/>
          <w:sz w:val="24"/>
          <w:szCs w:val="24"/>
        </w:rPr>
        <w:t xml:space="preserve">Adaptable Template for Multiple Funding Sources</w:t>
      </w:r>
    </w:p>
    <w:p>
      <w:pPr>
        <w:spacing w:after="600"/>
      </w:pPr>
    </w:p>
    <w:p>
      <w:pPr>
        <w:spacing w:after="80"/>
        <w:jc w:val="center"/>
      </w:pPr>
      <w:r>
        <w:rPr>
          <w:rFonts w:ascii="Arial" w:cs="Arial" w:eastAsia="Arial" w:hAnsi="Arial"/>
          <w:color w:val="666666"/>
          <w:sz w:val="22"/>
          <w:szCs w:val="22"/>
        </w:rPr>
        <w:t xml:space="preserve">Prepared: April 2026</w:t>
      </w:r>
    </w:p>
    <w:p>
      <w:pPr>
        <w:spacing w:after="80"/>
        <w:jc w:val="center"/>
      </w:pPr>
      <w:r>
        <w:rPr>
          <w:rFonts w:ascii="Arial" w:cs="Arial" w:eastAsia="Arial" w:hAnsi="Arial"/>
          <w:color w:val="666666"/>
          <w:sz w:val="22"/>
          <w:szCs w:val="22"/>
        </w:rPr>
        <w:t xml:space="preserve">License: Apache 2.0 (All Components Open Source)</w:t>
      </w:r>
    </w:p>
    <w:p>
      <w:pPr>
        <w:jc w:val="center"/>
      </w:pPr>
      <w:r>
        <w:rPr>
          <w:rFonts w:ascii="Arial" w:cs="Arial" w:eastAsia="Arial" w:hAnsi="Arial"/>
          <w:color w:val="666666"/>
          <w:sz w:val="22"/>
          <w:szCs w:val="22"/>
        </w:rPr>
        <w:t xml:space="preserve">Status: Phase 0 Complete — Ready for Public Deployment</w:t>
      </w:r>
    </w:p>
    <w:p>
      <w:r>
        <w:br w:type="page"/>
      </w:r>
    </w:p>
    <w:p>
      <w:pPr>
        <w:pStyle w:val="Heading1"/>
        <w:spacing w:after="200" w:before="360"/>
      </w:pPr>
      <w:r>
        <w:t xml:space="preserve">Funder Targeting Matrix</w:t>
      </w:r>
    </w:p>
    <w:p>
      <w:pPr>
        <w:spacing w:after="160" w:line="276"/>
      </w:pPr>
      <w:r>
        <w:rPr>
          <w:rFonts w:ascii="Arial" w:cs="Arial" w:eastAsia="Arial" w:hAnsi="Arial"/>
          <w:sz w:val="22"/>
          <w:szCs w:val="22"/>
        </w:rPr>
        <w:t xml:space="preserve">This framework is designed to be adapted for multiple grant programs. The table below maps each section to the funders where it carries the most weight, with recommended emphasis and budget ranges.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Funder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Sections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Angle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Budget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NSF (SaTC / CISE)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3, 4, 7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Novel crypto primitives: CD-HS-ST, BLAKE3/Poseidon binding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$250K–$500K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DARPA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3, 4, 5, 7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Verifiable infrastructure for national security audit trails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$500K–$2M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Tech Fund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1, 2, 5, 6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Government transparency, FOIA, civic accountability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$50K–$300K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Ford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1, 2, 5, 6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interest tech, democratic accountability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$100K–$500K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Knight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1, 2, 5, 6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Journalism/public records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$50K–$250K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Filecoin / Protocol Labs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3, 4, 7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ZK proofs, verifiable data, open-source crypto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$50K–$200K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Ethereum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3, 4, 7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Groth16/Poseidon circuits, ZK research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$50K–$150K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EU Horizon / NGI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2, 4, 5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GDPR-compatible redaction, EU digital sovereignty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€200K–€1M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color w:val="1B3A5C"/>
                <w:sz w:val="20"/>
                <w:szCs w:val="20"/>
              </w:rPr>
              <w:t xml:space="preserve">Sections referenced above: 1=Problem, 2=Solution, 3=Technical Innovation,</w:t>
            </w:r>
          </w:p>
          <w:p>
            <w:pPr>
              <w:spacing w:after="0"/>
            </w:pPr>
            <w:r>
              <w:rPr>
                <w:rFonts w:ascii="Arial" w:cs="Arial" w:eastAsia="Arial" w:hAnsi="Arial"/>
                <w:color w:val="1B3A5C"/>
                <w:sz w:val="20"/>
                <w:szCs w:val="20"/>
              </w:rPr>
              <w:t xml:space="preserve">4=Architecture, 5=Use Cases &amp; Impact, 6=Team &amp; Governance, 7=Research Contributions</w:t>
            </w:r>
          </w:p>
        </w:tc>
      </w:tr>
    </w:tbl>
    <w:p>
      <w:pPr>
        <w:sectPr>
          <w:pgSz w:w="12240" w:h="15840" w:orient="portrait"/>
          <w:pgMar w:top="1440" w:right="1440" w:bottom="1440" w:left="1440" w:header="708" w:footer="708" w:gutter="0"/>
          <w:pgNumType/>
          <w:docGrid w:linePitch="360"/>
        </w:sectPr>
      </w:pPr>
    </w:p>
    <w:p>
      <w:pPr>
        <w:pStyle w:val="Heading1"/>
        <w:spacing w:after="200" w:before="360"/>
      </w:pPr>
      <w:r>
        <w:t xml:space="preserve">1. The Problem</w:t>
      </w:r>
    </w:p>
    <w:p>
      <w:pPr>
        <w:spacing w:after="160" w:line="276"/>
      </w:pPr>
      <w:r>
        <w:rPr>
          <w:rFonts w:ascii="Arial" w:cs="Arial" w:eastAsia="Arial" w:hAnsi="Arial"/>
          <w:sz w:val="22"/>
          <w:szCs w:val="22"/>
        </w:rPr>
        <w:t xml:space="preserve">Institutions hold records that determine rights, obligations, and accountability — court orders, FOIA responses, regulatory filings, procurement contracts, audit logs. Yet the integrity of these records depends entirely on </w:t>
      </w:r>
      <w:r>
        <w:rPr>
          <w:rFonts w:ascii="Arial" w:cs="Arial" w:eastAsia="Arial" w:hAnsi="Arial"/>
          <w:i/>
          <w:iCs/>
          <w:sz w:val="22"/>
          <w:szCs w:val="22"/>
        </w:rPr>
        <w:t xml:space="preserve">institutional trust</w:t>
      </w:r>
      <w:r>
        <w:rPr>
          <w:rFonts w:ascii="Arial" w:cs="Arial" w:eastAsia="Arial" w:hAnsi="Arial"/>
          <w:sz w:val="22"/>
          <w:szCs w:val="22"/>
        </w:rPr>
        <w:t xml:space="preserve">. There is no mechanism for an outsider — a journalist, a citizen, an auditor, a court — to independently verify that a record existed at a claimed time, has not been altered, or was part of the official state.</w:t>
      </w:r>
    </w:p>
    <w:p>
      <w:pPr>
        <w:spacing w:after="160" w:line="276"/>
      </w:pPr>
      <w:r>
        <w:rPr>
          <w:rFonts w:ascii="Arial" w:cs="Arial" w:eastAsia="Arial" w:hAnsi="Arial"/>
          <w:sz w:val="22"/>
          <w:szCs w:val="22"/>
        </w:rPr>
        <w:t xml:space="preserve">Current approaches fail in specific, documentable ways:</w:t>
      </w:r>
    </w:p>
    <w:p>
      <w:pPr>
        <w:pStyle w:val="ListParagraph"/>
        <w:numPr>
          <w:ilvl w:val="0"/>
          <w:numId w:val="2"/>
        </w:numPr>
        <w:spacing w:after="80" w:line="276"/>
      </w:pPr>
      <w:r>
        <w:rPr>
          <w:rFonts w:ascii="Arial" w:cs="Arial" w:eastAsia="Arial" w:hAnsi="Arial"/>
          <w:b/>
          <w:bCs/>
          <w:sz w:val="22"/>
          <w:szCs w:val="22"/>
        </w:rPr>
        <w:t xml:space="preserve">PDF signatures and checksums </w:t>
      </w:r>
      <w:r>
        <w:rPr>
          <w:rFonts w:ascii="Arial" w:cs="Arial" w:eastAsia="Arial" w:hAnsi="Arial"/>
          <w:sz w:val="22"/>
          <w:szCs w:val="22"/>
        </w:rPr>
        <w:t xml:space="preserve">prove nothing about when a document entered a collection, only that it existed when signed. A backdated document with a valid signature is indistinguishable from a timely one.</w:t>
      </w:r>
    </w:p>
    <w:p>
      <w:pPr>
        <w:pStyle w:val="ListParagraph"/>
        <w:numPr>
          <w:ilvl w:val="0"/>
          <w:numId w:val="2"/>
        </w:numPr>
        <w:spacing w:after="80" w:line="276"/>
      </w:pPr>
      <w:r>
        <w:rPr>
          <w:rFonts w:ascii="Arial" w:cs="Arial" w:eastAsia="Arial" w:hAnsi="Arial"/>
          <w:b/>
          <w:bCs/>
          <w:sz w:val="22"/>
          <w:szCs w:val="22"/>
        </w:rPr>
        <w:t xml:space="preserve">Database audit logs </w:t>
      </w:r>
      <w:r>
        <w:rPr>
          <w:rFonts w:ascii="Arial" w:cs="Arial" w:eastAsia="Arial" w:hAnsi="Arial"/>
          <w:sz w:val="22"/>
          <w:szCs w:val="22"/>
        </w:rPr>
        <w:t xml:space="preserve">are controlled by the operator. An administrator can alter, delete, or rewrite log entries. There is no external anchor.</w:t>
      </w:r>
    </w:p>
    <w:p>
      <w:pPr>
        <w:pStyle w:val="ListParagraph"/>
        <w:numPr>
          <w:ilvl w:val="0"/>
          <w:numId w:val="2"/>
        </w:numPr>
        <w:spacing w:after="80" w:line="276"/>
      </w:pPr>
      <w:r>
        <w:rPr>
          <w:rFonts w:ascii="Arial" w:cs="Arial" w:eastAsia="Arial" w:hAnsi="Arial"/>
          <w:b/>
          <w:bCs/>
          <w:sz w:val="22"/>
          <w:szCs w:val="22"/>
        </w:rPr>
        <w:t xml:space="preserve">Blockchain-based solutions </w:t>
      </w:r>
      <w:r>
        <w:rPr>
          <w:rFonts w:ascii="Arial" w:cs="Arial" w:eastAsia="Arial" w:hAnsi="Arial"/>
          <w:sz w:val="22"/>
          <w:szCs w:val="22"/>
        </w:rPr>
        <w:t xml:space="preserve">impose consensus mechanisms designed for adversarial token economies, not institutional record-keeping. They cannot handle selective redaction (GDPR) without compromising proof integrity.</w:t>
      </w:r>
    </w:p>
    <w:p>
      <w:pPr>
        <w:pStyle w:val="ListParagraph"/>
        <w:numPr>
          <w:ilvl w:val="0"/>
          <w:numId w:val="2"/>
        </w:numPr>
        <w:spacing w:after="80" w:line="276"/>
      </w:pPr>
      <w:r>
        <w:rPr>
          <w:rFonts w:ascii="Arial" w:cs="Arial" w:eastAsia="Arial" w:hAnsi="Arial"/>
          <w:b/>
          <w:bCs/>
          <w:sz w:val="22"/>
          <w:szCs w:val="22"/>
        </w:rPr>
        <w:t xml:space="preserve">Certificate Transparency (CT) logs </w:t>
      </w:r>
      <w:r>
        <w:rPr>
          <w:rFonts w:ascii="Arial" w:cs="Arial" w:eastAsia="Arial" w:hAnsi="Arial"/>
          <w:sz w:val="22"/>
          <w:szCs w:val="22"/>
        </w:rPr>
        <w:t xml:space="preserve">solve a narrow problem (TLS certificate issuance) and lack the canonicalization, redaction, and multi-institutional federation needed for general public records.</w:t>
      </w:r>
    </w:p>
    <w:p>
      <w:pPr>
        <w:spacing w:after="160" w:line="276"/>
      </w:pPr>
      <w:r>
        <w:rPr>
          <w:rFonts w:ascii="Arial" w:cs="Arial" w:eastAsia="Arial" w:hAnsi="Arial"/>
          <w:sz w:val="22"/>
          <w:szCs w:val="22"/>
        </w:rPr>
        <w:t xml:space="preserve">The gap is not technological ambition — it is a missing layer of infrastructure. Institutions need a system that produces cryptographic proofs anyone can verify, without requiring trust in the operator, the software vendor, or any single authority.</w:t>
      </w:r>
    </w:p>
    <w:p>
      <w:pPr>
        <w:pBdr>
          <w:bottom w:val="single" w:color="2E75B6" w:sz="2" w:space="4"/>
        </w:pBdr>
        <w:spacing w:after="100" w:before="100"/>
      </w:pPr>
    </w:p>
    <w:p>
      <w:pPr>
        <w:pStyle w:val="Heading1"/>
        <w:spacing w:after="200" w:before="360"/>
      </w:pPr>
      <w:r>
        <w:t xml:space="preserve">2. Olympus: The Solution</w:t>
      </w:r>
    </w:p>
    <w:p>
      <w:pPr>
        <w:spacing w:after="160" w:line="276"/>
      </w:pPr>
      <w:r>
        <w:rPr>
          <w:rFonts w:ascii="Arial" w:cs="Arial" w:eastAsia="Arial" w:hAnsi="Arial"/>
          <w:sz w:val="22"/>
          <w:szCs w:val="22"/>
        </w:rPr>
        <w:t xml:space="preserve">Olympus is a verifiable ledger for sensitive information. </w:t>
      </w:r>
      <w:r>
        <w:rPr>
          <w:rFonts w:ascii="Arial" w:cs="Arial" w:eastAsia="Arial" w:hAnsi="Arial"/>
          <w:b/>
          <w:bCs/>
          <w:sz w:val="22"/>
          <w:szCs w:val="22"/>
        </w:rPr>
        <w:t xml:space="preserve">It turns institutional data, compliance actions, and oversight decisions into cryptographically provable facts.</w:t>
      </w:r>
    </w:p>
    <w:p>
      <w:pPr>
        <w:spacing w:after="160" w:line="276"/>
      </w:pPr>
      <w:r>
        <w:rPr>
          <w:rFonts w:ascii="Arial" w:cs="Arial" w:eastAsia="Arial" w:hAnsi="Arial"/>
          <w:sz w:val="22"/>
          <w:szCs w:val="22"/>
        </w:rPr>
        <w:t xml:space="preserve">At its core, Olympus answers one question with mathematical certainty: can any party independently verify that a record existed at a specific time, has not been altered, and is part of the official state? The answer is yes — offline, forever.</w:t>
      </w:r>
    </w:p>
    <w:p>
      <w:pPr>
        <w:pStyle w:val="Heading2"/>
        <w:spacing w:after="160" w:before="280"/>
      </w:pPr>
      <w:r>
        <w:t xml:space="preserve">Core Capabilities</w:t>
      </w:r>
    </w:p>
    <w:p>
      <w:pPr>
        <w:pStyle w:val="ListParagraph"/>
        <w:numPr>
          <w:ilvl w:val="0"/>
          <w:numId w:val="2"/>
        </w:numPr>
        <w:spacing w:after="80" w:line="276"/>
      </w:pPr>
      <w:r>
        <w:rPr>
          <w:rFonts w:ascii="Arial" w:cs="Arial" w:eastAsia="Arial" w:hAnsi="Arial"/>
          <w:b/>
          <w:bCs/>
          <w:sz w:val="22"/>
          <w:szCs w:val="22"/>
        </w:rPr>
        <w:t xml:space="preserve">Append-only integrity: </w:t>
      </w:r>
      <w:r>
        <w:rPr>
          <w:rFonts w:ascii="Arial" w:cs="Arial" w:eastAsia="Arial" w:hAnsi="Arial"/>
          <w:sz w:val="22"/>
          <w:szCs w:val="22"/>
        </w:rPr>
        <w:t xml:space="preserve">Every record committed to Olympus is included in a Merkle tree with domain-separated BLAKE3 hashes. Any modification is cryptographically detectable.</w:t>
      </w:r>
    </w:p>
    <w:p>
      <w:pPr>
        <w:pStyle w:val="ListParagraph"/>
        <w:numPr>
          <w:ilvl w:val="0"/>
          <w:numId w:val="2"/>
        </w:numPr>
        <w:spacing w:after="80" w:line="276"/>
      </w:pPr>
      <w:r>
        <w:rPr>
          <w:rFonts w:ascii="Arial" w:cs="Arial" w:eastAsia="Arial" w:hAnsi="Arial"/>
          <w:b/>
          <w:bCs/>
          <w:sz w:val="22"/>
          <w:szCs w:val="22"/>
        </w:rPr>
        <w:t xml:space="preserve">Verifiable provenance: </w:t>
      </w:r>
      <w:r>
        <w:rPr>
          <w:rFonts w:ascii="Arial" w:cs="Arial" w:eastAsia="Arial" w:hAnsi="Arial"/>
          <w:sz w:val="22"/>
          <w:szCs w:val="22"/>
        </w:rPr>
        <w:t xml:space="preserve">Shard headers are Ed25519-signed and anchored with RFC 3161 timestamps. Inclusion proofs are self-contained and verifiable offline.</w:t>
      </w:r>
    </w:p>
    <w:p>
      <w:pPr>
        <w:pStyle w:val="ListParagraph"/>
        <w:numPr>
          <w:ilvl w:val="0"/>
          <w:numId w:val="2"/>
        </w:numPr>
        <w:spacing w:after="80" w:line="276"/>
      </w:pPr>
      <w:r>
        <w:rPr>
          <w:rFonts w:ascii="Arial" w:cs="Arial" w:eastAsia="Arial" w:hAnsi="Arial"/>
          <w:b/>
          <w:bCs/>
          <w:sz w:val="22"/>
          <w:szCs w:val="22"/>
        </w:rPr>
        <w:t xml:space="preserve">Privacy-preserving redaction: </w:t>
      </w:r>
      <w:r>
        <w:rPr>
          <w:rFonts w:ascii="Arial" w:cs="Arial" w:eastAsia="Arial" w:hAnsi="Arial"/>
          <w:sz w:val="22"/>
          <w:szCs w:val="22"/>
        </w:rPr>
        <w:t xml:space="preserve">Zero-knowledge proofs (Poseidon + Groth16) allow selective disclosure — proving a document existed and what was redacted, without revealing redacted content. GDPR-compatible by design.</w:t>
      </w:r>
    </w:p>
    <w:p>
      <w:pPr>
        <w:pStyle w:val="ListParagraph"/>
        <w:numPr>
          <w:ilvl w:val="0"/>
          <w:numId w:val="2"/>
        </w:numPr>
        <w:spacing w:after="80" w:line="276"/>
      </w:pPr>
      <w:r>
        <w:rPr>
          <w:rFonts w:ascii="Arial" w:cs="Arial" w:eastAsia="Arial" w:hAnsi="Arial"/>
          <w:b/>
          <w:bCs/>
          <w:sz w:val="22"/>
          <w:szCs w:val="22"/>
        </w:rPr>
        <w:t xml:space="preserve">Cross-institutional federation: </w:t>
      </w:r>
      <w:r>
        <w:rPr>
          <w:rFonts w:ascii="Arial" w:cs="Arial" w:eastAsia="Arial" w:hAnsi="Arial"/>
          <w:sz w:val="22"/>
          <w:szCs w:val="22"/>
        </w:rPr>
        <w:t xml:space="preserve">Independent parties reach quorum without trusting any single institution. Federation quorum signing is prototyped; Guardian multi-node replication is the Phase 1 roadmap.</w:t>
      </w:r>
    </w:p>
    <w:p>
      <w:pPr>
        <w:pStyle w:val="ListParagraph"/>
        <w:numPr>
          <w:ilvl w:val="0"/>
          <w:numId w:val="2"/>
        </w:numPr>
        <w:spacing w:after="80" w:line="276"/>
      </w:pPr>
      <w:r>
        <w:rPr>
          <w:rFonts w:ascii="Arial" w:cs="Arial" w:eastAsia="Arial" w:hAnsi="Arial"/>
          <w:b/>
          <w:bCs/>
          <w:sz w:val="22"/>
          <w:szCs w:val="22"/>
        </w:rPr>
        <w:t xml:space="preserve">Deterministic canonicalization: </w:t>
      </w:r>
      <w:r>
        <w:rPr>
          <w:rFonts w:ascii="Arial" w:cs="Arial" w:eastAsia="Arial" w:hAnsi="Arial"/>
          <w:sz w:val="22"/>
          <w:szCs w:val="22"/>
        </w:rPr>
        <w:t xml:space="preserve">Documents are reduced to a canonical byte representation before hashing, eliminating parser ambiguity and ensuring identical documents always produce identical proofs.</w:t>
      </w:r>
    </w:p>
    <w:p>
      <w:pPr>
        <w:pStyle w:val="Heading2"/>
        <w:spacing w:after="160" w:before="280"/>
      </w:pPr>
      <w:r>
        <w:t xml:space="preserve">What Olympus Is Not</w:t>
      </w:r>
    </w:p>
    <w:p>
      <w:pPr>
        <w:spacing w:after="160" w:line="276"/>
      </w:pPr>
      <w:r>
        <w:rPr>
          <w:rFonts w:ascii="Arial" w:cs="Arial" w:eastAsia="Arial" w:hAnsi="Arial"/>
          <w:sz w:val="22"/>
          <w:szCs w:val="22"/>
        </w:rPr>
        <w:t xml:space="preserve">Olympus is not a blockchain, a cryptocurrency, or a distributed ledger requiring proof-of-work or proof-of-stake. It does not promise availability under single-operator failure (that is a Phase 1 objective). It does not promise confidentiality of submitted content. It is infrastructure for verifiable record integrity, not a general-purpose database.</w:t>
      </w:r>
    </w:p>
    <w:p>
      <w:pPr>
        <w:pBdr>
          <w:bottom w:val="single" w:color="2E75B6" w:sz="2" w:space="4"/>
        </w:pBdr>
        <w:spacing w:after="100" w:before="100"/>
      </w:pPr>
    </w:p>
    <w:p>
      <w:pPr>
        <w:pStyle w:val="Heading1"/>
        <w:spacing w:after="200" w:before="360"/>
      </w:pPr>
      <w:r>
        <w:t xml:space="preserve">3. Technical Innovation</w:t>
      </w:r>
    </w:p>
    <w:p>
      <w:pPr>
        <w:spacing w:after="160" w:line="276"/>
      </w:pPr>
      <w:r>
        <w:rPr>
          <w:rFonts w:ascii="Arial" w:cs="Arial" w:eastAsia="Arial" w:hAnsi="Arial"/>
          <w:sz w:val="22"/>
          <w:szCs w:val="22"/>
        </w:rPr>
        <w:t xml:space="preserve">Olympus introduces several novel contributions at the intersection of applied cryptography and civic infrastructure:</w:t>
      </w:r>
    </w:p>
    <w:p>
      <w:pPr>
        <w:spacing w:after="120" w:before="200"/>
      </w:pPr>
      <w:r>
        <w:rPr>
          <w:rFonts w:ascii="Arial" w:cs="Arial" w:eastAsia="Arial" w:hAnsi="Arial"/>
          <w:b/>
          <w:bCs/>
          <w:color w:val="2E75B6"/>
          <w:sz w:val="24"/>
          <w:szCs w:val="24"/>
        </w:rPr>
        <w:t xml:space="preserve">CD-HS-ST: Constant-Depth Hierarchical Sparse Tree</w:t>
      </w:r>
    </w:p>
    <w:p>
      <w:pPr>
        <w:spacing w:after="160" w:line="276"/>
      </w:pPr>
      <w:r>
        <w:rPr>
          <w:rFonts w:ascii="Arial" w:cs="Arial" w:eastAsia="Arial" w:hAnsi="Arial"/>
          <w:sz w:val="22"/>
          <w:szCs w:val="22"/>
        </w:rPr>
        <w:t xml:space="preserve">A single global 256-level Sparse Merkle Tree where shard identity is encoded directly into the leaf key rather than maintained as a separate per-shard tree. This eliminates TOCTOU and consistency hazards present in multi-tree architectures. Keys are computed as:</w:t>
      </w:r>
    </w:p>
    <w:p>
      <w:pPr>
        <w:shd w:fill="F5F5F5" w:val="clear"/>
        <w:spacing w:after="120" w:before="120"/>
        <w:jc w:val="center"/>
      </w:pPr>
      <w:r>
        <w:rPr>
          <w:rFonts w:ascii="Courier New" w:cs="Courier New" w:eastAsia="Courier New" w:hAnsi="Courier New"/>
          <w:color w:val="1B3A5C"/>
          <w:sz w:val="21"/>
          <w:szCs w:val="21"/>
        </w:rPr>
        <w:t xml:space="preserve">key = H(GLOBAL_KEY_PREFIX || shard_id || record_key)</w:t>
      </w:r>
    </w:p>
    <w:p>
      <w:pPr>
        <w:spacing w:after="160" w:line="276"/>
      </w:pPr>
      <w:r>
        <w:rPr>
          <w:rFonts w:ascii="Arial" w:cs="Arial" w:eastAsia="Arial" w:hAnsi="Arial"/>
          <w:sz w:val="22"/>
          <w:szCs w:val="22"/>
        </w:rPr>
        <w:t xml:space="preserve">Both inputs are length-prefixed before hashing to prevent field-boundary collisions between shard_id and record_key.</w:t>
      </w:r>
    </w:p>
    <w:p>
      <w:pPr>
        <w:spacing w:after="120" w:before="200"/>
      </w:pPr>
      <w:r>
        <w:rPr>
          <w:rFonts w:ascii="Arial" w:cs="Arial" w:eastAsia="Arial" w:hAnsi="Arial"/>
          <w:b/>
          <w:bCs/>
          <w:color w:val="2E75B6"/>
          <w:sz w:val="24"/>
          <w:szCs w:val="24"/>
        </w:rPr>
        <w:t xml:space="preserve">Dual-Root Commitment Binding</w:t>
      </w:r>
    </w:p>
    <w:p>
      <w:pPr>
        <w:spacing w:after="160" w:line="276"/>
      </w:pPr>
      <w:r>
        <w:rPr>
          <w:rFonts w:ascii="Arial" w:cs="Arial" w:eastAsia="Arial" w:hAnsi="Arial"/>
          <w:sz w:val="22"/>
          <w:szCs w:val="22"/>
        </w:rPr>
        <w:t xml:space="preserve">BLAKE3 ledger roots are bound to Poseidon ZK circuit roots through a validated canonical-hash binding layer. Before witness generation, the Python layer independently recomputes the Poseidon chain and rejects inputs where the canonical hash does not match. This closes the binding gap between the fast hashing layer (BLAKE3) and the arithmetic circuit layer (Poseidon/Groth16).</w:t>
      </w:r>
    </w:p>
    <w:p>
      <w:pPr>
        <w:spacing w:after="120" w:before="200"/>
      </w:pPr>
      <w:r>
        <w:rPr>
          <w:rFonts w:ascii="Arial" w:cs="Arial" w:eastAsia="Arial" w:hAnsi="Arial"/>
          <w:b/>
          <w:bCs/>
          <w:color w:val="2E75B6"/>
          <w:sz w:val="24"/>
          <w:szCs w:val="24"/>
        </w:rPr>
        <w:t xml:space="preserve">Verifiable Redaction Proofs</w:t>
      </w:r>
    </w:p>
    <w:p>
      <w:pPr>
        <w:spacing w:after="160" w:line="276"/>
      </w:pPr>
      <w:r>
        <w:rPr>
          <w:rFonts w:ascii="Arial" w:cs="Arial" w:eastAsia="Arial" w:hAnsi="Arial"/>
          <w:sz w:val="22"/>
          <w:szCs w:val="22"/>
        </w:rPr>
        <w:t xml:space="preserve">Groth16 circuits prove that a redacted document is a valid subset of a committed original, without revealing redacted content. The circuit validates section counts, section lengths, and section hashes against the committed canonical hash. This enables GDPR-compliant right-to-erasure while preserving cryptographic proof of the original disclosure.</w:t>
      </w:r>
    </w:p>
    <w:p>
      <w:pPr>
        <w:spacing w:after="120" w:before="200"/>
      </w:pPr>
      <w:r>
        <w:rPr>
          <w:rFonts w:ascii="Arial" w:cs="Arial" w:eastAsia="Arial" w:hAnsi="Arial"/>
          <w:b/>
          <w:bCs/>
          <w:color w:val="2E75B6"/>
          <w:sz w:val="24"/>
          <w:szCs w:val="24"/>
        </w:rPr>
        <w:t xml:space="preserve">Domain-Separated Hash Architecture</w:t>
      </w:r>
    </w:p>
    <w:p>
      <w:pPr>
        <w:spacing w:after="160" w:line="276"/>
      </w:pPr>
      <w:r>
        <w:rPr>
          <w:rFonts w:ascii="Arial" w:cs="Arial" w:eastAsia="Arial" w:hAnsi="Arial"/>
          <w:sz w:val="22"/>
          <w:szCs w:val="22"/>
        </w:rPr>
        <w:t xml:space="preserve">All hash operations use explicit domain separation prefixes (OLY:LEAF:V1, OLY:NODE:V1, OLY:KEY:V1, etc.) following RFC 6962 conventions. Internal node hashes are computed as H(0x01 || left || right) and leaf hashes as H(0x00 || data), preventing second-preimage attacks where a crafted leaf value could collide with an internal node hash.</w:t>
      </w:r>
    </w:p>
    <w:p>
      <w:pPr>
        <w:pBdr>
          <w:bottom w:val="single" w:color="2E75B6" w:sz="2" w:space="4"/>
        </w:pBdr>
        <w:spacing w:after="100" w:before="100"/>
      </w:pPr>
    </w:p>
    <w:p>
      <w:pPr>
        <w:pStyle w:val="Heading1"/>
        <w:spacing w:after="200" w:before="360"/>
      </w:pPr>
      <w:r>
        <w:t xml:space="preserve">4. System Architecture</w:t>
      </w:r>
    </w:p>
    <w:p>
      <w:pPr>
        <w:pStyle w:val="Heading2"/>
        <w:spacing w:after="160" w:before="280"/>
      </w:pPr>
      <w:r>
        <w:t xml:space="preserve">Service Layers</w:t>
      </w:r>
    </w:p>
    <w:p>
      <w:pPr>
        <w:spacing w:after="160" w:line="276"/>
      </w:pPr>
      <w:r>
        <w:rPr>
          <w:rFonts w:ascii="Arial" w:cs="Arial" w:eastAsia="Arial" w:hAnsi="Arial"/>
          <w:sz w:val="22"/>
          <w:szCs w:val="22"/>
        </w:rPr>
        <w:t xml:space="preserve">Olympus has three service layers with strict responsibility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FastAPI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FastAPI, SQLAlchemy 2, Pydantic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FOIA/dataset endpoints, metadata, policy,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 Sequencer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 1.24, gRPC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Trillian-shaped log API, SMT node delta persistence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Rust Crypto 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blake3, ed25519-dalek, PyO3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BLAKE3 hashing, SMT operations, Ed25519 signing, canonicalization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ZK Circuits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Circom, snarkjs, circomlib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 existence, redaction validity, non-existence proofs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16, Alembic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Append-only record persistence, migration management</w:t>
            </w:r>
          </w:p>
        </w:tc>
      </w:tr>
    </w:tbl>
    <w:p>
      <w:pPr>
        <w:spacing w:after="200"/>
      </w:pPr>
    </w:p>
    <w:p>
      <w:pPr>
        <w:pStyle w:val="Heading2"/>
        <w:spacing w:after="160" w:before="280"/>
      </w:pPr>
      <w:r>
        <w:t xml:space="preserve">Cryptographic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BLAKE3 (domain-separated)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ledger hashing, CD-HS-ST leaf/node hashes, global keys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Ed25519 (PyNaCl / ed25519-dalek)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Shard header signing, federation votes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Poseidon (BN128)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ZK circuit commitments (separate from BLAKE3 ledger layer)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Groth16 (snarkjs / Circom)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ZK proofs: existence, redaction validity, non-existence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RFC 3161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timestamp tokens anchoring shard headers</w:t>
            </w:r>
          </w:p>
        </w:tc>
      </w:tr>
    </w:tbl>
    <w:p>
      <w:pPr>
        <w:spacing w:after="200"/>
      </w:pPr>
    </w:p>
    <w:p>
      <w:pPr>
        <w:pStyle w:val="Heading2"/>
        <w:spacing w:after="160" w:before="280"/>
      </w:pPr>
      <w:r>
        <w:t xml:space="preserve">Current Status</w:t>
      </w:r>
    </w:p>
    <w:p>
      <w:pPr>
        <w:spacing w:after="160" w:line="276"/>
      </w:pPr>
      <w:r>
        <w:rPr>
          <w:rFonts w:ascii="Arial" w:cs="Arial" w:eastAsia="Arial" w:hAnsi="Arial"/>
          <w:sz w:val="22"/>
          <w:szCs w:val="22"/>
        </w:rPr>
        <w:t xml:space="preserve">Phase 0 is complete. The three phase-0 blockers — Groth16 trusted setup ceremony infrastructure, federation decomposition, and end-to-end CI integration tests against PostgreSQL — are all resolved. The codebase has passed two rounds of security audit with all critical and high findings closed. Test coverage exceeds 85%.</w:t>
      </w:r>
    </w:p>
    <w:p>
      <w:pPr>
        <w:pBdr>
          <w:bottom w:val="single" w:color="2E75B6" w:sz="2" w:space="4"/>
        </w:pBdr>
        <w:spacing w:after="100" w:before="100"/>
      </w:pPr>
    </w:p>
    <w:p>
      <w:pPr>
        <w:pStyle w:val="Heading1"/>
        <w:spacing w:after="200" w:before="360"/>
      </w:pPr>
      <w:r>
        <w:t xml:space="preserve">5. Use Cases &amp; Projected Impact</w:t>
      </w:r>
    </w:p>
    <w:p>
      <w:pPr>
        <w:spacing w:after="120" w:before="200"/>
      </w:pPr>
      <w:r>
        <w:rPr>
          <w:rFonts w:ascii="Arial" w:cs="Arial" w:eastAsia="Arial" w:hAnsi="Arial"/>
          <w:b/>
          <w:bCs/>
          <w:color w:val="2E75B6"/>
          <w:sz w:val="24"/>
          <w:szCs w:val="24"/>
        </w:rPr>
        <w:t xml:space="preserve">Government Transparency (FOIA)</w:t>
      </w:r>
    </w:p>
    <w:p>
      <w:pPr>
        <w:spacing w:after="160" w:line="276"/>
      </w:pPr>
      <w:r>
        <w:rPr>
          <w:rFonts w:ascii="Arial" w:cs="Arial" w:eastAsia="Arial" w:hAnsi="Arial"/>
          <w:sz w:val="22"/>
          <w:szCs w:val="22"/>
        </w:rPr>
        <w:t xml:space="preserve">Federal and state agencies process millions of FOIA requests annually. Olympus provides cryptographic proof that a response was issued at a specific time with specific content, preventing after-the-fact alteration. Requesters and journalists can independently verify that the documents they received match the official record — without trusting the agency.</w:t>
      </w:r>
    </w:p>
    <w:p>
      <w:pPr>
        <w:shd w:fill="FFF9E6" w:val="clear"/>
        <w:spacing w:after="160" w:line="276"/>
      </w:pPr>
      <w:r>
        <w:rPr>
          <w:rFonts w:ascii="Arial" w:cs="Arial" w:eastAsia="Arial" w:hAnsi="Arial"/>
          <w:i/>
          <w:iCs/>
          <w:color w:val="996600"/>
          <w:sz w:val="22"/>
          <w:szCs w:val="22"/>
        </w:rPr>
        <w:t xml:space="preserve">[Insert: specific FOIA statistics for target jurisdiction; name a potential pilot agency partner if available]</w:t>
      </w:r>
    </w:p>
    <w:p>
      <w:pPr>
        <w:spacing w:after="120" w:before="200"/>
      </w:pPr>
      <w:r>
        <w:rPr>
          <w:rFonts w:ascii="Arial" w:cs="Arial" w:eastAsia="Arial" w:hAnsi="Arial"/>
          <w:b/>
          <w:bCs/>
          <w:color w:val="2E75B6"/>
          <w:sz w:val="24"/>
          <w:szCs w:val="24"/>
        </w:rPr>
        <w:t xml:space="preserve">Regulatory Compliance &amp; Audit</w:t>
      </w:r>
    </w:p>
    <w:p>
      <w:pPr>
        <w:spacing w:after="160" w:line="276"/>
      </w:pPr>
      <w:r>
        <w:rPr>
          <w:rFonts w:ascii="Arial" w:cs="Arial" w:eastAsia="Arial" w:hAnsi="Arial"/>
          <w:sz w:val="22"/>
          <w:szCs w:val="22"/>
        </w:rPr>
        <w:t xml:space="preserve">Financial institutions, healthcare organizations, and government contractors face audit requirements where the chain of custody of records is legally significant. Olympus provides tamper-evident, timestamped records with inclusion proofs that satisfy regulatory evidence requirements without relying on the audited party to maintain log integrity.</w:t>
      </w:r>
    </w:p>
    <w:p>
      <w:pPr>
        <w:shd w:fill="FFF9E6" w:val="clear"/>
        <w:spacing w:after="160" w:line="276"/>
      </w:pPr>
      <w:r>
        <w:rPr>
          <w:rFonts w:ascii="Arial" w:cs="Arial" w:eastAsia="Arial" w:hAnsi="Arial"/>
          <w:i/>
          <w:iCs/>
          <w:color w:val="996600"/>
          <w:sz w:val="22"/>
          <w:szCs w:val="22"/>
        </w:rPr>
        <w:t xml:space="preserve">[Insert: cite specific regulatory frameworks (SOX, HIPAA, FedRAMP) and estimated compliance cost savings]</w:t>
      </w:r>
    </w:p>
    <w:p>
      <w:pPr>
        <w:spacing w:after="120" w:before="200"/>
      </w:pPr>
      <w:r>
        <w:rPr>
          <w:rFonts w:ascii="Arial" w:cs="Arial" w:eastAsia="Arial" w:hAnsi="Arial"/>
          <w:b/>
          <w:bCs/>
          <w:color w:val="2E75B6"/>
          <w:sz w:val="24"/>
          <w:szCs w:val="24"/>
        </w:rPr>
        <w:t xml:space="preserve">GDPR-Compatible Data Governance</w:t>
      </w:r>
    </w:p>
    <w:p>
      <w:pPr>
        <w:spacing w:after="160" w:line="276"/>
      </w:pPr>
      <w:r>
        <w:rPr>
          <w:rFonts w:ascii="Arial" w:cs="Arial" w:eastAsia="Arial" w:hAnsi="Arial"/>
          <w:sz w:val="22"/>
          <w:szCs w:val="22"/>
        </w:rPr>
        <w:t xml:space="preserve">The right to erasure under GDPR creates a fundamental tension with audit requirements: how do you prove what was disclosed while honoring deletion requests? Olympus solves this with zero-knowledge redaction proofs — cryptographic evidence that a record existed and what was removed, without retaining the removed content.</w:t>
      </w:r>
    </w:p>
    <w:p>
      <w:pPr>
        <w:shd w:fill="FFF9E6" w:val="clear"/>
        <w:spacing w:after="160" w:line="276"/>
      </w:pPr>
      <w:r>
        <w:rPr>
          <w:rFonts w:ascii="Arial" w:cs="Arial" w:eastAsia="Arial" w:hAnsi="Arial"/>
          <w:i/>
          <w:iCs/>
          <w:color w:val="996600"/>
          <w:sz w:val="22"/>
          <w:szCs w:val="22"/>
        </w:rPr>
        <w:t xml:space="preserve">[Insert: EU-specific regulatory citation; potential EU institutional partner]</w:t>
      </w:r>
    </w:p>
    <w:p>
      <w:pPr>
        <w:spacing w:after="120" w:before="200"/>
      </w:pPr>
      <w:r>
        <w:rPr>
          <w:rFonts w:ascii="Arial" w:cs="Arial" w:eastAsia="Arial" w:hAnsi="Arial"/>
          <w:b/>
          <w:bCs/>
          <w:color w:val="2E75B6"/>
          <w:sz w:val="24"/>
          <w:szCs w:val="24"/>
        </w:rPr>
        <w:t xml:space="preserve">Supply Chain &amp; Data Provenance</w:t>
      </w:r>
    </w:p>
    <w:p>
      <w:pPr>
        <w:spacing w:after="160" w:line="276"/>
      </w:pPr>
      <w:r>
        <w:rPr>
          <w:rFonts w:ascii="Arial" w:cs="Arial" w:eastAsia="Arial" w:hAnsi="Arial"/>
          <w:sz w:val="22"/>
          <w:szCs w:val="22"/>
        </w:rPr>
        <w:t xml:space="preserve">Any domain where chain-of-custody matters — pharmaceutical supply chains, evidence handling, financial transaction trails — benefits from verifiable, append-only provenance. Olympus provides the cryptographic substrate for proving lineage without requiring trust in any single link in the chain.</w:t>
      </w:r>
    </w:p>
    <w:p>
      <w:pPr>
        <w:pBdr>
          <w:bottom w:val="single" w:color="2E75B6" w:sz="2" w:space="4"/>
        </w:pBdr>
        <w:spacing w:after="100" w:before="100"/>
      </w:pPr>
    </w:p>
    <w:p>
      <w:pPr>
        <w:pStyle w:val="Heading1"/>
        <w:spacing w:after="200" w:before="360"/>
      </w:pPr>
      <w:r>
        <w:t xml:space="preserve">6. Team &amp; Governance</w:t>
      </w:r>
    </w:p>
    <w:p>
      <w:pPr>
        <w:shd w:fill="FFF9E6" w:val="clear"/>
        <w:spacing w:after="160" w:line="276"/>
      </w:pPr>
      <w:r>
        <w:rPr>
          <w:rFonts w:ascii="Arial" w:cs="Arial" w:eastAsia="Arial" w:hAnsi="Arial"/>
          <w:i/>
          <w:iCs/>
          <w:color w:val="996600"/>
          <w:sz w:val="22"/>
          <w:szCs w:val="22"/>
        </w:rPr>
        <w:t xml:space="preserve">[Insert: Principal Investigator name, title, institution, and 2–3 sentence bio emphasizing relevant expertise (applied cryptography, civic tech, systems engineering)]</w:t>
      </w:r>
    </w:p>
    <w:p>
      <w:pPr>
        <w:shd w:fill="FFF9E6" w:val="clear"/>
        <w:spacing w:after="160" w:line="276"/>
      </w:pPr>
      <w:r>
        <w:rPr>
          <w:rFonts w:ascii="Arial" w:cs="Arial" w:eastAsia="Arial" w:hAnsi="Arial"/>
          <w:i/>
          <w:iCs/>
          <w:color w:val="996600"/>
          <w:sz w:val="22"/>
          <w:szCs w:val="22"/>
        </w:rPr>
        <w:t xml:space="preserve">[Insert: Co-PI(s) and key personnel with relevant credentials]</w:t>
      </w:r>
    </w:p>
    <w:p>
      <w:pPr>
        <w:shd w:fill="FFF9E6" w:val="clear"/>
        <w:spacing w:after="160" w:line="276"/>
      </w:pPr>
      <w:r>
        <w:rPr>
          <w:rFonts w:ascii="Arial" w:cs="Arial" w:eastAsia="Arial" w:hAnsi="Arial"/>
          <w:i/>
          <w:iCs/>
          <w:color w:val="996600"/>
          <w:sz w:val="22"/>
          <w:szCs w:val="22"/>
        </w:rPr>
        <w:t xml:space="preserve">[Insert: Institutional affiliation and any existing infrastructure support]</w:t>
      </w:r>
    </w:p>
    <w:p>
      <w:pPr>
        <w:pStyle w:val="Heading2"/>
        <w:spacing w:after="160" w:before="280"/>
      </w:pPr>
      <w:r>
        <w:t xml:space="preserve">Open Source Governance</w:t>
      </w:r>
    </w:p>
    <w:p>
      <w:pPr>
        <w:spacing w:after="160" w:line="276"/>
      </w:pPr>
      <w:r>
        <w:rPr>
          <w:rFonts w:ascii="Arial" w:cs="Arial" w:eastAsia="Arial" w:hAnsi="Arial"/>
          <w:sz w:val="22"/>
          <w:szCs w:val="22"/>
        </w:rPr>
        <w:t xml:space="preserve">Olympus is licensed under Apache 2.0 with strong patent protections. All components are open source: protocol implementations, ZK circuits, storage layer, API gateway, verification tools, and CLI tools. The project follows a coordinated disclosure security policy with documented response SLAs.</w:t>
      </w:r>
    </w:p>
    <w:p>
      <w:pPr>
        <w:shd w:fill="FFF9E6" w:val="clear"/>
        <w:spacing w:after="160" w:line="276"/>
      </w:pPr>
      <w:r>
        <w:rPr>
          <w:rFonts w:ascii="Arial" w:cs="Arial" w:eastAsia="Arial" w:hAnsi="Arial"/>
          <w:i/>
          <w:iCs/>
          <w:color w:val="996600"/>
          <w:sz w:val="22"/>
          <w:szCs w:val="22"/>
        </w:rPr>
        <w:t xml:space="preserve">[Insert: describe planned governance model — steering committee, advisory board, community contribution process]</w:t>
      </w:r>
    </w:p>
    <w:p>
      <w:pPr>
        <w:pBdr>
          <w:bottom w:val="single" w:color="2E75B6" w:sz="2" w:space="4"/>
        </w:pBdr>
        <w:spacing w:after="100" w:before="100"/>
      </w:pPr>
    </w:p>
    <w:p>
      <w:pPr>
        <w:pStyle w:val="Heading1"/>
        <w:spacing w:after="200" w:before="360"/>
      </w:pPr>
      <w:r>
        <w:t xml:space="preserve">7. Research Contributions</w:t>
      </w:r>
    </w:p>
    <w:p>
      <w:pPr>
        <w:spacing w:after="160" w:line="276"/>
      </w:pPr>
      <w:r>
        <w:rPr>
          <w:rFonts w:ascii="Arial" w:cs="Arial" w:eastAsia="Arial" w:hAnsi="Arial"/>
          <w:sz w:val="22"/>
          <w:szCs w:val="22"/>
        </w:rPr>
        <w:t xml:space="preserve">The following are planned or potential peer-reviewed publications arising from this work:</w:t>
      </w:r>
    </w:p>
    <w:p>
      <w:pPr>
        <w:pStyle w:val="ListParagraph"/>
        <w:numPr>
          <w:ilvl w:val="0"/>
          <w:numId w:val="2"/>
        </w:numPr>
        <w:spacing w:after="80" w:line="276"/>
      </w:pPr>
      <w:r>
        <w:rPr>
          <w:rFonts w:ascii="Arial" w:cs="Arial" w:eastAsia="Arial" w:hAnsi="Arial"/>
          <w:b/>
          <w:bCs/>
          <w:sz w:val="22"/>
          <w:szCs w:val="22"/>
        </w:rPr>
        <w:t xml:space="preserve">CD-HS-ST formal specification: </w:t>
      </w:r>
      <w:r>
        <w:rPr>
          <w:rFonts w:ascii="Arial" w:cs="Arial" w:eastAsia="Arial" w:hAnsi="Arial"/>
          <w:sz w:val="22"/>
          <w:szCs w:val="22"/>
        </w:rPr>
        <w:t xml:space="preserve">A paper formalizing the Constant-Depth Hierarchical Sparse Tree, including security proofs for collision resistance under length-prefixed domain separation.</w:t>
      </w:r>
    </w:p>
    <w:p>
      <w:pPr>
        <w:pStyle w:val="ListParagraph"/>
        <w:numPr>
          <w:ilvl w:val="0"/>
          <w:numId w:val="2"/>
        </w:numPr>
        <w:spacing w:after="80" w:line="276"/>
      </w:pPr>
      <w:r>
        <w:rPr>
          <w:rFonts w:ascii="Arial" w:cs="Arial" w:eastAsia="Arial" w:hAnsi="Arial"/>
          <w:b/>
          <w:bCs/>
          <w:sz w:val="22"/>
          <w:szCs w:val="22"/>
        </w:rPr>
        <w:t xml:space="preserve">Dual-root commitment binding: </w:t>
      </w:r>
      <w:r>
        <w:rPr>
          <w:rFonts w:ascii="Arial" w:cs="Arial" w:eastAsia="Arial" w:hAnsi="Arial"/>
          <w:sz w:val="22"/>
          <w:szCs w:val="22"/>
        </w:rPr>
        <w:t xml:space="preserve">Analysis of the BLAKE3/Poseidon binding layer, proving that the canonical hash binding closes the gap between the ledger hash domain and the arithmetic circuit domain.</w:t>
      </w:r>
    </w:p>
    <w:p>
      <w:pPr>
        <w:pStyle w:val="ListParagraph"/>
        <w:numPr>
          <w:ilvl w:val="0"/>
          <w:numId w:val="2"/>
        </w:numPr>
        <w:spacing w:after="80" w:line="276"/>
      </w:pPr>
      <w:r>
        <w:rPr>
          <w:rFonts w:ascii="Arial" w:cs="Arial" w:eastAsia="Arial" w:hAnsi="Arial"/>
          <w:b/>
          <w:bCs/>
          <w:sz w:val="22"/>
          <w:szCs w:val="22"/>
        </w:rPr>
        <w:t xml:space="preserve">Verifiable redaction under GDPR: </w:t>
      </w:r>
      <w:r>
        <w:rPr>
          <w:rFonts w:ascii="Arial" w:cs="Arial" w:eastAsia="Arial" w:hAnsi="Arial"/>
          <w:sz w:val="22"/>
          <w:szCs w:val="22"/>
        </w:rPr>
        <w:t xml:space="preserve">A treatment of how ZK-proof-based redaction satisfies the legal requirements of the right to erasure while maintaining audit integrity.</w:t>
      </w:r>
    </w:p>
    <w:p>
      <w:pPr>
        <w:pStyle w:val="ListParagraph"/>
        <w:numPr>
          <w:ilvl w:val="0"/>
          <w:numId w:val="2"/>
        </w:numPr>
        <w:spacing w:after="80" w:line="276"/>
      </w:pPr>
      <w:r>
        <w:rPr>
          <w:rFonts w:ascii="Arial" w:cs="Arial" w:eastAsia="Arial" w:hAnsi="Arial"/>
          <w:b/>
          <w:bCs/>
          <w:sz w:val="22"/>
          <w:szCs w:val="22"/>
        </w:rPr>
        <w:t xml:space="preserve">Benchmarks and performance analysis: </w:t>
      </w:r>
      <w:r>
        <w:rPr>
          <w:rFonts w:ascii="Arial" w:cs="Arial" w:eastAsia="Arial" w:hAnsi="Arial"/>
          <w:sz w:val="22"/>
          <w:szCs w:val="22"/>
        </w:rPr>
        <w:t xml:space="preserve">Empirical evaluation of proof generation and verification times, tree operations at scale, and canonicalization throughput.</w:t>
      </w:r>
    </w:p>
    <w:p>
      <w:pPr>
        <w:shd w:fill="FFF9E6" w:val="clear"/>
        <w:spacing w:after="160" w:line="276"/>
      </w:pPr>
      <w:r>
        <w:rPr>
          <w:rFonts w:ascii="Arial" w:cs="Arial" w:eastAsia="Arial" w:hAnsi="Arial"/>
          <w:i/>
          <w:iCs/>
          <w:color w:val="996600"/>
          <w:sz w:val="22"/>
          <w:szCs w:val="22"/>
        </w:rPr>
        <w:t xml:space="preserve">[Insert: target venues (e.g., IEEE S&amp;P, USENIX Security, ACM CCS, PETS, NDSS)]</w:t>
      </w:r>
    </w:p>
    <w:p>
      <w:pPr>
        <w:pBdr>
          <w:bottom w:val="single" w:color="2E75B6" w:sz="2" w:space="4"/>
        </w:pBdr>
        <w:spacing w:after="100" w:before="100"/>
      </w:pPr>
    </w:p>
    <w:p>
      <w:pPr>
        <w:pStyle w:val="Heading1"/>
        <w:spacing w:after="200" w:before="360"/>
      </w:pPr>
      <w:r>
        <w:t xml:space="preserve">8. Budget Framework</w:t>
      </w:r>
    </w:p>
    <w:p>
      <w:pPr>
        <w:spacing w:after="160" w:line="276"/>
      </w:pPr>
      <w:r>
        <w:rPr>
          <w:rFonts w:ascii="Arial" w:cs="Arial" w:eastAsia="Arial" w:hAnsi="Arial"/>
          <w:sz w:val="22"/>
          <w:szCs w:val="22"/>
        </w:rPr>
        <w:t xml:space="preserve">The budget below is a template to be scaled and adapted based on funder requirements, grant duration, and scope. All figures are annual estimates.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Annual</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Personnel: PI (50%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Protocol design, publication lead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Personnel: Systems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Rust/Go service integration, performance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Personnel: Applied Cryptographer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ZK circuits, ceremony, formal proofs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Personnel: Civic Tech Researcher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Pilot coordination, user research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Infrastructure (cloud, CI, HSMs)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CI runners, HSM for ceremony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Travel &amp; Conferences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 conference presentations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Audit (external)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third-party audit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Indirect Costs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institutional rate</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Estimated Total (excl. indirect)</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$455,000</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B3A5C"/>
                <w:sz w:val="19"/>
                <w:szCs w:val="19"/>
              </w:rPr>
              <w:t xml:space="preserve">Scale up/down per funder scope</w:t>
            </w:r>
          </w:p>
        </w:tc>
      </w:tr>
    </w:tbl>
    <w:p>
      <w:pPr>
        <w:spacing w:after="200"/>
      </w:pPr>
    </w:p>
    <w:p>
      <w:pPr>
        <w:shd w:fill="FFF9E6" w:val="clear"/>
        <w:spacing w:after="160" w:line="276"/>
      </w:pPr>
      <w:r>
        <w:rPr>
          <w:rFonts w:ascii="Arial" w:cs="Arial" w:eastAsia="Arial" w:hAnsi="Arial"/>
          <w:i/>
          <w:iCs/>
          <w:color w:val="996600"/>
          <w:sz w:val="22"/>
          <w:szCs w:val="22"/>
        </w:rPr>
        <w:t xml:space="preserve">[Insert: adjust personnel counts, effort levels, and rates to match institutional norms and grant duration (1–3 years)]</w:t>
      </w:r>
    </w:p>
    <w:p>
      <w:pPr>
        <w:pBdr>
          <w:bottom w:val="single" w:color="2E75B6" w:sz="2" w:space="4"/>
        </w:pBdr>
        <w:spacing w:after="100" w:before="100"/>
      </w:pPr>
    </w:p>
    <w:p>
      <w:pPr>
        <w:pStyle w:val="Heading1"/>
        <w:spacing w:after="200" w:before="360"/>
      </w:pPr>
      <w:r>
        <w:t xml:space="preserve">9.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Protocol whitepaper &amp; formal specification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Peer-reviewed paper submitted; formal security proofs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Q1–Q2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Groth16 trusted setup ceremony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 proving/verification keys; ceremony transcript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Pilot deployment with partner institution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Working deployment with real FOIA/records workflow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Q2–Q3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 sequencer + Rust service integration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architecture live; benchmarks published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Federation multi-node replication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Guardian replication across 3+ independent operators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Q3–Q4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benchmarks &amp; evaluation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Published benchmark paper; optimization recommendations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 release &amp; community onboarding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Documentation, contributor guide, deployment templates</w:t>
            </w:r>
          </w:p>
        </w:tc>
      </w:tr>
    </w:tbl>
    <w:p>
      <w:pPr>
        <w:spacing w:after="200"/>
      </w:pPr>
    </w:p>
    <w:p>
      <w:pPr>
        <w:shd w:fill="FFF9E6" w:val="clear"/>
        <w:spacing w:after="160" w:line="276"/>
      </w:pPr>
      <w:r>
        <w:rPr>
          <w:rFonts w:ascii="Arial" w:cs="Arial" w:eastAsia="Arial" w:hAnsi="Arial"/>
          <w:i/>
          <w:iCs/>
          <w:color w:val="996600"/>
          <w:sz w:val="22"/>
          <w:szCs w:val="22"/>
        </w:rPr>
        <w:t xml:space="preserve">[Insert: adjust timeline to match grant duration and specific funder reporting requirements]</w:t>
      </w:r>
    </w:p>
    <w:p>
      <w:pPr>
        <w:pBdr>
          <w:bottom w:val="single" w:color="2E75B6" w:sz="2" w:space="4"/>
        </w:pBdr>
        <w:spacing w:after="100" w:before="100"/>
      </w:pPr>
    </w:p>
    <w:p>
      <w:pPr>
        <w:pStyle w:val="Heading1"/>
        <w:spacing w:after="200" w:before="360"/>
      </w:pPr>
      <w:r>
        <w:t xml:space="preserve">10. Evaluation &amp; Success Metrics</w:t>
      </w:r>
    </w:p>
    <w:p>
      <w:pPr>
        <w:spacing w:after="160" w:line="276"/>
      </w:pPr>
      <w:r>
        <w:rPr>
          <w:rFonts w:ascii="Arial" w:cs="Arial" w:eastAsia="Arial" w:hAnsi="Arial"/>
          <w:sz w:val="22"/>
          <w:szCs w:val="22"/>
        </w:rPr>
        <w:t xml:space="preserve">The following metrics provide concrete, measurable indicators of project success:</w:t>
      </w:r>
    </w:p>
    <w:p>
      <w:pPr>
        <w:spacing w:after="120" w:before="200"/>
      </w:pPr>
      <w:r>
        <w:rPr>
          <w:rFonts w:ascii="Arial" w:cs="Arial" w:eastAsia="Arial" w:hAnsi="Arial"/>
          <w:b/>
          <w:bCs/>
          <w:color w:val="2E75B6"/>
          <w:sz w:val="24"/>
          <w:szCs w:val="24"/>
        </w:rPr>
        <w:t xml:space="preserve">Technical Metrics</w:t>
      </w:r>
    </w:p>
    <w:p>
      <w:pPr>
        <w:pStyle w:val="ListParagraph"/>
        <w:numPr>
          <w:ilvl w:val="0"/>
          <w:numId w:val="2"/>
        </w:numPr>
        <w:spacing w:after="80" w:line="276"/>
      </w:pPr>
      <w:r>
        <w:rPr>
          <w:rFonts w:ascii="Arial" w:cs="Arial" w:eastAsia="Arial" w:hAnsi="Arial"/>
          <w:sz w:val="22"/>
          <w:szCs w:val="22"/>
        </w:rPr>
        <w:t xml:space="preserve">Proof verification time under 50ms for inclusion proofs on commodity hardware</w:t>
      </w:r>
    </w:p>
    <w:p>
      <w:pPr>
        <w:pStyle w:val="ListParagraph"/>
        <w:numPr>
          <w:ilvl w:val="0"/>
          <w:numId w:val="2"/>
        </w:numPr>
        <w:spacing w:after="80" w:line="276"/>
      </w:pPr>
      <w:r>
        <w:rPr>
          <w:rFonts w:ascii="Arial" w:cs="Arial" w:eastAsia="Arial" w:hAnsi="Arial"/>
          <w:sz w:val="22"/>
          <w:szCs w:val="22"/>
        </w:rPr>
        <w:t xml:space="preserve">Merkle tree operations supporting 10,000+ records per second on the Rust hot path</w:t>
      </w:r>
    </w:p>
    <w:p>
      <w:pPr>
        <w:pStyle w:val="ListParagraph"/>
        <w:numPr>
          <w:ilvl w:val="0"/>
          <w:numId w:val="2"/>
        </w:numPr>
        <w:spacing w:after="80" w:line="276"/>
      </w:pPr>
      <w:r>
        <w:rPr>
          <w:rFonts w:ascii="Arial" w:cs="Arial" w:eastAsia="Arial" w:hAnsi="Arial"/>
          <w:sz w:val="22"/>
          <w:szCs w:val="22"/>
        </w:rPr>
        <w:t xml:space="preserve">ZK proof generation under 30 seconds for standard redaction proofs</w:t>
      </w:r>
    </w:p>
    <w:p>
      <w:pPr>
        <w:pStyle w:val="ListParagraph"/>
        <w:numPr>
          <w:ilvl w:val="0"/>
          <w:numId w:val="2"/>
        </w:numPr>
        <w:spacing w:after="80" w:line="276"/>
      </w:pPr>
      <w:r>
        <w:rPr>
          <w:rFonts w:ascii="Arial" w:cs="Arial" w:eastAsia="Arial" w:hAnsi="Arial"/>
          <w:sz w:val="22"/>
          <w:szCs w:val="22"/>
        </w:rPr>
        <w:t xml:space="preserve">Canonicalization determinism validated against 100,000+ test vectors across all supported document types</w:t>
      </w:r>
    </w:p>
    <w:p>
      <w:pPr>
        <w:pStyle w:val="ListParagraph"/>
        <w:numPr>
          <w:ilvl w:val="0"/>
          <w:numId w:val="2"/>
        </w:numPr>
        <w:spacing w:after="80" w:line="276"/>
      </w:pPr>
      <w:r>
        <w:rPr>
          <w:rFonts w:ascii="Arial" w:cs="Arial" w:eastAsia="Arial" w:hAnsi="Arial"/>
          <w:sz w:val="22"/>
          <w:szCs w:val="22"/>
        </w:rPr>
        <w:t xml:space="preserve">Cross-language verifier conformance: Go, JavaScript, and Rust verifiers produce identical results on all test vectors</w:t>
      </w:r>
    </w:p>
    <w:p>
      <w:pPr>
        <w:spacing w:after="120" w:before="200"/>
      </w:pPr>
      <w:r>
        <w:rPr>
          <w:rFonts w:ascii="Arial" w:cs="Arial" w:eastAsia="Arial" w:hAnsi="Arial"/>
          <w:b/>
          <w:bCs/>
          <w:color w:val="2E75B6"/>
          <w:sz w:val="24"/>
          <w:szCs w:val="24"/>
        </w:rPr>
        <w:t xml:space="preserve">Adoption Metrics</w:t>
      </w:r>
    </w:p>
    <w:p>
      <w:pPr>
        <w:pStyle w:val="ListParagraph"/>
        <w:numPr>
          <w:ilvl w:val="0"/>
          <w:numId w:val="2"/>
        </w:numPr>
        <w:spacing w:after="80" w:line="276"/>
      </w:pPr>
      <w:r>
        <w:rPr>
          <w:rFonts w:ascii="Arial" w:cs="Arial" w:eastAsia="Arial" w:hAnsi="Arial"/>
          <w:sz w:val="22"/>
          <w:szCs w:val="22"/>
        </w:rPr>
        <w:t xml:space="preserve">At least one institutional pilot deployment processing real records</w:t>
      </w:r>
    </w:p>
    <w:p>
      <w:pPr>
        <w:pStyle w:val="ListParagraph"/>
        <w:numPr>
          <w:ilvl w:val="0"/>
          <w:numId w:val="2"/>
        </w:numPr>
        <w:spacing w:after="80" w:line="276"/>
      </w:pPr>
      <w:r>
        <w:rPr>
          <w:rFonts w:ascii="Arial" w:cs="Arial" w:eastAsia="Arial" w:hAnsi="Arial"/>
          <w:sz w:val="22"/>
          <w:szCs w:val="22"/>
        </w:rPr>
        <w:t xml:space="preserve">Three or more independent operators running federation nodes</w:t>
      </w:r>
    </w:p>
    <w:p>
      <w:pPr>
        <w:pStyle w:val="ListParagraph"/>
        <w:numPr>
          <w:ilvl w:val="0"/>
          <w:numId w:val="2"/>
        </w:numPr>
        <w:spacing w:after="80" w:line="276"/>
      </w:pPr>
      <w:r>
        <w:rPr>
          <w:rFonts w:ascii="Arial" w:cs="Arial" w:eastAsia="Arial" w:hAnsi="Arial"/>
          <w:sz w:val="22"/>
          <w:szCs w:val="22"/>
        </w:rPr>
        <w:t xml:space="preserve">Public API documentation with at least five third-party integrations</w:t>
      </w:r>
    </w:p>
    <w:p>
      <w:pPr>
        <w:spacing w:after="120" w:before="200"/>
      </w:pPr>
      <w:r>
        <w:rPr>
          <w:rFonts w:ascii="Arial" w:cs="Arial" w:eastAsia="Arial" w:hAnsi="Arial"/>
          <w:b/>
          <w:bCs/>
          <w:color w:val="2E75B6"/>
          <w:sz w:val="24"/>
          <w:szCs w:val="24"/>
        </w:rPr>
        <w:t xml:space="preserve">Research Metrics</w:t>
      </w:r>
    </w:p>
    <w:p>
      <w:pPr>
        <w:pStyle w:val="ListParagraph"/>
        <w:numPr>
          <w:ilvl w:val="0"/>
          <w:numId w:val="2"/>
        </w:numPr>
        <w:spacing w:after="80" w:line="276"/>
      </w:pPr>
      <w:r>
        <w:rPr>
          <w:rFonts w:ascii="Arial" w:cs="Arial" w:eastAsia="Arial" w:hAnsi="Arial"/>
          <w:sz w:val="22"/>
          <w:szCs w:val="22"/>
        </w:rPr>
        <w:t xml:space="preserve">At least two peer-reviewed publications at top-tier security venues</w:t>
      </w:r>
    </w:p>
    <w:p>
      <w:pPr>
        <w:pStyle w:val="ListParagraph"/>
        <w:numPr>
          <w:ilvl w:val="0"/>
          <w:numId w:val="2"/>
        </w:numPr>
        <w:spacing w:after="80" w:line="276"/>
      </w:pPr>
      <w:r>
        <w:rPr>
          <w:rFonts w:ascii="Arial" w:cs="Arial" w:eastAsia="Arial" w:hAnsi="Arial"/>
          <w:sz w:val="22"/>
          <w:szCs w:val="22"/>
        </w:rPr>
        <w:t xml:space="preserve">Formal security proof for CD-HS-ST collision resistance</w:t>
      </w:r>
    </w:p>
    <w:p>
      <w:pPr>
        <w:pStyle w:val="ListParagraph"/>
        <w:numPr>
          <w:ilvl w:val="0"/>
          <w:numId w:val="2"/>
        </w:numPr>
        <w:spacing w:after="80" w:line="276"/>
      </w:pPr>
      <w:r>
        <w:rPr>
          <w:rFonts w:ascii="Arial" w:cs="Arial" w:eastAsia="Arial" w:hAnsi="Arial"/>
          <w:sz w:val="22"/>
          <w:szCs w:val="22"/>
        </w:rPr>
        <w:t xml:space="preserve">Published benchmark suite reproducible by third parties</w:t>
      </w:r>
    </w:p>
    <w:p>
      <w:pPr>
        <w:shd w:fill="FFF9E6" w:val="clear"/>
        <w:spacing w:after="160" w:line="276"/>
      </w:pPr>
      <w:r>
        <w:rPr>
          <w:rFonts w:ascii="Arial" w:cs="Arial" w:eastAsia="Arial" w:hAnsi="Arial"/>
          <w:i/>
          <w:iCs/>
          <w:color w:val="996600"/>
          <w:sz w:val="22"/>
          <w:szCs w:val="22"/>
        </w:rPr>
        <w:t xml:space="preserve">[Insert: funder-specific evaluation criteria if required by the grant program]</w:t>
      </w:r>
    </w:p>
    <w:p>
      <w:pPr>
        <w:pBdr>
          <w:bottom w:val="single" w:color="2E75B6" w:sz="2" w:space="4"/>
        </w:pBdr>
        <w:spacing w:after="100" w:before="100"/>
      </w:pPr>
    </w:p>
    <w:p>
      <w:pPr>
        <w:pStyle w:val="Heading1"/>
        <w:spacing w:after="200" w:before="360"/>
      </w:pPr>
      <w:r>
        <w:t xml:space="preserve">11. Sustainability &amp; Long-Term Plan</w:t>
      </w:r>
    </w:p>
    <w:p>
      <w:pPr>
        <w:spacing w:after="160" w:line="276"/>
      </w:pPr>
      <w:r>
        <w:rPr>
          <w:rFonts w:ascii="Arial" w:cs="Arial" w:eastAsia="Arial" w:hAnsi="Arial"/>
          <w:sz w:val="22"/>
          <w:szCs w:val="22"/>
        </w:rPr>
        <w:t xml:space="preserve">Olympus is designed for long-term viability beyond any single grant cycle:</w:t>
      </w:r>
    </w:p>
    <w:p>
      <w:pPr>
        <w:pStyle w:val="ListParagraph"/>
        <w:numPr>
          <w:ilvl w:val="0"/>
          <w:numId w:val="2"/>
        </w:numPr>
        <w:spacing w:after="80" w:line="276"/>
      </w:pPr>
      <w:r>
        <w:rPr>
          <w:rFonts w:ascii="Arial" w:cs="Arial" w:eastAsia="Arial" w:hAnsi="Arial"/>
          <w:b/>
          <w:bCs/>
          <w:sz w:val="22"/>
          <w:szCs w:val="22"/>
        </w:rPr>
        <w:t xml:space="preserve">Open-source foundation: </w:t>
      </w:r>
      <w:r>
        <w:rPr>
          <w:rFonts w:ascii="Arial" w:cs="Arial" w:eastAsia="Arial" w:hAnsi="Arial"/>
          <w:sz w:val="22"/>
          <w:szCs w:val="22"/>
        </w:rPr>
        <w:t xml:space="preserve">Apache 2.0 licensing ensures the protocol cannot be captured or paywalled. Any organization can operate an Olympus node.</w:t>
      </w:r>
    </w:p>
    <w:p>
      <w:pPr>
        <w:pStyle w:val="ListParagraph"/>
        <w:numPr>
          <w:ilvl w:val="0"/>
          <w:numId w:val="2"/>
        </w:numPr>
        <w:spacing w:after="80" w:line="276"/>
      </w:pPr>
      <w:r>
        <w:rPr>
          <w:rFonts w:ascii="Arial" w:cs="Arial" w:eastAsia="Arial" w:hAnsi="Arial"/>
          <w:b/>
          <w:bCs/>
          <w:sz w:val="22"/>
          <w:szCs w:val="22"/>
        </w:rPr>
        <w:t xml:space="preserve">Operational sustainability: </w:t>
      </w:r>
      <w:r>
        <w:rPr>
          <w:rFonts w:ascii="Arial" w:cs="Arial" w:eastAsia="Arial" w:hAnsi="Arial"/>
          <w:sz w:val="22"/>
          <w:szCs w:val="22"/>
        </w:rPr>
        <w:t xml:space="preserve">Institutions operating Olympus nodes bear infrastructure costs comparable to running a PostgreSQL database. There is no token, no mining, and no ongoing protocol tax.</w:t>
      </w:r>
    </w:p>
    <w:p>
      <w:pPr>
        <w:pStyle w:val="ListParagraph"/>
        <w:numPr>
          <w:ilvl w:val="0"/>
          <w:numId w:val="2"/>
        </w:numPr>
        <w:spacing w:after="80" w:line="276"/>
      </w:pPr>
      <w:r>
        <w:rPr>
          <w:rFonts w:ascii="Arial" w:cs="Arial" w:eastAsia="Arial" w:hAnsi="Arial"/>
          <w:b/>
          <w:bCs/>
          <w:sz w:val="22"/>
          <w:szCs w:val="22"/>
        </w:rPr>
        <w:t xml:space="preserve">Future funding model: </w:t>
      </w:r>
      <w:r>
        <w:rPr>
          <w:rFonts w:ascii="Arial" w:cs="Arial" w:eastAsia="Arial" w:hAnsi="Arial"/>
          <w:sz w:val="22"/>
          <w:szCs w:val="22"/>
        </w:rPr>
        <w:t xml:space="preserve">After initial grant funding, the project can sustain through a combination of institutional adoption (operators self-fund), follow-on research grants, and potential open-core consulting for enterprise deployments.</w:t>
      </w:r>
    </w:p>
    <w:p>
      <w:pPr>
        <w:shd w:fill="FFF9E6" w:val="clear"/>
        <w:spacing w:after="160" w:line="276"/>
      </w:pPr>
      <w:r>
        <w:rPr>
          <w:rFonts w:ascii="Arial" w:cs="Arial" w:eastAsia="Arial" w:hAnsi="Arial"/>
          <w:i/>
          <w:iCs/>
          <w:color w:val="996600"/>
          <w:sz w:val="22"/>
          <w:szCs w:val="22"/>
        </w:rPr>
        <w:t xml:space="preserve">[Insert: specific sustainability plan tailored to funder expectations]</w:t>
      </w:r>
    </w:p>
    <w:p>
      <w:pPr>
        <w:pBdr>
          <w:bottom w:val="single" w:color="2E75B6" w:sz="2" w:space="4"/>
        </w:pBdr>
        <w:spacing w:after="100" w:before="100"/>
      </w:pPr>
    </w:p>
    <w:p>
      <w:pPr>
        <w:pStyle w:val="Heading1"/>
        <w:spacing w:after="200" w:before="360"/>
      </w:pPr>
      <w:r>
        <w:t xml:space="preserve">Appendix A: Verified Technical Claims</w:t>
      </w:r>
    </w:p>
    <w:p>
      <w:pPr>
        <w:spacing w:after="160" w:line="276"/>
      </w:pPr>
      <w:r>
        <w:rPr>
          <w:rFonts w:ascii="Arial" w:cs="Arial" w:eastAsia="Arial" w:hAnsi="Arial"/>
          <w:sz w:val="22"/>
          <w:szCs w:val="22"/>
        </w:rPr>
        <w:t xml:space="preserve">The following claims have been independently verified by running the codebase (April 2026):</w:t>
      </w:r>
    </w:p>
    <w:p>
      <w:pPr>
        <w:pStyle w:val="ListParagraph"/>
        <w:numPr>
          <w:ilvl w:val="0"/>
          <w:numId w:val="2"/>
        </w:numPr>
        <w:spacing w:after="80" w:line="276"/>
      </w:pPr>
      <w:r>
        <w:rPr>
          <w:rFonts w:ascii="Arial" w:cs="Arial" w:eastAsia="Arial" w:hAnsi="Arial"/>
          <w:sz w:val="22"/>
          <w:szCs w:val="22"/>
        </w:rPr>
        <w:t xml:space="preserve">Canonical JSON sorting produces deterministic output regardless of input key ordering</w:t>
      </w:r>
    </w:p>
    <w:p>
      <w:pPr>
        <w:pStyle w:val="ListParagraph"/>
        <w:numPr>
          <w:ilvl w:val="0"/>
          <w:numId w:val="2"/>
        </w:numPr>
        <w:spacing w:after="80" w:line="276"/>
      </w:pPr>
      <w:r>
        <w:rPr>
          <w:rFonts w:ascii="Arial" w:cs="Arial" w:eastAsia="Arial" w:hAnsi="Arial"/>
          <w:sz w:val="22"/>
          <w:szCs w:val="22"/>
        </w:rPr>
        <w:t xml:space="preserve">BLAKE3 domain-separated hashing produces correct 32-byte digests with distinct outputs per domain prefix</w:t>
      </w:r>
    </w:p>
    <w:p>
      <w:pPr>
        <w:pStyle w:val="ListParagraph"/>
        <w:numPr>
          <w:ilvl w:val="0"/>
          <w:numId w:val="2"/>
        </w:numPr>
        <w:spacing w:after="80" w:line="276"/>
      </w:pPr>
      <w:r>
        <w:rPr>
          <w:rFonts w:ascii="Arial" w:cs="Arial" w:eastAsia="Arial" w:hAnsi="Arial"/>
          <w:sz w:val="22"/>
          <w:szCs w:val="22"/>
        </w:rPr>
        <w:t xml:space="preserve">Merkle tree inclusion proofs verify correctly for trees up to 128+ leaves with correct sibling counts (log₂(n))</w:t>
      </w:r>
    </w:p>
    <w:p>
      <w:pPr>
        <w:pStyle w:val="ListParagraph"/>
        <w:numPr>
          <w:ilvl w:val="0"/>
          <w:numId w:val="2"/>
        </w:numPr>
        <w:spacing w:after="80" w:line="276"/>
      </w:pPr>
      <w:r>
        <w:rPr>
          <w:rFonts w:ascii="Arial" w:cs="Arial" w:eastAsia="Arial" w:hAnsi="Arial"/>
          <w:sz w:val="22"/>
          <w:szCs w:val="22"/>
        </w:rPr>
        <w:t xml:space="preserve">Ed25519 key generation, signing, and verification all function correctly via PyNaCl</w:t>
      </w:r>
    </w:p>
    <w:p>
      <w:pPr>
        <w:pStyle w:val="ListParagraph"/>
        <w:numPr>
          <w:ilvl w:val="0"/>
          <w:numId w:val="2"/>
        </w:numPr>
        <w:spacing w:after="80" w:line="276"/>
      </w:pPr>
      <w:r>
        <w:rPr>
          <w:rFonts w:ascii="Arial" w:cs="Arial" w:eastAsia="Arial" w:hAnsi="Arial"/>
          <w:sz w:val="22"/>
          <w:szCs w:val="22"/>
        </w:rPr>
        <w:t xml:space="preserve">Record key and global key functions produce deterministic, version-aware, shard-separated 32-byte keys</w:t>
      </w:r>
    </w:p>
    <w:p>
      <w:pPr>
        <w:pStyle w:val="ListParagraph"/>
        <w:numPr>
          <w:ilvl w:val="0"/>
          <w:numId w:val="2"/>
        </w:numPr>
        <w:spacing w:after="80" w:line="276"/>
      </w:pPr>
      <w:r>
        <w:rPr>
          <w:rFonts w:ascii="Arial" w:cs="Arial" w:eastAsia="Arial" w:hAnsi="Arial"/>
          <w:sz w:val="22"/>
          <w:szCs w:val="22"/>
        </w:rPr>
        <w:t xml:space="preserve">End-to-end document-to-hash pipeline is fully deterministic across different key orderings</w:t>
      </w:r>
    </w:p>
    <w:p>
      <w:pPr>
        <w:spacing w:after="200"/>
      </w:pPr>
    </w:p>
    <w:p>
      <w:pPr>
        <w:pStyle w:val="Heading1"/>
        <w:spacing w:after="200" w:before="360"/>
      </w:pPr>
      <w:r>
        <w:t xml:space="preserve">Appendix B: Repository Structure</w:t>
      </w:r>
    </w:p>
    <w:p>
      <w:pPr>
        <w:spacing w:after="160" w:line="276"/>
      </w:pPr>
      <w:r>
        <w:rPr>
          <w:rFonts w:ascii="Arial" w:cs="Arial" w:eastAsia="Arial" w:hAnsi="Arial"/>
          <w:sz w:val="22"/>
          <w:szCs w:val="22"/>
        </w:rPr>
        <w:t xml:space="preserve">The Olympus repository contains approximately 737 files across the following major components:</w:t>
      </w:r>
    </w:p>
    <w:p>
      <w:pPr>
        <w:pStyle w:val="ListParagraph"/>
        <w:numPr>
          <w:ilvl w:val="0"/>
          <w:numId w:val="2"/>
        </w:numPr>
        <w:spacing w:after="80" w:line="276"/>
      </w:pPr>
      <w:r>
        <w:rPr>
          <w:rFonts w:ascii="Arial" w:cs="Arial" w:eastAsia="Arial" w:hAnsi="Arial"/>
          <w:sz w:val="22"/>
          <w:szCs w:val="22"/>
        </w:rPr>
        <w:t xml:space="preserve">api/ — FastAPI application with FOIA, dataset, ledger, and document endpoints</w:t>
      </w:r>
    </w:p>
    <w:p>
      <w:pPr>
        <w:pStyle w:val="ListParagraph"/>
        <w:numPr>
          <w:ilvl w:val="0"/>
          <w:numId w:val="2"/>
        </w:numPr>
        <w:spacing w:after="80" w:line="276"/>
      </w:pPr>
      <w:r>
        <w:rPr>
          <w:rFonts w:ascii="Arial" w:cs="Arial" w:eastAsia="Arial" w:hAnsi="Arial"/>
          <w:sz w:val="22"/>
          <w:szCs w:val="22"/>
        </w:rPr>
        <w:t xml:space="preserve">protocol/ — Python reference implementations of all cryptographic primitives</w:t>
      </w:r>
    </w:p>
    <w:p>
      <w:pPr>
        <w:pStyle w:val="ListParagraph"/>
        <w:numPr>
          <w:ilvl w:val="0"/>
          <w:numId w:val="2"/>
        </w:numPr>
        <w:spacing w:after="80" w:line="276"/>
      </w:pPr>
      <w:r>
        <w:rPr>
          <w:rFonts w:ascii="Arial" w:cs="Arial" w:eastAsia="Arial" w:hAnsi="Arial"/>
          <w:sz w:val="22"/>
          <w:szCs w:val="22"/>
        </w:rPr>
        <w:t xml:space="preserve">proofs/ — Circom ZK circuits for document existence, redaction validity, and non-existence</w:t>
      </w:r>
    </w:p>
    <w:p>
      <w:pPr>
        <w:pStyle w:val="ListParagraph"/>
        <w:numPr>
          <w:ilvl w:val="0"/>
          <w:numId w:val="2"/>
        </w:numPr>
        <w:spacing w:after="80" w:line="276"/>
      </w:pPr>
      <w:r>
        <w:rPr>
          <w:rFonts w:ascii="Arial" w:cs="Arial" w:eastAsia="Arial" w:hAnsi="Arial"/>
          <w:sz w:val="22"/>
          <w:szCs w:val="22"/>
        </w:rPr>
        <w:t xml:space="preserve">verifiers/ — Cross-language verification tools (Go, JavaScript, Rust) with conformance tests</w:t>
      </w:r>
    </w:p>
    <w:p>
      <w:pPr>
        <w:pStyle w:val="ListParagraph"/>
        <w:numPr>
          <w:ilvl w:val="0"/>
          <w:numId w:val="2"/>
        </w:numPr>
        <w:spacing w:after="80" w:line="276"/>
      </w:pPr>
      <w:r>
        <w:rPr>
          <w:rFonts w:ascii="Arial" w:cs="Arial" w:eastAsia="Arial" w:hAnsi="Arial"/>
          <w:sz w:val="22"/>
          <w:szCs w:val="22"/>
        </w:rPr>
        <w:t xml:space="preserve">services/ — Go sequencer and Rust CD-HS-ST microservices (Phase 1)</w:t>
      </w:r>
    </w:p>
    <w:p>
      <w:pPr>
        <w:pStyle w:val="ListParagraph"/>
        <w:numPr>
          <w:ilvl w:val="0"/>
          <w:numId w:val="2"/>
        </w:numPr>
        <w:spacing w:after="80" w:line="276"/>
      </w:pPr>
      <w:r>
        <w:rPr>
          <w:rFonts w:ascii="Arial" w:cs="Arial" w:eastAsia="Arial" w:hAnsi="Arial"/>
          <w:sz w:val="22"/>
          <w:szCs w:val="22"/>
        </w:rPr>
        <w:t xml:space="preserve">storage/ — PostgreSQL persistence with Alembic migration management</w:t>
      </w:r>
    </w:p>
    <w:p>
      <w:pPr>
        <w:pStyle w:val="ListParagraph"/>
        <w:numPr>
          <w:ilvl w:val="0"/>
          <w:numId w:val="2"/>
        </w:numPr>
        <w:spacing w:after="80" w:line="276"/>
      </w:pPr>
      <w:r>
        <w:rPr>
          <w:rFonts w:ascii="Arial" w:cs="Arial" w:eastAsia="Arial" w:hAnsi="Arial"/>
          <w:sz w:val="22"/>
          <w:szCs w:val="22"/>
        </w:rPr>
        <w:t xml:space="preserve">ceremony/ — Groth16 trusted setup ceremony infrastructure</w:t>
      </w:r>
    </w:p>
    <w:p>
      <w:pPr>
        <w:pStyle w:val="ListParagraph"/>
        <w:numPr>
          <w:ilvl w:val="0"/>
          <w:numId w:val="2"/>
        </w:numPr>
        <w:spacing w:after="80" w:line="276"/>
      </w:pPr>
      <w:r>
        <w:rPr>
          <w:rFonts w:ascii="Arial" w:cs="Arial" w:eastAsia="Arial" w:hAnsi="Arial"/>
          <w:sz w:val="22"/>
          <w:szCs w:val="22"/>
        </w:rPr>
        <w:t xml:space="preserve">tests/ — Comprehensive test suite with 85%+ coverage, including adversarial and chaos tests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color w:val="1B3A5C"/>
                <w:sz w:val="20"/>
                <w:szCs w:val="20"/>
              </w:rPr>
              <w:t xml:space="preserve">This document is a framework. Yellow-highlighted placeholders indicate where</w:t>
            </w:r>
          </w:p>
          <w:p>
            <w:pPr>
              <w:spacing w:after="80"/>
            </w:pPr>
            <w:r>
              <w:rPr>
                <w:rFonts w:ascii="Arial" w:cs="Arial" w:eastAsia="Arial" w:hAnsi="Arial"/>
                <w:color w:val="1B3A5C"/>
                <w:sz w:val="20"/>
                <w:szCs w:val="20"/>
              </w:rPr>
              <w:t xml:space="preserve">funder-specific content, team details, and institutional partnerships should be inserted.</w:t>
            </w:r>
          </w:p>
          <w:p>
            <w:pPr>
              <w:spacing w:after="0"/>
            </w:pPr>
            <w:r>
              <w:rPr>
                <w:rFonts w:ascii="Arial" w:cs="Arial" w:eastAsia="Arial" w:hAnsi="Arial"/>
                <w:color w:val="1B3A5C"/>
                <w:sz w:val="20"/>
                <w:szCs w:val="20"/>
              </w:rPr>
              <w:t xml:space="preserve">Adapt sections 1–5 for emphasis based on the Funder Targeting Matrix on page 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8"/>
        <w:szCs w:val="18"/>
      </w:rPr>
      <w:t xml:space="preserve">Olympus — Grant Application Framework</w:t>
    </w:r>
    <w:r>
      <w:rPr>
        <w:rFonts w:ascii="Arial" w:cs="Arial" w:eastAsia="Arial" w:hAnsi="Arial"/>
        <w:color w:val="666666"/>
        <w:sz w:val="18"/>
        <w:szCs w:val="18"/>
      </w:rPr>
      <w:ptab w:alignment="right" w:relativeTo="margin" w:leader="none"/>
    </w:r>
    <w:r>
      <w:rPr>
        <w:rFonts w:ascii="Arial" w:cs="Arial" w:eastAsia="Arial" w:hAnsi="Arial"/>
        <w:i/>
        <w:iCs/>
        <w:color w:val="666666"/>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2026-04-11T12:14:37.330Z</dcterms:created>
  <dcterms:modified xsi:type="dcterms:W3CDTF">2026-04-11T12:14:37.331Z</dcterms:modified>
</cp:coreProperties>
</file>

<file path=docProps/custom.xml><?xml version="1.0" encoding="utf-8"?>
<Properties xmlns="http://schemas.openxmlformats.org/officeDocument/2006/custom-properties" xmlns:vt="http://schemas.openxmlformats.org/officeDocument/2006/docPropsVTypes"/>
</file>