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2"/>
        </w:rPr>
        <w:t>DATASTRAW ASSESSMENT</w:t>
      </w:r>
    </w:p>
    <w:p>
      <w:pPr>
        <w:pStyle w:val="Title"/>
        <w:jc w:val="center"/>
      </w:pPr>
      <w:r>
        <w:t>Aura Skincare AI Voice Agent</w:t>
      </w:r>
    </w:p>
    <w:p>
      <w:pPr>
        <w:jc w:val="center"/>
      </w:pPr>
      <w:r>
        <w:rPr>
          <w:i/>
          <w:color w:val="666666"/>
          <w:sz w:val="20"/>
        </w:rPr>
        <w:t>Developer Notes • Architecture • Implementation • Debugging • Interview Revision</w:t>
      </w:r>
    </w:p>
    <w:p>
      <w:r/>
    </w:p>
    <w:p>
      <w:r>
        <w:t>Project goal: Build a browser-based customer-support voice agent named Aria for the fictional D2C brand Aura Skincare. The customer speaks through a browser microphone, the browser converts speech to text, the backend applies brand policy and retrieves mock order data when needed, Gemini generates a concise reply, and the browser speaks the reply aloud. At the end, the app shows a transcript and a structured call outcome.</w:t>
      </w:r>
    </w:p>
    <w:p>
      <w:r>
        <w:t>Important accuracy note: These notes describe the starter implementation inspected for this project. The voice interface uses browser speech APIs; order lookup is a deterministic backend function triggered by simple text/regex rules; and the summary is rule-based. It is not a fully streaming, full-duplex voice system, and it does not currently rely on Gemini-native function calling.</w:t>
      </w:r>
    </w:p>
    <w:p>
      <w:pPr>
        <w:pStyle w:val="Heading1"/>
      </w:pPr>
      <w:r>
        <w:t>1. Quick project pitch (interview answer)</w:t>
      </w:r>
    </w:p>
    <w:p>
      <w:r>
        <w:t>“I built a browser-based AI voice customer-support agent for Aura Skincare using React and FastAPI. The frontend handles call controls, browser speech recognition and speech synthesis, live status, transcript, and the order helper panel. The backend exposes REST endpoints, keeps mock order data, detects when a message needs an order lookup, applies the brand’s support policies in the prompt, calls Gemini to draft the response, and generates a structured post-call summary. I also tested dependency/import failures and fixed the Python environment by recreating the virtual environment and verifying the Google GenAI integration.”</w:t>
      </w:r>
    </w:p>
    <w:p>
      <w:r>
        <w:t>Keep the explanation honest: the current version is an assessment MVP using browser-provided speech APIs and in-memory sample orders. A production version would need persistent storage, stronger tool-routing, authentication/PII controls, monitoring, tests, rate-limit handling, and a more reliable real-time voice pipeline.</w:t>
      </w:r>
    </w:p>
    <w:p>
      <w:pPr>
        <w:pStyle w:val="Heading1"/>
      </w:pPr>
      <w:r>
        <w:t>2. Requirements and business rules</w:t>
      </w:r>
    </w:p>
    <w:p>
      <w:pPr>
        <w:pStyle w:val="Heading2"/>
      </w:pPr>
      <w:r>
        <w:t>Core requirements</w:t>
      </w:r>
    </w:p>
    <w:p>
      <w:pPr>
        <w:pStyle w:val="ListBullet"/>
        <w:spacing w:after="40"/>
      </w:pPr>
      <w:r>
        <w:t>Start Call and End Call controls.</w:t>
      </w:r>
    </w:p>
    <w:p>
      <w:pPr>
        <w:pStyle w:val="ListBullet"/>
        <w:spacing w:after="40"/>
      </w:pPr>
      <w:r>
        <w:t>Voice input from the browser microphone and spoken responses through speakers.</w:t>
      </w:r>
    </w:p>
    <w:p>
      <w:pPr>
        <w:pStyle w:val="ListBullet"/>
        <w:spacing w:after="40"/>
      </w:pPr>
      <w:r>
        <w:t>Clear Listening / Thinking / Speaking state feedback.</w:t>
      </w:r>
    </w:p>
    <w:p>
      <w:pPr>
        <w:pStyle w:val="ListBullet"/>
        <w:spacing w:after="40"/>
      </w:pPr>
      <w:r>
        <w:t>Concise, friendly, professional persona: Aria, Aura Skincare support specialist.</w:t>
      </w:r>
    </w:p>
    <w:p>
      <w:pPr>
        <w:pStyle w:val="ListBullet"/>
        <w:spacing w:after="40"/>
      </w:pPr>
      <w:r>
        <w:t>Answer only within Aura Skincare support scope and follow brand policy.</w:t>
      </w:r>
    </w:p>
    <w:p>
      <w:pPr>
        <w:pStyle w:val="ListBullet"/>
        <w:spacing w:after="40"/>
      </w:pPr>
      <w:r>
        <w:t>Retrieve order details using get_order_details(order_id).</w:t>
      </w:r>
    </w:p>
    <w:p>
      <w:pPr>
        <w:pStyle w:val="ListBullet"/>
        <w:spacing w:after="40"/>
      </w:pPr>
      <w:r>
        <w:t>Handle unknown/missing order IDs without inventing information.</w:t>
      </w:r>
    </w:p>
    <w:p>
      <w:pPr>
        <w:pStyle w:val="ListBullet"/>
        <w:spacing w:after="40"/>
      </w:pPr>
      <w:r>
        <w:t>Show chronological transcript and structured call summary after the call.</w:t>
      </w:r>
    </w:p>
    <w:p>
      <w:pPr>
        <w:pStyle w:val="ListBullet"/>
        <w:spacing w:after="40"/>
      </w:pPr>
      <w:r>
        <w:t>Show ORD-101, ORD-102, and ORD-103 in a helper panel for evaluator testing.</w:t>
      </w:r>
    </w:p>
    <w:p>
      <w:pPr>
        <w:pStyle w:val="Heading2"/>
      </w:pPr>
      <w:r>
        <w:t>Aura Skincare policies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Policy</w:t>
            </w:r>
          </w:p>
        </w:tc>
        <w:tc>
          <w:tcPr>
            <w:tcW w:type="dxa" w:w="5040"/>
            <w:vAlign w:val="center"/>
            <w:shd w:fill="17365D"/>
          </w:tcPr>
          <w:p>
            <w:pPr>
              <w:spacing w:after="20"/>
            </w:pPr>
            <w:r/>
            <w:r>
              <w:rPr>
                <w:rFonts w:ascii="Aptos" w:hAnsi="Aptos"/>
                <w:b/>
                <w:color w:val="FFFFFF"/>
                <w:sz w:val="18"/>
              </w:rPr>
              <w:t>Rule</w:t>
            </w:r>
          </w:p>
        </w:tc>
      </w:tr>
      <w:tr>
        <w:tc>
          <w:tcPr>
            <w:tcW w:type="dxa" w:w="5040"/>
            <w:vAlign w:val="center"/>
          </w:tcPr>
          <w:p>
            <w:pPr>
              <w:spacing w:after="20"/>
            </w:pPr>
            <w:r/>
            <w:r>
              <w:rPr>
                <w:rFonts w:ascii="Aptos" w:hAnsi="Aptos"/>
                <w:b/>
                <w:sz w:val="17"/>
              </w:rPr>
              <w:t>Shipping</w:t>
            </w:r>
          </w:p>
        </w:tc>
        <w:tc>
          <w:tcPr>
            <w:tcW w:type="dxa" w:w="5040"/>
            <w:vAlign w:val="center"/>
          </w:tcPr>
          <w:p>
            <w:pPr>
              <w:spacing w:after="20"/>
            </w:pPr>
            <w:r/>
            <w:r>
              <w:rPr>
                <w:rFonts w:ascii="Aptos" w:hAnsi="Aptos"/>
                <w:b w:val="0"/>
                <w:sz w:val="17"/>
              </w:rPr>
              <w:t>Free delivery for orders above ₹499; orders below ₹499 incur ₹50 shipping. Standard delivery: 3–5 business days.</w:t>
            </w:r>
          </w:p>
        </w:tc>
      </w:tr>
      <w:tr>
        <w:tc>
          <w:tcPr>
            <w:tcW w:type="dxa" w:w="5040"/>
            <w:vAlign w:val="center"/>
          </w:tcPr>
          <w:p>
            <w:pPr>
              <w:spacing w:after="20"/>
            </w:pPr>
            <w:r/>
            <w:r>
              <w:rPr>
                <w:rFonts w:ascii="Aptos" w:hAnsi="Aptos"/>
                <w:b/>
                <w:sz w:val="17"/>
              </w:rPr>
              <w:t>Returns</w:t>
            </w:r>
          </w:p>
        </w:tc>
        <w:tc>
          <w:tcPr>
            <w:tcW w:type="dxa" w:w="5040"/>
            <w:vAlign w:val="center"/>
          </w:tcPr>
          <w:p>
            <w:pPr>
              <w:spacing w:after="20"/>
            </w:pPr>
            <w:r/>
            <w:r>
              <w:rPr>
                <w:rFonts w:ascii="Aptos" w:hAnsi="Aptos"/>
                <w:b w:val="0"/>
                <w:sz w:val="17"/>
              </w:rPr>
              <w:t>Within 7 days of delivery only; product must be unopened, unused, and in original packaging.</w:t>
            </w:r>
          </w:p>
        </w:tc>
      </w:tr>
      <w:tr>
        <w:tc>
          <w:tcPr>
            <w:tcW w:type="dxa" w:w="5040"/>
            <w:vAlign w:val="center"/>
          </w:tcPr>
          <w:p>
            <w:pPr>
              <w:spacing w:after="20"/>
            </w:pPr>
            <w:r/>
            <w:r>
              <w:rPr>
                <w:rFonts w:ascii="Aptos" w:hAnsi="Aptos"/>
                <w:b/>
                <w:sz w:val="17"/>
              </w:rPr>
              <w:t>Damaged/defective</w:t>
            </w:r>
          </w:p>
        </w:tc>
        <w:tc>
          <w:tcPr>
            <w:tcW w:type="dxa" w:w="5040"/>
            <w:vAlign w:val="center"/>
          </w:tcPr>
          <w:p>
            <w:pPr>
              <w:spacing w:after="20"/>
            </w:pPr>
            <w:r/>
            <w:r>
              <w:rPr>
                <w:rFonts w:ascii="Aptos" w:hAnsi="Aptos"/>
                <w:b w:val="0"/>
                <w:sz w:val="17"/>
              </w:rPr>
              <w:t>Report within 48 hours of delivery and provide photos; replacement is the stated remedy.</w:t>
            </w:r>
          </w:p>
        </w:tc>
      </w:tr>
      <w:tr>
        <w:tc>
          <w:tcPr>
            <w:tcW w:type="dxa" w:w="5040"/>
            <w:vAlign w:val="center"/>
          </w:tcPr>
          <w:p>
            <w:pPr>
              <w:spacing w:after="20"/>
            </w:pPr>
            <w:r/>
            <w:r>
              <w:rPr>
                <w:rFonts w:ascii="Aptos" w:hAnsi="Aptos"/>
                <w:b/>
                <w:sz w:val="17"/>
              </w:rPr>
              <w:t>Cancellation</w:t>
            </w:r>
          </w:p>
        </w:tc>
        <w:tc>
          <w:tcPr>
            <w:tcW w:type="dxa" w:w="5040"/>
            <w:vAlign w:val="center"/>
          </w:tcPr>
          <w:p>
            <w:pPr>
              <w:spacing w:after="20"/>
            </w:pPr>
            <w:r/>
            <w:r>
              <w:rPr>
                <w:rFonts w:ascii="Aptos" w:hAnsi="Aptos"/>
                <w:b w:val="0"/>
                <w:sz w:val="17"/>
              </w:rPr>
              <w:t>Only while order status is Processing. Shipped or Out for Delivery orders cannot be cancelled; customer may refuse delivery at the doorstep.</w:t>
            </w:r>
          </w:p>
        </w:tc>
      </w:tr>
      <w:tr>
        <w:tc>
          <w:tcPr>
            <w:tcW w:type="dxa" w:w="5040"/>
            <w:vAlign w:val="center"/>
          </w:tcPr>
          <w:p>
            <w:pPr>
              <w:spacing w:after="20"/>
            </w:pPr>
            <w:r/>
            <w:r>
              <w:rPr>
                <w:rFonts w:ascii="Aptos" w:hAnsi="Aptos"/>
                <w:b/>
                <w:sz w:val="17"/>
              </w:rPr>
              <w:t>COD</w:t>
            </w:r>
          </w:p>
        </w:tc>
        <w:tc>
          <w:tcPr>
            <w:tcW w:type="dxa" w:w="5040"/>
            <w:vAlign w:val="center"/>
          </w:tcPr>
          <w:p>
            <w:pPr>
              <w:spacing w:after="20"/>
            </w:pPr>
            <w:r/>
            <w:r>
              <w:rPr>
                <w:rFonts w:ascii="Aptos" w:hAnsi="Aptos"/>
                <w:b w:val="0"/>
                <w:sz w:val="17"/>
              </w:rPr>
              <w:t>Available for orders up to ₹2,500; cash or UPI at the doorstep.</w:t>
            </w:r>
          </w:p>
        </w:tc>
      </w:tr>
      <w:tr>
        <w:tc>
          <w:tcPr>
            <w:tcW w:type="dxa" w:w="5040"/>
            <w:vAlign w:val="center"/>
          </w:tcPr>
          <w:p>
            <w:pPr>
              <w:spacing w:after="20"/>
            </w:pPr>
            <w:r/>
            <w:r>
              <w:rPr>
                <w:rFonts w:ascii="Aptos" w:hAnsi="Aptos"/>
                <w:b/>
                <w:sz w:val="17"/>
              </w:rPr>
              <w:t>Scope</w:t>
            </w:r>
          </w:p>
        </w:tc>
        <w:tc>
          <w:tcPr>
            <w:tcW w:type="dxa" w:w="5040"/>
            <w:vAlign w:val="center"/>
          </w:tcPr>
          <w:p>
            <w:pPr>
              <w:spacing w:after="20"/>
            </w:pPr>
            <w:r/>
            <w:r>
              <w:rPr>
                <w:rFonts w:ascii="Aptos" w:hAnsi="Aptos"/>
                <w:b w:val="0"/>
                <w:sz w:val="17"/>
              </w:rPr>
              <w:t>Only Aura Skincare products, orders, shipping, returns/refunds, cancellations, and COD.</w:t>
            </w:r>
          </w:p>
        </w:tc>
      </w:tr>
    </w:tbl>
    <w:p>
      <w:pPr>
        <w:pStyle w:val="Heading2"/>
      </w:pPr>
      <w:r>
        <w:t>Mock orders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7365D"/>
          </w:tcPr>
          <w:p>
            <w:pPr>
              <w:spacing w:after="20"/>
            </w:pPr>
            <w:r/>
            <w:r>
              <w:rPr>
                <w:rFonts w:ascii="Aptos" w:hAnsi="Aptos"/>
                <w:b/>
                <w:color w:val="FFFFFF"/>
                <w:sz w:val="16"/>
              </w:rPr>
              <w:t>Order ID</w:t>
            </w:r>
          </w:p>
        </w:tc>
        <w:tc>
          <w:tcPr>
            <w:tcW w:type="dxa" w:w="1680"/>
            <w:vAlign w:val="center"/>
            <w:shd w:fill="17365D"/>
          </w:tcPr>
          <w:p>
            <w:pPr>
              <w:spacing w:after="20"/>
            </w:pPr>
            <w:r/>
            <w:r>
              <w:rPr>
                <w:rFonts w:ascii="Aptos" w:hAnsi="Aptos"/>
                <w:b/>
                <w:color w:val="FFFFFF"/>
                <w:sz w:val="16"/>
              </w:rPr>
              <w:t>Customer</w:t>
            </w:r>
          </w:p>
        </w:tc>
        <w:tc>
          <w:tcPr>
            <w:tcW w:type="dxa" w:w="1680"/>
            <w:vAlign w:val="center"/>
            <w:shd w:fill="17365D"/>
          </w:tcPr>
          <w:p>
            <w:pPr>
              <w:spacing w:after="20"/>
            </w:pPr>
            <w:r/>
            <w:r>
              <w:rPr>
                <w:rFonts w:ascii="Aptos" w:hAnsi="Aptos"/>
                <w:b/>
                <w:color w:val="FFFFFF"/>
                <w:sz w:val="16"/>
              </w:rPr>
              <w:t>Product</w:t>
            </w:r>
          </w:p>
        </w:tc>
        <w:tc>
          <w:tcPr>
            <w:tcW w:type="dxa" w:w="1680"/>
            <w:vAlign w:val="center"/>
            <w:shd w:fill="17365D"/>
          </w:tcPr>
          <w:p>
            <w:pPr>
              <w:spacing w:after="20"/>
            </w:pPr>
            <w:r/>
            <w:r>
              <w:rPr>
                <w:rFonts w:ascii="Aptos" w:hAnsi="Aptos"/>
                <w:b/>
                <w:color w:val="FFFFFF"/>
                <w:sz w:val="16"/>
              </w:rPr>
              <w:t>Value</w:t>
            </w:r>
          </w:p>
        </w:tc>
        <w:tc>
          <w:tcPr>
            <w:tcW w:type="dxa" w:w="1680"/>
            <w:vAlign w:val="center"/>
            <w:shd w:fill="17365D"/>
          </w:tcPr>
          <w:p>
            <w:pPr>
              <w:spacing w:after="20"/>
            </w:pPr>
            <w:r/>
            <w:r>
              <w:rPr>
                <w:rFonts w:ascii="Aptos" w:hAnsi="Aptos"/>
                <w:b/>
                <w:color w:val="FFFFFF"/>
                <w:sz w:val="16"/>
              </w:rPr>
              <w:t>Status</w:t>
            </w:r>
          </w:p>
        </w:tc>
        <w:tc>
          <w:tcPr>
            <w:tcW w:type="dxa" w:w="1680"/>
            <w:vAlign w:val="center"/>
            <w:shd w:fill="17365D"/>
          </w:tcPr>
          <w:p>
            <w:pPr>
              <w:spacing w:after="20"/>
            </w:pPr>
            <w:r/>
            <w:r>
              <w:rPr>
                <w:rFonts w:ascii="Aptos" w:hAnsi="Aptos"/>
                <w:b/>
                <w:color w:val="FFFFFF"/>
                <w:sz w:val="16"/>
              </w:rPr>
              <w:t>Notes</w:t>
            </w:r>
          </w:p>
        </w:tc>
      </w:tr>
      <w:tr>
        <w:tc>
          <w:tcPr>
            <w:tcW w:type="dxa" w:w="1680"/>
            <w:vAlign w:val="center"/>
          </w:tcPr>
          <w:p>
            <w:pPr>
              <w:spacing w:after="20"/>
            </w:pPr>
            <w:r/>
            <w:r>
              <w:rPr>
                <w:rFonts w:ascii="Aptos" w:hAnsi="Aptos"/>
                <w:b/>
                <w:sz w:val="15"/>
              </w:rPr>
              <w:t>ORD-101</w:t>
            </w:r>
          </w:p>
        </w:tc>
        <w:tc>
          <w:tcPr>
            <w:tcW w:type="dxa" w:w="1680"/>
            <w:vAlign w:val="center"/>
          </w:tcPr>
          <w:p>
            <w:pPr>
              <w:spacing w:after="20"/>
            </w:pPr>
            <w:r/>
            <w:r>
              <w:rPr>
                <w:rFonts w:ascii="Aptos" w:hAnsi="Aptos"/>
                <w:b w:val="0"/>
                <w:sz w:val="15"/>
              </w:rPr>
              <w:t>Priya Sharma</w:t>
            </w:r>
          </w:p>
        </w:tc>
        <w:tc>
          <w:tcPr>
            <w:tcW w:type="dxa" w:w="1680"/>
            <w:vAlign w:val="center"/>
          </w:tcPr>
          <w:p>
            <w:pPr>
              <w:spacing w:after="20"/>
            </w:pPr>
            <w:r/>
            <w:r>
              <w:rPr>
                <w:rFonts w:ascii="Aptos" w:hAnsi="Aptos"/>
                <w:b w:val="0"/>
                <w:sz w:val="15"/>
              </w:rPr>
              <w:t>Vitamin C Serum (30ml)</w:t>
            </w:r>
          </w:p>
        </w:tc>
        <w:tc>
          <w:tcPr>
            <w:tcW w:type="dxa" w:w="1680"/>
            <w:vAlign w:val="center"/>
          </w:tcPr>
          <w:p>
            <w:pPr>
              <w:spacing w:after="20"/>
            </w:pPr>
            <w:r/>
            <w:r>
              <w:rPr>
                <w:rFonts w:ascii="Aptos" w:hAnsi="Aptos"/>
                <w:b w:val="0"/>
                <w:sz w:val="15"/>
              </w:rPr>
              <w:t>₹699</w:t>
            </w:r>
          </w:p>
        </w:tc>
        <w:tc>
          <w:tcPr>
            <w:tcW w:type="dxa" w:w="1680"/>
            <w:vAlign w:val="center"/>
          </w:tcPr>
          <w:p>
            <w:pPr>
              <w:spacing w:after="20"/>
            </w:pPr>
            <w:r/>
            <w:r>
              <w:rPr>
                <w:rFonts w:ascii="Aptos" w:hAnsi="Aptos"/>
                <w:b w:val="0"/>
                <w:sz w:val="15"/>
              </w:rPr>
              <w:t>Out for Delivery</w:t>
            </w:r>
          </w:p>
        </w:tc>
        <w:tc>
          <w:tcPr>
            <w:tcW w:type="dxa" w:w="1680"/>
            <w:vAlign w:val="center"/>
          </w:tcPr>
          <w:p>
            <w:pPr>
              <w:spacing w:after="20"/>
            </w:pPr>
            <w:r/>
            <w:r>
              <w:rPr>
                <w:rFonts w:ascii="Aptos" w:hAnsi="Aptos"/>
                <w:b w:val="0"/>
                <w:sz w:val="15"/>
              </w:rPr>
              <w:t>BlueDart BD-982103; expected by 6 PM today.</w:t>
            </w:r>
          </w:p>
        </w:tc>
      </w:tr>
      <w:tr>
        <w:tc>
          <w:tcPr>
            <w:tcW w:type="dxa" w:w="1680"/>
            <w:vAlign w:val="center"/>
          </w:tcPr>
          <w:p>
            <w:pPr>
              <w:spacing w:after="20"/>
            </w:pPr>
            <w:r/>
            <w:r>
              <w:rPr>
                <w:rFonts w:ascii="Aptos" w:hAnsi="Aptos"/>
                <w:b/>
                <w:sz w:val="15"/>
              </w:rPr>
              <w:t>ORD-102</w:t>
            </w:r>
          </w:p>
        </w:tc>
        <w:tc>
          <w:tcPr>
            <w:tcW w:type="dxa" w:w="1680"/>
            <w:vAlign w:val="center"/>
          </w:tcPr>
          <w:p>
            <w:pPr>
              <w:spacing w:after="20"/>
            </w:pPr>
            <w:r/>
            <w:r>
              <w:rPr>
                <w:rFonts w:ascii="Aptos" w:hAnsi="Aptos"/>
                <w:b w:val="0"/>
                <w:sz w:val="15"/>
              </w:rPr>
              <w:t>Rahul Verma</w:t>
            </w:r>
          </w:p>
        </w:tc>
        <w:tc>
          <w:tcPr>
            <w:tcW w:type="dxa" w:w="1680"/>
            <w:vAlign w:val="center"/>
          </w:tcPr>
          <w:p>
            <w:pPr>
              <w:spacing w:after="20"/>
            </w:pPr>
            <w:r/>
            <w:r>
              <w:rPr>
                <w:rFonts w:ascii="Aptos" w:hAnsi="Aptos"/>
                <w:b w:val="0"/>
                <w:sz w:val="15"/>
              </w:rPr>
              <w:t>Hydrating Sunscreen SPF 50</w:t>
            </w:r>
          </w:p>
        </w:tc>
        <w:tc>
          <w:tcPr>
            <w:tcW w:type="dxa" w:w="1680"/>
            <w:vAlign w:val="center"/>
          </w:tcPr>
          <w:p>
            <w:pPr>
              <w:spacing w:after="20"/>
            </w:pPr>
            <w:r/>
            <w:r>
              <w:rPr>
                <w:rFonts w:ascii="Aptos" w:hAnsi="Aptos"/>
                <w:b w:val="0"/>
                <w:sz w:val="15"/>
              </w:rPr>
              <w:t>₹499</w:t>
            </w:r>
          </w:p>
        </w:tc>
        <w:tc>
          <w:tcPr>
            <w:tcW w:type="dxa" w:w="1680"/>
            <w:vAlign w:val="center"/>
          </w:tcPr>
          <w:p>
            <w:pPr>
              <w:spacing w:after="20"/>
            </w:pPr>
            <w:r/>
            <w:r>
              <w:rPr>
                <w:rFonts w:ascii="Aptos" w:hAnsi="Aptos"/>
                <w:b w:val="0"/>
                <w:sz w:val="15"/>
              </w:rPr>
              <w:t>Delivered</w:t>
            </w:r>
          </w:p>
        </w:tc>
        <w:tc>
          <w:tcPr>
            <w:tcW w:type="dxa" w:w="1680"/>
            <w:vAlign w:val="center"/>
          </w:tcPr>
          <w:p>
            <w:pPr>
              <w:spacing w:after="20"/>
            </w:pPr>
            <w:r/>
            <w:r>
              <w:rPr>
                <w:rFonts w:ascii="Aptos" w:hAnsi="Aptos"/>
                <w:b w:val="0"/>
                <w:sz w:val="15"/>
              </w:rPr>
              <w:t>Delhivery DL-441029; delivered 14 days ago; outside the 7-day return window.</w:t>
            </w:r>
          </w:p>
        </w:tc>
      </w:tr>
      <w:tr>
        <w:tc>
          <w:tcPr>
            <w:tcW w:type="dxa" w:w="1680"/>
            <w:vAlign w:val="center"/>
          </w:tcPr>
          <w:p>
            <w:pPr>
              <w:spacing w:after="20"/>
            </w:pPr>
            <w:r/>
            <w:r>
              <w:rPr>
                <w:rFonts w:ascii="Aptos" w:hAnsi="Aptos"/>
                <w:b/>
                <w:sz w:val="15"/>
              </w:rPr>
              <w:t>ORD-103</w:t>
            </w:r>
          </w:p>
        </w:tc>
        <w:tc>
          <w:tcPr>
            <w:tcW w:type="dxa" w:w="1680"/>
            <w:vAlign w:val="center"/>
          </w:tcPr>
          <w:p>
            <w:pPr>
              <w:spacing w:after="20"/>
            </w:pPr>
            <w:r/>
            <w:r>
              <w:rPr>
                <w:rFonts w:ascii="Aptos" w:hAnsi="Aptos"/>
                <w:b w:val="0"/>
                <w:sz w:val="15"/>
              </w:rPr>
              <w:t>Ananya Patel</w:t>
            </w:r>
          </w:p>
        </w:tc>
        <w:tc>
          <w:tcPr>
            <w:tcW w:type="dxa" w:w="1680"/>
            <w:vAlign w:val="center"/>
          </w:tcPr>
          <w:p>
            <w:pPr>
              <w:spacing w:after="20"/>
            </w:pPr>
            <w:r/>
            <w:r>
              <w:rPr>
                <w:rFonts w:ascii="Aptos" w:hAnsi="Aptos"/>
                <w:b w:val="0"/>
                <w:sz w:val="15"/>
              </w:rPr>
              <w:t>Green Tea Face Wash + Toner</w:t>
            </w:r>
          </w:p>
        </w:tc>
        <w:tc>
          <w:tcPr>
            <w:tcW w:type="dxa" w:w="1680"/>
            <w:vAlign w:val="center"/>
          </w:tcPr>
          <w:p>
            <w:pPr>
              <w:spacing w:after="20"/>
            </w:pPr>
            <w:r/>
            <w:r>
              <w:rPr>
                <w:rFonts w:ascii="Aptos" w:hAnsi="Aptos"/>
                <w:b w:val="0"/>
                <w:sz w:val="15"/>
              </w:rPr>
              <w:t>₹850</w:t>
            </w:r>
          </w:p>
        </w:tc>
        <w:tc>
          <w:tcPr>
            <w:tcW w:type="dxa" w:w="1680"/>
            <w:vAlign w:val="center"/>
          </w:tcPr>
          <w:p>
            <w:pPr>
              <w:spacing w:after="20"/>
            </w:pPr>
            <w:r/>
            <w:r>
              <w:rPr>
                <w:rFonts w:ascii="Aptos" w:hAnsi="Aptos"/>
                <w:b w:val="0"/>
                <w:sz w:val="15"/>
              </w:rPr>
              <w:t>Processing</w:t>
            </w:r>
          </w:p>
        </w:tc>
        <w:tc>
          <w:tcPr>
            <w:tcW w:type="dxa" w:w="1680"/>
            <w:vAlign w:val="center"/>
          </w:tcPr>
          <w:p>
            <w:pPr>
              <w:spacing w:after="20"/>
            </w:pPr>
            <w:r/>
            <w:r>
              <w:rPr>
                <w:rFonts w:ascii="Aptos" w:hAnsi="Aptos"/>
                <w:b w:val="0"/>
                <w:sz w:val="15"/>
              </w:rPr>
              <w:t>Ordered 3 hours ago; eligible for cancellation.</w:t>
            </w:r>
          </w:p>
        </w:tc>
      </w:tr>
    </w:tbl>
    <w:p>
      <w:pPr>
        <w:pStyle w:val="Heading1"/>
      </w:pPr>
      <w:r>
        <w:t>3. Technology stack and why it is used</w:t>
      </w:r>
    </w:p>
    <w:tbl>
      <w:tblPr>
        <w:tblStyle w:val="TableGrid"/>
        <w:tblW w:type="auto" w:w="0"/>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Technology</w:t>
            </w:r>
          </w:p>
        </w:tc>
        <w:tc>
          <w:tcPr>
            <w:tcW w:type="dxa" w:w="5040"/>
            <w:vAlign w:val="center"/>
            <w:shd w:fill="17365D"/>
          </w:tcPr>
          <w:p>
            <w:pPr>
              <w:spacing w:after="20"/>
            </w:pPr>
            <w:r/>
            <w:r>
              <w:rPr>
                <w:rFonts w:ascii="Aptos" w:hAnsi="Aptos"/>
                <w:b/>
                <w:color w:val="FFFFFF"/>
                <w:sz w:val="18"/>
              </w:rPr>
              <w:t>Purpose in this project</w:t>
            </w:r>
          </w:p>
        </w:tc>
      </w:tr>
      <w:tr>
        <w:tc>
          <w:tcPr>
            <w:tcW w:type="dxa" w:w="5040"/>
            <w:vAlign w:val="center"/>
          </w:tcPr>
          <w:p>
            <w:pPr>
              <w:spacing w:after="20"/>
            </w:pPr>
            <w:r/>
            <w:r>
              <w:rPr>
                <w:rFonts w:ascii="Aptos" w:hAnsi="Aptos"/>
                <w:b/>
                <w:sz w:val="17"/>
              </w:rPr>
              <w:t>React 18</w:t>
            </w:r>
          </w:p>
        </w:tc>
        <w:tc>
          <w:tcPr>
            <w:tcW w:type="dxa" w:w="5040"/>
            <w:vAlign w:val="center"/>
          </w:tcPr>
          <w:p>
            <w:pPr>
              <w:spacing w:after="20"/>
            </w:pPr>
            <w:r/>
            <w:r>
              <w:rPr>
                <w:rFonts w:ascii="Aptos" w:hAnsi="Aptos"/>
                <w:b w:val="0"/>
                <w:sz w:val="17"/>
              </w:rPr>
              <w:t>Builds the interactive single-page UI and manages UI state: call status, transcript, typed input, and summary.</w:t>
            </w:r>
          </w:p>
        </w:tc>
      </w:tr>
      <w:tr>
        <w:tc>
          <w:tcPr>
            <w:tcW w:type="dxa" w:w="5040"/>
            <w:vAlign w:val="center"/>
          </w:tcPr>
          <w:p>
            <w:pPr>
              <w:spacing w:after="20"/>
            </w:pPr>
            <w:r/>
            <w:r>
              <w:rPr>
                <w:rFonts w:ascii="Aptos" w:hAnsi="Aptos"/>
                <w:b/>
                <w:sz w:val="17"/>
              </w:rPr>
              <w:t>Vite</w:t>
            </w:r>
          </w:p>
        </w:tc>
        <w:tc>
          <w:tcPr>
            <w:tcW w:type="dxa" w:w="5040"/>
            <w:vAlign w:val="center"/>
          </w:tcPr>
          <w:p>
            <w:pPr>
              <w:spacing w:after="20"/>
            </w:pPr>
            <w:r/>
            <w:r>
              <w:rPr>
                <w:rFonts w:ascii="Aptos" w:hAnsi="Aptos"/>
                <w:b w:val="0"/>
                <w:sz w:val="17"/>
              </w:rPr>
              <w:t>Frontend development server and production build tool; serves the app locally, usually on port 5173.</w:t>
            </w:r>
          </w:p>
        </w:tc>
      </w:tr>
      <w:tr>
        <w:tc>
          <w:tcPr>
            <w:tcW w:type="dxa" w:w="5040"/>
            <w:vAlign w:val="center"/>
          </w:tcPr>
          <w:p>
            <w:pPr>
              <w:spacing w:after="20"/>
            </w:pPr>
            <w:r/>
            <w:r>
              <w:rPr>
                <w:rFonts w:ascii="Aptos" w:hAnsi="Aptos"/>
                <w:b/>
                <w:sz w:val="17"/>
              </w:rPr>
              <w:t>JavaScript / JSX / CSS</w:t>
            </w:r>
          </w:p>
        </w:tc>
        <w:tc>
          <w:tcPr>
            <w:tcW w:type="dxa" w:w="5040"/>
            <w:vAlign w:val="center"/>
          </w:tcPr>
          <w:p>
            <w:pPr>
              <w:spacing w:after="20"/>
            </w:pPr>
            <w:r/>
            <w:r>
              <w:rPr>
                <w:rFonts w:ascii="Aptos" w:hAnsi="Aptos"/>
                <w:b w:val="0"/>
                <w:sz w:val="17"/>
              </w:rPr>
              <w:t>Implements browser interactions, component rendering, and the visual design.</w:t>
            </w:r>
          </w:p>
        </w:tc>
      </w:tr>
      <w:tr>
        <w:tc>
          <w:tcPr>
            <w:tcW w:type="dxa" w:w="5040"/>
            <w:vAlign w:val="center"/>
          </w:tcPr>
          <w:p>
            <w:pPr>
              <w:spacing w:after="20"/>
            </w:pPr>
            <w:r/>
            <w:r>
              <w:rPr>
                <w:rFonts w:ascii="Aptos" w:hAnsi="Aptos"/>
                <w:b/>
                <w:sz w:val="17"/>
              </w:rPr>
              <w:t>Web Speech API — SpeechRecognition</w:t>
            </w:r>
          </w:p>
        </w:tc>
        <w:tc>
          <w:tcPr>
            <w:tcW w:type="dxa" w:w="5040"/>
            <w:vAlign w:val="center"/>
          </w:tcPr>
          <w:p>
            <w:pPr>
              <w:spacing w:after="20"/>
            </w:pPr>
            <w:r/>
            <w:r>
              <w:rPr>
                <w:rFonts w:ascii="Aptos" w:hAnsi="Aptos"/>
                <w:b w:val="0"/>
                <w:sz w:val="17"/>
              </w:rPr>
              <w:t>Converts microphone speech into text in supported browsers. Availability varies by browser and OS.</w:t>
            </w:r>
          </w:p>
        </w:tc>
      </w:tr>
      <w:tr>
        <w:tc>
          <w:tcPr>
            <w:tcW w:type="dxa" w:w="5040"/>
            <w:vAlign w:val="center"/>
          </w:tcPr>
          <w:p>
            <w:pPr>
              <w:spacing w:after="20"/>
            </w:pPr>
            <w:r/>
            <w:r>
              <w:rPr>
                <w:rFonts w:ascii="Aptos" w:hAnsi="Aptos"/>
                <w:b/>
                <w:sz w:val="17"/>
              </w:rPr>
              <w:t>Web Speech API — SpeechSynthesis</w:t>
            </w:r>
          </w:p>
        </w:tc>
        <w:tc>
          <w:tcPr>
            <w:tcW w:type="dxa" w:w="5040"/>
            <w:vAlign w:val="center"/>
          </w:tcPr>
          <w:p>
            <w:pPr>
              <w:spacing w:after="20"/>
            </w:pPr>
            <w:r/>
            <w:r>
              <w:rPr>
                <w:rFonts w:ascii="Aptos" w:hAnsi="Aptos"/>
                <w:b w:val="0"/>
                <w:sz w:val="17"/>
              </w:rPr>
              <w:t>Speaks the assistant's text response aloud. Available voices depend on the user's system/browser.</w:t>
            </w:r>
          </w:p>
        </w:tc>
      </w:tr>
      <w:tr>
        <w:tc>
          <w:tcPr>
            <w:tcW w:type="dxa" w:w="5040"/>
            <w:vAlign w:val="center"/>
          </w:tcPr>
          <w:p>
            <w:pPr>
              <w:spacing w:after="20"/>
            </w:pPr>
            <w:r/>
            <w:r>
              <w:rPr>
                <w:rFonts w:ascii="Aptos" w:hAnsi="Aptos"/>
                <w:b/>
                <w:sz w:val="17"/>
              </w:rPr>
              <w:t>Python 3.12</w:t>
            </w:r>
          </w:p>
        </w:tc>
        <w:tc>
          <w:tcPr>
            <w:tcW w:type="dxa" w:w="5040"/>
            <w:vAlign w:val="center"/>
          </w:tcPr>
          <w:p>
            <w:pPr>
              <w:spacing w:after="20"/>
            </w:pPr>
            <w:r/>
            <w:r>
              <w:rPr>
                <w:rFonts w:ascii="Aptos" w:hAnsi="Aptos"/>
                <w:b w:val="0"/>
                <w:sz w:val="17"/>
              </w:rPr>
              <w:t>Backend language for API routes, order logic, validation, and summary generation.</w:t>
            </w:r>
          </w:p>
        </w:tc>
      </w:tr>
      <w:tr>
        <w:tc>
          <w:tcPr>
            <w:tcW w:type="dxa" w:w="5040"/>
            <w:vAlign w:val="center"/>
          </w:tcPr>
          <w:p>
            <w:pPr>
              <w:spacing w:after="20"/>
            </w:pPr>
            <w:r/>
            <w:r>
              <w:rPr>
                <w:rFonts w:ascii="Aptos" w:hAnsi="Aptos"/>
                <w:b/>
                <w:sz w:val="17"/>
              </w:rPr>
              <w:t>FastAPI</w:t>
            </w:r>
          </w:p>
        </w:tc>
        <w:tc>
          <w:tcPr>
            <w:tcW w:type="dxa" w:w="5040"/>
            <w:vAlign w:val="center"/>
          </w:tcPr>
          <w:p>
            <w:pPr>
              <w:spacing w:after="20"/>
            </w:pPr>
            <w:r/>
            <w:r>
              <w:rPr>
                <w:rFonts w:ascii="Aptos" w:hAnsi="Aptos"/>
                <w:b w:val="0"/>
                <w:sz w:val="17"/>
              </w:rPr>
              <w:t>Defines HTTP endpoints, validates request bodies through Pydantic, and returns JSON responses.</w:t>
            </w:r>
          </w:p>
        </w:tc>
      </w:tr>
      <w:tr>
        <w:tc>
          <w:tcPr>
            <w:tcW w:type="dxa" w:w="5040"/>
            <w:vAlign w:val="center"/>
          </w:tcPr>
          <w:p>
            <w:pPr>
              <w:spacing w:after="20"/>
            </w:pPr>
            <w:r/>
            <w:r>
              <w:rPr>
                <w:rFonts w:ascii="Aptos" w:hAnsi="Aptos"/>
                <w:b/>
                <w:sz w:val="17"/>
              </w:rPr>
              <w:t>Uvicorn</w:t>
            </w:r>
          </w:p>
        </w:tc>
        <w:tc>
          <w:tcPr>
            <w:tcW w:type="dxa" w:w="5040"/>
            <w:vAlign w:val="center"/>
          </w:tcPr>
          <w:p>
            <w:pPr>
              <w:spacing w:after="20"/>
            </w:pPr>
            <w:r/>
            <w:r>
              <w:rPr>
                <w:rFonts w:ascii="Aptos" w:hAnsi="Aptos"/>
                <w:b w:val="0"/>
                <w:sz w:val="17"/>
              </w:rPr>
              <w:t>Runs the FastAPI ASGI application locally.</w:t>
            </w:r>
          </w:p>
        </w:tc>
      </w:tr>
      <w:tr>
        <w:tc>
          <w:tcPr>
            <w:tcW w:type="dxa" w:w="5040"/>
            <w:vAlign w:val="center"/>
          </w:tcPr>
          <w:p>
            <w:pPr>
              <w:spacing w:after="20"/>
            </w:pPr>
            <w:r/>
            <w:r>
              <w:rPr>
                <w:rFonts w:ascii="Aptos" w:hAnsi="Aptos"/>
                <w:b/>
                <w:sz w:val="17"/>
              </w:rPr>
              <w:t>google-genai</w:t>
            </w:r>
          </w:p>
        </w:tc>
        <w:tc>
          <w:tcPr>
            <w:tcW w:type="dxa" w:w="5040"/>
            <w:vAlign w:val="center"/>
          </w:tcPr>
          <w:p>
            <w:pPr>
              <w:spacing w:after="20"/>
            </w:pPr>
            <w:r/>
            <w:r>
              <w:rPr>
                <w:rFonts w:ascii="Aptos" w:hAnsi="Aptos"/>
                <w:b w:val="0"/>
                <w:sz w:val="17"/>
              </w:rPr>
              <w:t>Google's Python SDK used to call the configured Gemini model.</w:t>
            </w:r>
          </w:p>
        </w:tc>
      </w:tr>
      <w:tr>
        <w:tc>
          <w:tcPr>
            <w:tcW w:type="dxa" w:w="5040"/>
            <w:vAlign w:val="center"/>
          </w:tcPr>
          <w:p>
            <w:pPr>
              <w:spacing w:after="20"/>
            </w:pPr>
            <w:r/>
            <w:r>
              <w:rPr>
                <w:rFonts w:ascii="Aptos" w:hAnsi="Aptos"/>
                <w:b/>
                <w:sz w:val="17"/>
              </w:rPr>
              <w:t>python-dotenv</w:t>
            </w:r>
          </w:p>
        </w:tc>
        <w:tc>
          <w:tcPr>
            <w:tcW w:type="dxa" w:w="5040"/>
            <w:vAlign w:val="center"/>
          </w:tcPr>
          <w:p>
            <w:pPr>
              <w:spacing w:after="20"/>
            </w:pPr>
            <w:r/>
            <w:r>
              <w:rPr>
                <w:rFonts w:ascii="Aptos" w:hAnsi="Aptos"/>
                <w:b w:val="0"/>
                <w:sz w:val="17"/>
              </w:rPr>
              <w:t>Loads local environment variables from backend/.env.</w:t>
            </w:r>
          </w:p>
        </w:tc>
      </w:tr>
      <w:tr>
        <w:tc>
          <w:tcPr>
            <w:tcW w:type="dxa" w:w="5040"/>
            <w:vAlign w:val="center"/>
          </w:tcPr>
          <w:p>
            <w:pPr>
              <w:spacing w:after="20"/>
            </w:pPr>
            <w:r/>
            <w:r>
              <w:rPr>
                <w:rFonts w:ascii="Aptos" w:hAnsi="Aptos"/>
                <w:b/>
                <w:sz w:val="17"/>
              </w:rPr>
              <w:t>Pydantic</w:t>
            </w:r>
          </w:p>
        </w:tc>
        <w:tc>
          <w:tcPr>
            <w:tcW w:type="dxa" w:w="5040"/>
            <w:vAlign w:val="center"/>
          </w:tcPr>
          <w:p>
            <w:pPr>
              <w:spacing w:after="20"/>
            </w:pPr>
            <w:r/>
            <w:r>
              <w:rPr>
                <w:rFonts w:ascii="Aptos" w:hAnsi="Aptos"/>
                <w:b w:val="0"/>
                <w:sz w:val="17"/>
              </w:rPr>
              <w:t>Defines/validates request and response schemas such as ChatRequest, ChatResponse, and SummaryRequest.</w:t>
            </w:r>
          </w:p>
        </w:tc>
      </w:tr>
      <w:tr>
        <w:tc>
          <w:tcPr>
            <w:tcW w:type="dxa" w:w="5040"/>
            <w:vAlign w:val="center"/>
          </w:tcPr>
          <w:p>
            <w:pPr>
              <w:spacing w:after="20"/>
            </w:pPr>
            <w:r/>
            <w:r>
              <w:rPr>
                <w:rFonts w:ascii="Aptos" w:hAnsi="Aptos"/>
                <w:b/>
                <w:sz w:val="17"/>
              </w:rPr>
              <w:t>CORSMiddleware</w:t>
            </w:r>
          </w:p>
        </w:tc>
        <w:tc>
          <w:tcPr>
            <w:tcW w:type="dxa" w:w="5040"/>
            <w:vAlign w:val="center"/>
          </w:tcPr>
          <w:p>
            <w:pPr>
              <w:spacing w:after="20"/>
            </w:pPr>
            <w:r/>
            <w:r>
              <w:rPr>
                <w:rFonts w:ascii="Aptos" w:hAnsi="Aptos"/>
                <w:b w:val="0"/>
                <w:sz w:val="17"/>
              </w:rPr>
              <w:t>Allows the browser frontend origin to make requests to the backend.</w:t>
            </w:r>
          </w:p>
        </w:tc>
      </w:tr>
      <w:tr>
        <w:tc>
          <w:tcPr>
            <w:tcW w:type="dxa" w:w="5040"/>
            <w:vAlign w:val="center"/>
          </w:tcPr>
          <w:p>
            <w:pPr>
              <w:spacing w:after="20"/>
            </w:pPr>
            <w:r/>
            <w:r>
              <w:rPr>
                <w:rFonts w:ascii="Aptos" w:hAnsi="Aptos"/>
                <w:b/>
                <w:sz w:val="17"/>
              </w:rPr>
              <w:t>In-memory Python dictionary</w:t>
            </w:r>
          </w:p>
        </w:tc>
        <w:tc>
          <w:tcPr>
            <w:tcW w:type="dxa" w:w="5040"/>
            <w:vAlign w:val="center"/>
          </w:tcPr>
          <w:p>
            <w:pPr>
              <w:spacing w:after="20"/>
            </w:pPr>
            <w:r/>
            <w:r>
              <w:rPr>
                <w:rFonts w:ascii="Aptos" w:hAnsi="Aptos"/>
                <w:b w:val="0"/>
                <w:sz w:val="17"/>
              </w:rPr>
              <w:t>Stores the three mock orders for the assessment; no database is used in this MVP.</w:t>
            </w:r>
          </w:p>
        </w:tc>
      </w:tr>
    </w:tbl>
    <w:p>
      <w:pPr>
        <w:pStyle w:val="Heading1"/>
      </w:pPr>
      <w:r>
        <w:t>4. Folder structure</w:t>
      </w:r>
    </w:p>
    <w:p>
      <w:pPr>
        <w:spacing w:after="80"/>
        <w:ind w:left="259"/>
        <w:shd w:fill="F2F4F7"/>
      </w:pPr>
      <w:r>
        <w:rPr>
          <w:rFonts w:ascii="Menlo" w:hAnsi="Menlo"/>
          <w:sz w:val="16"/>
        </w:rPr>
        <w:t>datastraw_voice_agent/</w:t>
        <w:br/>
        <w:t>├── README.md</w:t>
        <w:br/>
        <w:t>├── .gitignore</w:t>
        <w:br/>
        <w:t>├── backend/</w:t>
        <w:br/>
        <w:t>│   ├── .env.example</w:t>
        <w:br/>
        <w:t>│   ├── requirements.txt</w:t>
        <w:br/>
        <w:t>│   └── app/</w:t>
        <w:br/>
        <w:t>│       ├── __init__.py</w:t>
        <w:br/>
        <w:t>│       └── main.py</w:t>
        <w:br/>
        <w:t>└── frontend/</w:t>
        <w:br/>
        <w:t xml:space="preserve">    ├── .env.example</w:t>
        <w:br/>
        <w:t xml:space="preserve">    ├── package.json</w:t>
        <w:br/>
        <w:t xml:space="preserve">    ├── vite.config.js</w:t>
        <w:br/>
        <w:t xml:space="preserve">    ├── index.html</w:t>
        <w:br/>
        <w:t xml:space="preserve">    └── src/</w:t>
        <w:br/>
        <w:t xml:space="preserve">        ├── main.jsx</w:t>
        <w:br/>
        <w:t xml:space="preserve">        ├── App.jsx</w:t>
        <w:br/>
        <w:t xml:space="preserve">        └── styles.css</w:t>
      </w:r>
    </w:p>
    <w:p>
      <w:pPr>
        <w:pStyle w:val="ListBullet"/>
        <w:spacing w:after="40"/>
      </w:pPr>
      <w:r>
        <w:t>backend/app/main.py — FastAPI app, CORS setup, mock orders, policies, Pydantic schemas, order detection/lookup, Gemini call, and summary logic.</w:t>
      </w:r>
    </w:p>
    <w:p>
      <w:pPr>
        <w:pStyle w:val="ListBullet"/>
        <w:spacing w:after="40"/>
      </w:pPr>
      <w:r>
        <w:t>backend/requirements.txt — Python dependencies installed with pip.</w:t>
      </w:r>
    </w:p>
    <w:p>
      <w:pPr>
        <w:pStyle w:val="ListBullet"/>
        <w:spacing w:after="40"/>
      </w:pPr>
      <w:r>
        <w:t>backend/.env.example — safe template showing required configuration variables; commit this file.</w:t>
      </w:r>
    </w:p>
    <w:p>
      <w:pPr>
        <w:pStyle w:val="ListBullet"/>
        <w:spacing w:after="40"/>
      </w:pPr>
      <w:r>
        <w:t>backend/.env — local real API key and model settings; must remain untracked and secret.</w:t>
      </w:r>
    </w:p>
    <w:p>
      <w:pPr>
        <w:pStyle w:val="ListBullet"/>
        <w:spacing w:after="40"/>
      </w:pPr>
      <w:r>
        <w:t>frontend/src/main.jsx — React entry point that mounts the root component.</w:t>
      </w:r>
    </w:p>
    <w:p>
      <w:pPr>
        <w:pStyle w:val="ListBullet"/>
        <w:spacing w:after="40"/>
      </w:pPr>
      <w:r>
        <w:t>frontend/src/App.jsx — main application UI and browser voice interaction logic.</w:t>
      </w:r>
    </w:p>
    <w:p>
      <w:pPr>
        <w:pStyle w:val="ListBullet"/>
        <w:spacing w:after="40"/>
      </w:pPr>
      <w:r>
        <w:t>frontend/src/styles.css — layout, colors, buttons, status indicators, responsive styling.</w:t>
      </w:r>
    </w:p>
    <w:p>
      <w:pPr>
        <w:pStyle w:val="ListBullet"/>
        <w:spacing w:after="40"/>
      </w:pPr>
      <w:r>
        <w:t>frontend/package.json — npm scripts and React/Vite dependencies.</w:t>
      </w:r>
    </w:p>
    <w:p>
      <w:pPr>
        <w:pStyle w:val="ListBullet"/>
        <w:spacing w:after="40"/>
      </w:pPr>
      <w:r>
        <w:t>frontend/vite.config.js — Vite configuration and local development setup.</w:t>
      </w:r>
    </w:p>
    <w:p>
      <w:pPr>
        <w:pStyle w:val="ListBullet"/>
        <w:spacing w:after="40"/>
      </w:pPr>
      <w:r>
        <w:t>README.md — setup, architecture, limitations, and submission checklist.</w:t>
      </w:r>
    </w:p>
    <w:p>
      <w:pPr>
        <w:pStyle w:val="Heading1"/>
      </w:pPr>
      <w:r>
        <w:t>5. Architecture and request flow</w:t>
      </w:r>
    </w:p>
    <w:p>
      <w:pPr>
        <w:pStyle w:val="Heading2"/>
      </w:pPr>
      <w:r>
        <w:t>High-level flow</w:t>
      </w:r>
    </w:p>
    <w:p>
      <w:pPr>
        <w:spacing w:after="80"/>
        <w:ind w:left="259"/>
        <w:shd w:fill="F2F4F7"/>
      </w:pPr>
      <w:r>
        <w:rPr>
          <w:rFonts w:ascii="Menlo" w:hAnsi="Menlo"/>
          <w:sz w:val="16"/>
        </w:rPr>
        <w:t>Customer speaks</w:t>
        <w:br/>
        <w:t xml:space="preserve">    ↓</w:t>
        <w:br/>
        <w:t>Browser SpeechRecognition (STT) converts audio → text</w:t>
        <w:br/>
        <w:t xml:space="preserve">    ↓</w:t>
        <w:br/>
        <w:t>React App.jsx updates UI and sends POST /api/chat</w:t>
        <w:br/>
        <w:t xml:space="preserve">    ↓</w:t>
        <w:br/>
        <w:t>FastAPI validates ChatRequest</w:t>
        <w:br/>
        <w:t xml:space="preserve">    ↓</w:t>
        <w:br/>
        <w:t>Check whether message includes an order ID and order-related intent</w:t>
        <w:br/>
        <w:t xml:space="preserve">    ├─ Yes → get_order_details(order_id) → attach authoritative order data</w:t>
        <w:br/>
        <w:t xml:space="preserve">    └─ No  → no order lookup</w:t>
        <w:br/>
        <w:t xml:space="preserve">    ↓</w:t>
        <w:br/>
        <w:t>Build prompt = brand policies + recent conversation + latest message + tool result</w:t>
        <w:br/>
        <w:t xml:space="preserve">    ↓</w:t>
        <w:br/>
        <w:t>Gemini generates concise response text</w:t>
        <w:br/>
        <w:t xml:space="preserve">    ↓</w:t>
        <w:br/>
        <w:t>FastAPI returns { answer, tool_used, order }</w:t>
        <w:br/>
        <w:t xml:space="preserve">    ↓</w:t>
        <w:br/>
        <w:t>React adds response to transcript and SpeechSynthesis speaks it</w:t>
        <w:br/>
        <w:t xml:space="preserve">    ↓</w:t>
        <w:br/>
        <w:t>End Call → POST /api/summary → structured JSON summary shown in UI</w:t>
      </w:r>
    </w:p>
    <w:p>
      <w:r>
        <w:t>This is a modular pipeline: Speech-to-Text → LLM/policy reasoning with backend lookup → Text-to-Speech. Speech recognition and synthesis happen in the browser; Gemini runs on the server through the Python SDK.</w:t>
      </w:r>
    </w:p>
    <w:p>
      <w:pPr>
        <w:pStyle w:val="Heading2"/>
      </w:pPr>
      <w:r>
        <w:t>What the architecture is NOT</w:t>
      </w:r>
    </w:p>
    <w:p>
      <w:pPr>
        <w:pStyle w:val="ListBullet"/>
        <w:spacing w:after="40"/>
      </w:pPr>
      <w:r>
        <w:t>Not a phone/telephony integration; it runs in a browser.</w:t>
      </w:r>
    </w:p>
    <w:p>
      <w:pPr>
        <w:pStyle w:val="ListBullet"/>
        <w:spacing w:after="40"/>
      </w:pPr>
      <w:r>
        <w:t>Not full-duplex streaming; the browser speech flow is turn-based.</w:t>
      </w:r>
    </w:p>
    <w:p>
      <w:pPr>
        <w:pStyle w:val="ListBullet"/>
        <w:spacing w:after="40"/>
      </w:pPr>
      <w:r>
        <w:t>Not Gemini audio-in/audio-out; Gemini receives text and returns text.</w:t>
      </w:r>
    </w:p>
    <w:p>
      <w:pPr>
        <w:pStyle w:val="ListBullet"/>
        <w:spacing w:after="40"/>
      </w:pPr>
      <w:r>
        <w:t>Not a production order database; the three orders are hard-coded in memory.</w:t>
      </w:r>
    </w:p>
    <w:p>
      <w:pPr>
        <w:pStyle w:val="ListBullet"/>
        <w:spacing w:after="40"/>
      </w:pPr>
      <w:r>
        <w:t>Not native Gemini function calling in the inspected backend code; order lookup is triggered by deterministic Python regex/keyword rules, then the result is added to the prompt.</w:t>
      </w:r>
    </w:p>
    <w:p>
      <w:pPr>
        <w:pStyle w:val="Heading1"/>
      </w:pPr>
      <w:r>
        <w:t>6. Backend logic: main.py</w:t>
      </w:r>
    </w:p>
    <w:p>
      <w:pPr>
        <w:pStyle w:val="Heading2"/>
      </w:pPr>
      <w:r>
        <w:t>Application setup and CORS</w:t>
      </w:r>
    </w:p>
    <w:p>
      <w:r>
        <w:t>FastAPI is created with a title/version. FRONTEND_ORIGIN is loaded from the environment, defaulting to http://localhost:5173. CORSMiddleware allows that origin (or a comma-separated list), credentials, methods, and headers. CORS is a browser security mechanism controlling which origins can call the API; it is not authentication.</w:t>
      </w:r>
    </w:p>
    <w:p>
      <w:pPr>
        <w:pStyle w:val="Heading2"/>
      </w:pPr>
      <w:r>
        <w:t>Data models</w:t>
      </w:r>
    </w:p>
    <w:p>
      <w:pPr>
        <w:pStyle w:val="ListBullet"/>
        <w:spacing w:after="40"/>
      </w:pPr>
      <w:r>
        <w:t>ChatRequest: message (1–2000 characters), history (list of role/content dictionaries), and transcript (list of role/content dictionaries).</w:t>
      </w:r>
    </w:p>
    <w:p>
      <w:pPr>
        <w:pStyle w:val="ListBullet"/>
        <w:spacing w:after="40"/>
      </w:pPr>
      <w:r>
        <w:t>ChatResponse: answer text, optional tool_used name, optional order object.</w:t>
      </w:r>
    </w:p>
    <w:p>
      <w:pPr>
        <w:pStyle w:val="ListBullet"/>
        <w:spacing w:after="40"/>
      </w:pPr>
      <w:r>
        <w:t>SummaryRequest: transcript plus optional tool_events list.</w:t>
      </w:r>
    </w:p>
    <w:p>
      <w:pPr>
        <w:pStyle w:val="ListBullet"/>
        <w:spacing w:after="40"/>
      </w:pPr>
      <w:r>
        <w:t>Pydantic validates request shapes and produces helpful validation errors before the route logic runs.</w:t>
      </w:r>
    </w:p>
    <w:p>
      <w:pPr>
        <w:pStyle w:val="Heading2"/>
      </w:pPr>
      <w:r>
        <w:t>Order lookup function</w:t>
      </w:r>
    </w:p>
    <w:p>
      <w:pPr>
        <w:spacing w:after="80"/>
        <w:ind w:left="259"/>
        <w:shd w:fill="F2F4F7"/>
      </w:pPr>
      <w:r>
        <w:rPr>
          <w:rFonts w:ascii="Menlo" w:hAnsi="Menlo"/>
          <w:sz w:val="16"/>
        </w:rPr>
        <w:t>def get_order_details(order_id: str):</w:t>
        <w:br/>
        <w:t xml:space="preserve">    """Return the matching order, or None if it does not exist."""</w:t>
        <w:br/>
        <w:t xml:space="preserve">    return ORDERS.get(order_id.strip().upper())</w:t>
      </w:r>
    </w:p>
    <w:p>
      <w:r>
        <w:t>The dictionary lookup is deterministic and fast: expected O(1) average lookup time. Normalizing whitespace/case helps match IDs consistently. In production, this would call an authenticated database/service and would verify that the requester is allowed to see that order.</w:t>
      </w:r>
    </w:p>
    <w:p>
      <w:pPr>
        <w:pStyle w:val="Heading2"/>
      </w:pPr>
      <w:r>
        <w:t>Order ID detection and tool-routing logic</w:t>
      </w:r>
    </w:p>
    <w:p>
      <w:pPr>
        <w:spacing w:after="80"/>
        <w:ind w:left="259"/>
        <w:shd w:fill="F2F4F7"/>
      </w:pPr>
      <w:r>
        <w:rPr>
          <w:rFonts w:ascii="Menlo" w:hAnsi="Menlo"/>
          <w:sz w:val="16"/>
        </w:rPr>
        <w:t>detect_order_id(text)</w:t>
        <w:br/>
        <w:t># Regex recognizes IDs like ORD-101, ORD101, or ORD 101.</w:t>
        <w:br/>
        <w:br/>
        <w:t>needs_order_lookup(message)</w:t>
        <w:br/>
        <w:t># Requires a recognized order ID AND one order-related keyword:</w:t>
        <w:br/>
        <w:t># order, tracking, track, delivery, delivered, cancel,</w:t>
        <w:br/>
        <w:t># shipment, where is, status, refund, return.</w:t>
      </w:r>
    </w:p>
    <w:p>
      <w:r>
        <w:t>When both conditions are met, the backend invokes get_order_details. If found, the order dictionary is serialized into the prompt as authoritative ORDER_LOOKUP_RESULT. If not found, the prompt explicitly says no order exists and tells the model not to guess. The backend returns tool_used='get_order_details' and the order object (or None).</w:t>
      </w:r>
    </w:p>
    <w:p>
      <w:r>
        <w:t>Current limitation: this routing is rule-based and may miss paraphrases or trigger on keywords in awkward contexts. The LLM does not autonomously choose a tool. A stronger version could use Gemini's structured function-calling interface, validate tool arguments, execute the function server-side, then send the tool result back to the model.</w:t>
      </w:r>
    </w:p>
    <w:p>
      <w:pPr>
        <w:pStyle w:val="Heading2"/>
      </w:pPr>
      <w:r>
        <w:t>Policy prompt / guardrails</w:t>
      </w:r>
    </w:p>
    <w:p>
      <w:r>
        <w:t>POLICIES contains the agent persona, allowed scope, shipping/returns/damage/cancellation/COD rules, instruction not to invent order details, and a request to keep answers concise. The backend constructs a prompt from policies, the last eight history entries, the latest customer message, and any order lookup result.</w:t>
      </w:r>
    </w:p>
    <w:p>
      <w:r>
        <w:t>Prompt-based guardrails improve behavior but are not a hard security boundary. For high-impact actions such as cancellation or refunds, the backend should enforce eligibility in code before performing an action; the LLM should not be the authority for business permissions.</w:t>
      </w:r>
    </w:p>
    <w:p>
      <w:pPr>
        <w:pStyle w:val="Heading2"/>
      </w:pPr>
      <w:r>
        <w:t>Gemini API call</w:t>
      </w:r>
    </w:p>
    <w:p>
      <w:r>
        <w:t>The route checks GEMINI_API_KEY, creates a google.genai.Client, and calls client.models.generate_content with the configured GEMINI_MODEL. Generation is configured with temperature=0.2 and max_output_tokens=220 to encourage consistent, concise answers. If response.text is empty, a fallback clarification is returned. Provider exceptions are converted to HTTP 502 in the current code.</w:t>
      </w:r>
    </w:p>
    <w:p>
      <w:r>
        <w:t>A 502 from /api/chat is a generic upstream failure in this implementation. During debugging, inspect backend logs and the original exception; likely categories include model access/name, quota/rate limit, credentials, network, or SDK/dependency problems. Do not expose raw secrets or detailed provider errors in production.</w:t>
      </w:r>
    </w:p>
    <w:p>
      <w:pPr>
        <w:pStyle w:val="Heading2"/>
      </w:pPr>
      <w:r>
        <w:t>Summary endpoint</w:t>
      </w:r>
    </w:p>
    <w:p>
      <w:r>
        <w:t>/api/summary accepts the transcript and tool_events. It uses keyword checks on user messages to classify intent (ORDER_TRACKING, ORDER_CANCELLATION, RETURN_OR_REFUND, POLICY_QUESTION, or GENERAL_SUPPORT), extracts an order ID, looks at the last agent response, and chooses RESOLVED / NEEDS_FOLLOW_UP / INCOMPLETE. It returns call_summary and key_points.</w:t>
      </w:r>
    </w:p>
    <w:p>
      <w:r>
        <w:t>Important limitation: this is a heuristic summary, not a separate LLM-written summary. It summarizes mainly by using the last agent response and the last few customer messages. It can misclassify ambiguous conversations; improve with explicit conversation state, test cases, or a validated structured summarization call.</w:t>
      </w:r>
    </w:p>
    <w:p>
      <w:pPr>
        <w:pStyle w:val="Heading2"/>
      </w:pPr>
      <w:r>
        <w:t>API endpoints</w:t>
      </w:r>
    </w:p>
    <w:tbl>
      <w:tblPr>
        <w:tblStyle w:val="TableGrid"/>
        <w:tblW w:type="auto" w:w="0"/>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Endpoint</w:t>
            </w:r>
          </w:p>
        </w:tc>
        <w:tc>
          <w:tcPr>
            <w:tcW w:type="dxa" w:w="5040"/>
            <w:vAlign w:val="center"/>
            <w:shd w:fill="17365D"/>
          </w:tcPr>
          <w:p>
            <w:pPr>
              <w:spacing w:after="20"/>
            </w:pPr>
            <w:r/>
            <w:r>
              <w:rPr>
                <w:rFonts w:ascii="Aptos" w:hAnsi="Aptos"/>
                <w:b/>
                <w:color w:val="FFFFFF"/>
                <w:sz w:val="18"/>
              </w:rPr>
              <w:t>Responsibility</w:t>
            </w:r>
          </w:p>
        </w:tc>
      </w:tr>
      <w:tr>
        <w:tc>
          <w:tcPr>
            <w:tcW w:type="dxa" w:w="5040"/>
            <w:vAlign w:val="center"/>
          </w:tcPr>
          <w:p>
            <w:pPr>
              <w:spacing w:after="20"/>
            </w:pPr>
            <w:r/>
            <w:r>
              <w:rPr>
                <w:rFonts w:ascii="Aptos" w:hAnsi="Aptos"/>
                <w:b/>
                <w:sz w:val="17"/>
              </w:rPr>
              <w:t>GET /api/health</w:t>
            </w:r>
          </w:p>
        </w:tc>
        <w:tc>
          <w:tcPr>
            <w:tcW w:type="dxa" w:w="5040"/>
            <w:vAlign w:val="center"/>
          </w:tcPr>
          <w:p>
            <w:pPr>
              <w:spacing w:after="20"/>
            </w:pPr>
            <w:r/>
            <w:r>
              <w:rPr>
                <w:rFonts w:ascii="Aptos" w:hAnsi="Aptos"/>
                <w:b w:val="0"/>
                <w:sz w:val="17"/>
              </w:rPr>
              <w:t>Health check; returns status/service JSON.</w:t>
            </w:r>
          </w:p>
        </w:tc>
      </w:tr>
      <w:tr>
        <w:tc>
          <w:tcPr>
            <w:tcW w:type="dxa" w:w="5040"/>
            <w:vAlign w:val="center"/>
          </w:tcPr>
          <w:p>
            <w:pPr>
              <w:spacing w:after="20"/>
            </w:pPr>
            <w:r/>
            <w:r>
              <w:rPr>
                <w:rFonts w:ascii="Aptos" w:hAnsi="Aptos"/>
                <w:b/>
                <w:sz w:val="17"/>
              </w:rPr>
              <w:t>GET /api/orders</w:t>
            </w:r>
          </w:p>
        </w:tc>
        <w:tc>
          <w:tcPr>
            <w:tcW w:type="dxa" w:w="5040"/>
            <w:vAlign w:val="center"/>
          </w:tcPr>
          <w:p>
            <w:pPr>
              <w:spacing w:after="20"/>
            </w:pPr>
            <w:r/>
            <w:r>
              <w:rPr>
                <w:rFonts w:ascii="Aptos" w:hAnsi="Aptos"/>
                <w:b w:val="0"/>
                <w:sz w:val="17"/>
              </w:rPr>
              <w:t>Returns the sample order records for the visible test-order panel.</w:t>
            </w:r>
          </w:p>
        </w:tc>
      </w:tr>
      <w:tr>
        <w:tc>
          <w:tcPr>
            <w:tcW w:type="dxa" w:w="5040"/>
            <w:vAlign w:val="center"/>
          </w:tcPr>
          <w:p>
            <w:pPr>
              <w:spacing w:after="20"/>
            </w:pPr>
            <w:r/>
            <w:r>
              <w:rPr>
                <w:rFonts w:ascii="Aptos" w:hAnsi="Aptos"/>
                <w:b/>
                <w:sz w:val="17"/>
              </w:rPr>
              <w:t>POST /api/chat</w:t>
            </w:r>
          </w:p>
        </w:tc>
        <w:tc>
          <w:tcPr>
            <w:tcW w:type="dxa" w:w="5040"/>
            <w:vAlign w:val="center"/>
          </w:tcPr>
          <w:p>
            <w:pPr>
              <w:spacing w:after="20"/>
            </w:pPr>
            <w:r/>
            <w:r>
              <w:rPr>
                <w:rFonts w:ascii="Aptos" w:hAnsi="Aptos"/>
                <w:b w:val="0"/>
                <w:sz w:val="17"/>
              </w:rPr>
              <w:t>Accepts message/history/transcript and returns answer plus optional tool/order fields.</w:t>
            </w:r>
          </w:p>
        </w:tc>
      </w:tr>
      <w:tr>
        <w:tc>
          <w:tcPr>
            <w:tcW w:type="dxa" w:w="5040"/>
            <w:vAlign w:val="center"/>
          </w:tcPr>
          <w:p>
            <w:pPr>
              <w:spacing w:after="20"/>
            </w:pPr>
            <w:r/>
            <w:r>
              <w:rPr>
                <w:rFonts w:ascii="Aptos" w:hAnsi="Aptos"/>
                <w:b/>
                <w:sz w:val="17"/>
              </w:rPr>
              <w:t>POST /api/summary</w:t>
            </w:r>
          </w:p>
        </w:tc>
        <w:tc>
          <w:tcPr>
            <w:tcW w:type="dxa" w:w="5040"/>
            <w:vAlign w:val="center"/>
          </w:tcPr>
          <w:p>
            <w:pPr>
              <w:spacing w:after="20"/>
            </w:pPr>
            <w:r/>
            <w:r>
              <w:rPr>
                <w:rFonts w:ascii="Aptos" w:hAnsi="Aptos"/>
                <w:b w:val="0"/>
                <w:sz w:val="17"/>
              </w:rPr>
              <w:t>Accepts transcript/tool events and returns a structured call outcome.</w:t>
            </w:r>
          </w:p>
        </w:tc>
      </w:tr>
    </w:tbl>
    <w:p>
      <w:pPr>
        <w:pStyle w:val="Heading1"/>
      </w:pPr>
      <w:r>
        <w:t>7. Frontend logic: React</w:t>
      </w:r>
    </w:p>
    <w:p>
      <w:pPr>
        <w:pStyle w:val="ListBullet"/>
        <w:spacing w:after="40"/>
      </w:pPr>
      <w:r>
        <w:t>App.jsx is the main screen and coordinates call controls, browser speech APIs, transcript, order examples, loading/status states, and summary display.</w:t>
      </w:r>
    </w:p>
    <w:p>
      <w:pPr>
        <w:pStyle w:val="ListBullet"/>
        <w:spacing w:after="40"/>
      </w:pPr>
      <w:r>
        <w:t>The Web Speech API SpeechRecognition implementation listens to the customer and produces recognized text. Browser support and permission prompts vary; Chrome/Edge are the safest demo targets.</w:t>
      </w:r>
    </w:p>
    <w:p>
      <w:pPr>
        <w:pStyle w:val="ListBullet"/>
        <w:spacing w:after="40"/>
      </w:pPr>
      <w:r>
        <w:t>The app sends recognized text to POST /api/chat. The request includes recent conversation history so the backend can preserve basic context.</w:t>
      </w:r>
    </w:p>
    <w:p>
      <w:pPr>
        <w:pStyle w:val="ListBullet"/>
        <w:spacing w:after="40"/>
      </w:pPr>
      <w:r>
        <w:t>The returned answer is added to the transcript and passed to SpeechSynthesis. The app attempts an English/India voice when available and falls back to the system default.</w:t>
      </w:r>
    </w:p>
    <w:p>
      <w:pPr>
        <w:pStyle w:val="ListBullet"/>
        <w:spacing w:after="40"/>
      </w:pPr>
      <w:r>
        <w:t>UI status transitions communicate Listening, Thinking, and Speaking. The user can end the call and request a summary.</w:t>
      </w:r>
    </w:p>
    <w:p>
      <w:pPr>
        <w:pStyle w:val="ListBullet"/>
        <w:spacing w:after="40"/>
      </w:pPr>
      <w:r>
        <w:t>Typed input is useful as a fallback when speech recognition or microphone permission is unavailable.</w:t>
      </w:r>
    </w:p>
    <w:p>
      <w:pPr>
        <w:pStyle w:val="ListBullet"/>
        <w:spacing w:after="40"/>
      </w:pPr>
      <w:r>
        <w:t>styles.css controls the visual appearance; main.jsx mounts App.jsx into the root HTML element.</w:t>
      </w:r>
    </w:p>
    <w:p>
      <w:r>
        <w:t>Browser voice support is an external dependency. For a stable evaluator demo, test the exact browser/OS, grant microphone permission, check output volume, and have typed input available as a fallback.</w:t>
      </w:r>
    </w:p>
    <w:p>
      <w:pPr>
        <w:pStyle w:val="Heading1"/>
      </w:pPr>
      <w:r>
        <w:t>8. Environment configuration and run commands</w:t>
      </w:r>
    </w:p>
    <w:p>
      <w:pPr>
        <w:pStyle w:val="Heading2"/>
      </w:pPr>
      <w:r>
        <w:t>Backend</w:t>
      </w:r>
    </w:p>
    <w:p>
      <w:pPr>
        <w:spacing w:after="80"/>
        <w:ind w:left="259"/>
        <w:shd w:fill="F2F4F7"/>
      </w:pPr>
      <w:r>
        <w:rPr>
          <w:rFonts w:ascii="Menlo" w:hAnsi="Menlo"/>
          <w:sz w:val="16"/>
        </w:rPr>
        <w:t>cd backend</w:t>
        <w:br/>
        <w:t>python -m venv .venv</w:t>
        <w:br/>
        <w:t>source .venv/bin/activate</w:t>
        <w:br/>
        <w:t>python -m pip install -r requirements.txt</w:t>
        <w:br/>
        <w:t>cp .env.example .env</w:t>
        <w:br/>
        <w:t># Edit backend/.env and set the real key/model/origin</w:t>
        <w:br/>
        <w:t>uvicorn app.main:app --reload --port 8000</w:t>
      </w:r>
    </w:p>
    <w:p>
      <w:r>
        <w:t>On Windows PowerShell, activation is typically .venv\\Scripts\\Activate.ps1. Use the command appropriate for the shell.</w:t>
      </w:r>
    </w:p>
    <w:p>
      <w:pPr>
        <w:pStyle w:val="Heading2"/>
      </w:pPr>
      <w:r>
        <w:t>Frontend (second terminal)</w:t>
      </w:r>
    </w:p>
    <w:p>
      <w:pPr>
        <w:spacing w:after="80"/>
        <w:ind w:left="259"/>
        <w:shd w:fill="F2F4F7"/>
      </w:pPr>
      <w:r>
        <w:rPr>
          <w:rFonts w:ascii="Menlo" w:hAnsi="Menlo"/>
          <w:sz w:val="16"/>
        </w:rPr>
        <w:t>cd frontend</w:t>
        <w:br/>
        <w:t>npm install</w:t>
        <w:br/>
        <w:t>npm run dev</w:t>
        <w:br/>
        <w:t># Open the URL printed by Vite, usually http://localhost:5173</w:t>
      </w:r>
    </w:p>
    <w:p>
      <w:pPr>
        <w:pStyle w:val="Heading2"/>
      </w:pPr>
      <w:r>
        <w:t>Important environment variables</w:t>
      </w:r>
    </w:p>
    <w:p>
      <w:pPr>
        <w:pStyle w:val="ListBullet"/>
        <w:spacing w:after="40"/>
      </w:pPr>
      <w:r>
        <w:t>GEMINI_API_KEY — secret key used only by the backend. Never put it in frontend variables or commit it.</w:t>
      </w:r>
    </w:p>
    <w:p>
      <w:pPr>
        <w:pStyle w:val="ListBullet"/>
        <w:spacing w:after="40"/>
      </w:pPr>
      <w:r>
        <w:t>GEMINI_MODEL — model ID configured for the Google GenAI SDK. Use a model actually available to the API key/project.</w:t>
      </w:r>
    </w:p>
    <w:p>
      <w:pPr>
        <w:pStyle w:val="ListBullet"/>
        <w:spacing w:after="40"/>
      </w:pPr>
      <w:r>
        <w:t>FRONTEND_ORIGIN — allowed frontend origin for CORS, e.g. http://localhost:5173.</w:t>
      </w:r>
    </w:p>
    <w:p>
      <w:pPr>
        <w:pStyle w:val="ListBullet"/>
        <w:spacing w:after="40"/>
      </w:pPr>
      <w:r>
        <w:t>VITE_API_BASE_URL — frontend-side base URL for the backend when configured for deployment; Vite variables are public, so never store provider secrets there.</w:t>
      </w:r>
    </w:p>
    <w:p>
      <w:r>
        <w:t>Quotes around a simple API key value are generally unnecessary. .env.example should contain a placeholder, not the real key. Ensure .env is ignored by Git.</w:t>
      </w:r>
    </w:p>
    <w:p>
      <w:pPr>
        <w:pStyle w:val="Heading1"/>
      </w:pPr>
      <w:r>
        <w:t>9. Debugging diary: issues encountered and lessons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7"/>
              </w:rPr>
              <w:t>Issue</w:t>
            </w:r>
          </w:p>
        </w:tc>
        <w:tc>
          <w:tcPr>
            <w:tcW w:type="dxa" w:w="3360"/>
            <w:vAlign w:val="center"/>
            <w:shd w:fill="17365D"/>
          </w:tcPr>
          <w:p>
            <w:pPr>
              <w:spacing w:after="20"/>
            </w:pPr>
            <w:r/>
            <w:r>
              <w:rPr>
                <w:rFonts w:ascii="Aptos" w:hAnsi="Aptos"/>
                <w:b/>
                <w:color w:val="FFFFFF"/>
                <w:sz w:val="17"/>
              </w:rPr>
              <w:t>What it indicated</w:t>
            </w:r>
          </w:p>
        </w:tc>
        <w:tc>
          <w:tcPr>
            <w:tcW w:type="dxa" w:w="3360"/>
            <w:vAlign w:val="center"/>
            <w:shd w:fill="17365D"/>
          </w:tcPr>
          <w:p>
            <w:pPr>
              <w:spacing w:after="20"/>
            </w:pPr>
            <w:r/>
            <w:r>
              <w:rPr>
                <w:rFonts w:ascii="Aptos" w:hAnsi="Aptos"/>
                <w:b/>
                <w:color w:val="FFFFFF"/>
                <w:sz w:val="17"/>
              </w:rPr>
              <w:t>Lesson / resolution</w:t>
            </w:r>
          </w:p>
        </w:tc>
      </w:tr>
      <w:tr>
        <w:tc>
          <w:tcPr>
            <w:tcW w:type="dxa" w:w="3360"/>
            <w:vAlign w:val="center"/>
          </w:tcPr>
          <w:p>
            <w:pPr>
              <w:spacing w:after="20"/>
            </w:pPr>
            <w:r/>
            <w:r>
              <w:rPr>
                <w:rFonts w:ascii="Aptos" w:hAnsi="Aptos"/>
                <w:b/>
                <w:sz w:val="15"/>
              </w:rPr>
              <w:t>Frontend /api/chat returned 502</w:t>
            </w:r>
          </w:p>
        </w:tc>
        <w:tc>
          <w:tcPr>
            <w:tcW w:type="dxa" w:w="3360"/>
            <w:vAlign w:val="center"/>
          </w:tcPr>
          <w:p>
            <w:pPr>
              <w:spacing w:after="20"/>
            </w:pPr>
            <w:r/>
            <w:r>
              <w:rPr>
                <w:rFonts w:ascii="Aptos" w:hAnsi="Aptos"/>
                <w:b w:val="0"/>
                <w:sz w:val="15"/>
              </w:rPr>
              <w:t>The route reached FastAPI, but an upstream step failed. GET /api/orders and POST /api/summary returned 200, isolating the problem to the chat/provider path.</w:t>
            </w:r>
          </w:p>
        </w:tc>
        <w:tc>
          <w:tcPr>
            <w:tcW w:type="dxa" w:w="3360"/>
            <w:vAlign w:val="center"/>
          </w:tcPr>
          <w:p>
            <w:pPr>
              <w:spacing w:after="20"/>
            </w:pPr>
            <w:r/>
            <w:r>
              <w:rPr>
                <w:rFonts w:ascii="Aptos" w:hAnsi="Aptos"/>
                <w:b w:val="0"/>
                <w:sz w:val="15"/>
              </w:rPr>
              <w:t>Capture the complete backend traceback; don't infer the cause from 502 alone.</w:t>
            </w:r>
          </w:p>
        </w:tc>
      </w:tr>
      <w:tr>
        <w:tc>
          <w:tcPr>
            <w:tcW w:type="dxa" w:w="3360"/>
            <w:vAlign w:val="center"/>
          </w:tcPr>
          <w:p>
            <w:pPr>
              <w:spacing w:after="20"/>
            </w:pPr>
            <w:r/>
            <w:r>
              <w:rPr>
                <w:rFonts w:ascii="Aptos" w:hAnsi="Aptos"/>
                <w:b/>
                <w:sz w:val="15"/>
              </w:rPr>
              <w:t>Model name / high demand suspicion</w:t>
            </w:r>
          </w:p>
        </w:tc>
        <w:tc>
          <w:tcPr>
            <w:tcW w:type="dxa" w:w="3360"/>
            <w:vAlign w:val="center"/>
          </w:tcPr>
          <w:p>
            <w:pPr>
              <w:spacing w:after="20"/>
            </w:pPr>
            <w:r/>
            <w:r>
              <w:rPr>
                <w:rFonts w:ascii="Aptos" w:hAnsi="Aptos"/>
                <w:b w:val="0"/>
                <w:sz w:val="15"/>
              </w:rPr>
              <w:t>A model can fail because of availability, access, quota, or naming, but changing names blindly doesn't prove the root cause.</w:t>
            </w:r>
          </w:p>
        </w:tc>
        <w:tc>
          <w:tcPr>
            <w:tcW w:type="dxa" w:w="3360"/>
            <w:vAlign w:val="center"/>
          </w:tcPr>
          <w:p>
            <w:pPr>
              <w:spacing w:after="20"/>
            </w:pPr>
            <w:r/>
            <w:r>
              <w:rPr>
                <w:rFonts w:ascii="Aptos" w:hAnsi="Aptos"/>
                <w:b w:val="0"/>
                <w:sz w:val="15"/>
              </w:rPr>
              <w:t>Run a minimal standalone Gemini request using the same .env and SDK.</w:t>
            </w:r>
          </w:p>
        </w:tc>
      </w:tr>
      <w:tr>
        <w:tc>
          <w:tcPr>
            <w:tcW w:type="dxa" w:w="3360"/>
            <w:vAlign w:val="center"/>
          </w:tcPr>
          <w:p>
            <w:pPr>
              <w:spacing w:after="20"/>
            </w:pPr>
            <w:r/>
            <w:r>
              <w:rPr>
                <w:rFonts w:ascii="Aptos" w:hAnsi="Aptos"/>
                <w:b/>
                <w:sz w:val="15"/>
              </w:rPr>
              <w:t>cryptography Rust import error</w:t>
            </w:r>
          </w:p>
        </w:tc>
        <w:tc>
          <w:tcPr>
            <w:tcW w:type="dxa" w:w="3360"/>
            <w:vAlign w:val="center"/>
          </w:tcPr>
          <w:p>
            <w:pPr>
              <w:spacing w:after="20"/>
            </w:pPr>
            <w:r/>
            <w:r>
              <w:rPr>
                <w:rFonts w:ascii="Aptos" w:hAnsi="Aptos"/>
                <w:b w:val="0"/>
                <w:sz w:val="15"/>
              </w:rPr>
              <w:t>Initial error: cannot import 'exceptions' from cryptography.hazmat.bindings._rust. Direct cryptography tests later passed in the environment.</w:t>
            </w:r>
          </w:p>
        </w:tc>
        <w:tc>
          <w:tcPr>
            <w:tcW w:type="dxa" w:w="3360"/>
            <w:vAlign w:val="center"/>
          </w:tcPr>
          <w:p>
            <w:pPr>
              <w:spacing w:after="20"/>
            </w:pPr>
            <w:r/>
            <w:r>
              <w:rPr>
                <w:rFonts w:ascii="Aptos" w:hAnsi="Aptos"/>
                <w:b w:val="0"/>
                <w:sz w:val="15"/>
              </w:rPr>
              <w:t>Verify imports in the exact active venv and don't keep reinstalling a package that passes its own tests.</w:t>
            </w:r>
          </w:p>
        </w:tc>
      </w:tr>
      <w:tr>
        <w:tc>
          <w:tcPr>
            <w:tcW w:type="dxa" w:w="3360"/>
            <w:vAlign w:val="center"/>
          </w:tcPr>
          <w:p>
            <w:pPr>
              <w:spacing w:after="20"/>
            </w:pPr>
            <w:r/>
            <w:r>
              <w:rPr>
                <w:rFonts w:ascii="Aptos" w:hAnsi="Aptos"/>
                <w:b/>
                <w:sz w:val="15"/>
              </w:rPr>
              <w:t>Google GenAI import failed with ArgsKwargs</w:t>
            </w:r>
          </w:p>
        </w:tc>
        <w:tc>
          <w:tcPr>
            <w:tcW w:type="dxa" w:w="3360"/>
            <w:vAlign w:val="center"/>
          </w:tcPr>
          <w:p>
            <w:pPr>
              <w:spacing w:after="20"/>
            </w:pPr>
            <w:r/>
            <w:r>
              <w:rPr>
                <w:rFonts w:ascii="Aptos" w:hAnsi="Aptos"/>
                <w:b w:val="0"/>
                <w:sz w:val="15"/>
              </w:rPr>
              <w:t>Traceback pointed to pydantic_core while importing google.genai, indicating a broken/mismatched compiled Pydantic Core installation.</w:t>
            </w:r>
          </w:p>
        </w:tc>
        <w:tc>
          <w:tcPr>
            <w:tcW w:type="dxa" w:w="3360"/>
            <w:vAlign w:val="center"/>
          </w:tcPr>
          <w:p>
            <w:pPr>
              <w:spacing w:after="20"/>
            </w:pPr>
            <w:r/>
            <w:r>
              <w:rPr>
                <w:rFonts w:ascii="Aptos" w:hAnsi="Aptos"/>
                <w:b w:val="0"/>
                <w:sz w:val="15"/>
              </w:rPr>
              <w:t>Recreating the venv and reinstalling dependencies restored the import.</w:t>
            </w:r>
          </w:p>
        </w:tc>
      </w:tr>
      <w:tr>
        <w:tc>
          <w:tcPr>
            <w:tcW w:type="dxa" w:w="3360"/>
            <w:vAlign w:val="center"/>
          </w:tcPr>
          <w:p>
            <w:pPr>
              <w:spacing w:after="20"/>
            </w:pPr>
            <w:r/>
            <w:r>
              <w:rPr>
                <w:rFonts w:ascii="Aptos" w:hAnsi="Aptos"/>
                <w:b/>
                <w:sz w:val="15"/>
              </w:rPr>
              <w:t>pip metadata showed invalid version '45.0.5 2'</w:t>
            </w:r>
          </w:p>
        </w:tc>
        <w:tc>
          <w:tcPr>
            <w:tcW w:type="dxa" w:w="3360"/>
            <w:vAlign w:val="center"/>
          </w:tcPr>
          <w:p>
            <w:pPr>
              <w:spacing w:after="20"/>
            </w:pPr>
            <w:r/>
            <w:r>
              <w:rPr>
                <w:rFonts w:ascii="Aptos" w:hAnsi="Aptos"/>
                <w:b w:val="0"/>
                <w:sz w:val="15"/>
              </w:rPr>
              <w:t>Pip could not parse the installed cryptography distribution metadata in the old environment.</w:t>
            </w:r>
          </w:p>
        </w:tc>
        <w:tc>
          <w:tcPr>
            <w:tcW w:type="dxa" w:w="3360"/>
            <w:vAlign w:val="center"/>
          </w:tcPr>
          <w:p>
            <w:pPr>
              <w:spacing w:after="20"/>
            </w:pPr>
            <w:r/>
            <w:r>
              <w:rPr>
                <w:rFonts w:ascii="Aptos" w:hAnsi="Aptos"/>
                <w:b w:val="0"/>
                <w:sz w:val="15"/>
              </w:rPr>
              <w:t>A clean venv avoided carrying the malformed metadata forward.</w:t>
            </w:r>
          </w:p>
        </w:tc>
      </w:tr>
      <w:tr>
        <w:tc>
          <w:tcPr>
            <w:tcW w:type="dxa" w:w="3360"/>
            <w:vAlign w:val="center"/>
          </w:tcPr>
          <w:p>
            <w:pPr>
              <w:spacing w:after="20"/>
            </w:pPr>
            <w:r/>
            <w:r>
              <w:rPr>
                <w:rFonts w:ascii="Aptos" w:hAnsi="Aptos"/>
                <w:b/>
                <w:sz w:val="15"/>
              </w:rPr>
              <w:t>Fresh environment verification</w:t>
            </w:r>
          </w:p>
        </w:tc>
        <w:tc>
          <w:tcPr>
            <w:tcW w:type="dxa" w:w="3360"/>
            <w:vAlign w:val="center"/>
          </w:tcPr>
          <w:p>
            <w:pPr>
              <w:spacing w:after="20"/>
            </w:pPr>
            <w:r/>
            <w:r>
              <w:rPr>
                <w:rFonts w:ascii="Aptos" w:hAnsi="Aptos"/>
                <w:b w:val="0"/>
                <w:sz w:val="15"/>
              </w:rPr>
              <w:t>pip check returned 'No broken requirements found'; google.genai imported; minimal Gemini request returned 'Gemini connection OK'.</w:t>
            </w:r>
          </w:p>
        </w:tc>
        <w:tc>
          <w:tcPr>
            <w:tcW w:type="dxa" w:w="3360"/>
            <w:vAlign w:val="center"/>
          </w:tcPr>
          <w:p>
            <w:pPr>
              <w:spacing w:after="20"/>
            </w:pPr>
            <w:r/>
            <w:r>
              <w:rPr>
                <w:rFonts w:ascii="Aptos" w:hAnsi="Aptos"/>
                <w:b w:val="0"/>
                <w:sz w:val="15"/>
              </w:rPr>
              <w:t>This isolated basic provider connectivity from the application route. If app chat still fails, inspect app-specific payload/prompt/route and logs.</w:t>
            </w:r>
          </w:p>
        </w:tc>
      </w:tr>
    </w:tbl>
    <w:p>
      <w:pPr>
        <w:pStyle w:val="Heading1"/>
      </w:pPr>
      <w:r>
        <w:t>10. Testing checklist</w:t>
      </w:r>
    </w:p>
    <w:tbl>
      <w:tblPr>
        <w:tblStyle w:val="TableGrid"/>
        <w:tblW w:type="auto" w:w="0"/>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Test</w:t>
            </w:r>
          </w:p>
        </w:tc>
        <w:tc>
          <w:tcPr>
            <w:tcW w:type="dxa" w:w="5040"/>
            <w:vAlign w:val="center"/>
            <w:shd w:fill="17365D"/>
          </w:tcPr>
          <w:p>
            <w:pPr>
              <w:spacing w:after="20"/>
            </w:pPr>
            <w:r/>
            <w:r>
              <w:rPr>
                <w:rFonts w:ascii="Aptos" w:hAnsi="Aptos"/>
                <w:b/>
                <w:color w:val="FFFFFF"/>
                <w:sz w:val="18"/>
              </w:rPr>
              <w:t>Expected result</w:t>
            </w:r>
          </w:p>
        </w:tc>
      </w:tr>
      <w:tr>
        <w:tc>
          <w:tcPr>
            <w:tcW w:type="dxa" w:w="5040"/>
            <w:vAlign w:val="center"/>
          </w:tcPr>
          <w:p>
            <w:pPr>
              <w:spacing w:after="20"/>
            </w:pPr>
            <w:r/>
            <w:r>
              <w:rPr>
                <w:rFonts w:ascii="Aptos" w:hAnsi="Aptos"/>
                <w:b/>
                <w:sz w:val="17"/>
              </w:rPr>
              <w:t>Health endpoint</w:t>
            </w:r>
          </w:p>
        </w:tc>
        <w:tc>
          <w:tcPr>
            <w:tcW w:type="dxa" w:w="5040"/>
            <w:vAlign w:val="center"/>
          </w:tcPr>
          <w:p>
            <w:pPr>
              <w:spacing w:after="20"/>
            </w:pPr>
            <w:r/>
            <w:r>
              <w:rPr>
                <w:rFonts w:ascii="Aptos" w:hAnsi="Aptos"/>
                <w:b w:val="0"/>
                <w:sz w:val="17"/>
              </w:rPr>
              <w:t>GET /api/health returns status=ok.</w:t>
            </w:r>
          </w:p>
        </w:tc>
      </w:tr>
      <w:tr>
        <w:tc>
          <w:tcPr>
            <w:tcW w:type="dxa" w:w="5040"/>
            <w:vAlign w:val="center"/>
          </w:tcPr>
          <w:p>
            <w:pPr>
              <w:spacing w:after="20"/>
            </w:pPr>
            <w:r/>
            <w:r>
              <w:rPr>
                <w:rFonts w:ascii="Aptos" w:hAnsi="Aptos"/>
                <w:b/>
                <w:sz w:val="17"/>
              </w:rPr>
              <w:t>Order panel</w:t>
            </w:r>
          </w:p>
        </w:tc>
        <w:tc>
          <w:tcPr>
            <w:tcW w:type="dxa" w:w="5040"/>
            <w:vAlign w:val="center"/>
          </w:tcPr>
          <w:p>
            <w:pPr>
              <w:spacing w:after="20"/>
            </w:pPr>
            <w:r/>
            <w:r>
              <w:rPr>
                <w:rFonts w:ascii="Aptos" w:hAnsi="Aptos"/>
                <w:b w:val="0"/>
                <w:sz w:val="17"/>
              </w:rPr>
              <w:t>GET /api/orders shows all three expected sample orders.</w:t>
            </w:r>
          </w:p>
        </w:tc>
      </w:tr>
      <w:tr>
        <w:tc>
          <w:tcPr>
            <w:tcW w:type="dxa" w:w="5040"/>
            <w:vAlign w:val="center"/>
          </w:tcPr>
          <w:p>
            <w:pPr>
              <w:spacing w:after="20"/>
            </w:pPr>
            <w:r/>
            <w:r>
              <w:rPr>
                <w:rFonts w:ascii="Aptos" w:hAnsi="Aptos"/>
                <w:b/>
                <w:sz w:val="17"/>
              </w:rPr>
              <w:t>ORD-101 tracking</w:t>
            </w:r>
          </w:p>
        </w:tc>
        <w:tc>
          <w:tcPr>
            <w:tcW w:type="dxa" w:w="5040"/>
            <w:vAlign w:val="center"/>
          </w:tcPr>
          <w:p>
            <w:pPr>
              <w:spacing w:after="20"/>
            </w:pPr>
            <w:r/>
            <w:r>
              <w:rPr>
                <w:rFonts w:ascii="Aptos" w:hAnsi="Aptos"/>
                <w:b w:val="0"/>
                <w:sz w:val="17"/>
              </w:rPr>
              <w:t>Ask for status of ORD-101; agent states Out for Delivery, BlueDart tracking number, expected by 6 PM today.</w:t>
            </w:r>
          </w:p>
        </w:tc>
      </w:tr>
      <w:tr>
        <w:tc>
          <w:tcPr>
            <w:tcW w:type="dxa" w:w="5040"/>
            <w:vAlign w:val="center"/>
          </w:tcPr>
          <w:p>
            <w:pPr>
              <w:spacing w:after="20"/>
            </w:pPr>
            <w:r/>
            <w:r>
              <w:rPr>
                <w:rFonts w:ascii="Aptos" w:hAnsi="Aptos"/>
                <w:b/>
                <w:sz w:val="17"/>
              </w:rPr>
              <w:t>ORD-102 return</w:t>
            </w:r>
          </w:p>
        </w:tc>
        <w:tc>
          <w:tcPr>
            <w:tcW w:type="dxa" w:w="5040"/>
            <w:vAlign w:val="center"/>
          </w:tcPr>
          <w:p>
            <w:pPr>
              <w:spacing w:after="20"/>
            </w:pPr>
            <w:r/>
            <w:r>
              <w:rPr>
                <w:rFonts w:ascii="Aptos" w:hAnsi="Aptos"/>
                <w:b w:val="0"/>
                <w:sz w:val="17"/>
              </w:rPr>
              <w:t>Ask to return ORD-102; explain delivery was 14 days ago and it is outside the 7-day window. Do not promise an exception.</w:t>
            </w:r>
          </w:p>
        </w:tc>
      </w:tr>
      <w:tr>
        <w:tc>
          <w:tcPr>
            <w:tcW w:type="dxa" w:w="5040"/>
            <w:vAlign w:val="center"/>
          </w:tcPr>
          <w:p>
            <w:pPr>
              <w:spacing w:after="20"/>
            </w:pPr>
            <w:r/>
            <w:r>
              <w:rPr>
                <w:rFonts w:ascii="Aptos" w:hAnsi="Aptos"/>
                <w:b/>
                <w:sz w:val="17"/>
              </w:rPr>
              <w:t>ORD-103 cancellation</w:t>
            </w:r>
          </w:p>
        </w:tc>
        <w:tc>
          <w:tcPr>
            <w:tcW w:type="dxa" w:w="5040"/>
            <w:vAlign w:val="center"/>
          </w:tcPr>
          <w:p>
            <w:pPr>
              <w:spacing w:after="20"/>
            </w:pPr>
            <w:r/>
            <w:r>
              <w:rPr>
                <w:rFonts w:ascii="Aptos" w:hAnsi="Aptos"/>
                <w:b w:val="0"/>
                <w:sz w:val="17"/>
              </w:rPr>
              <w:t>Ask to cancel ORD-103; it is Processing and marked cancellation-eligible in mock data.</w:t>
            </w:r>
          </w:p>
        </w:tc>
      </w:tr>
      <w:tr>
        <w:tc>
          <w:tcPr>
            <w:tcW w:type="dxa" w:w="5040"/>
            <w:vAlign w:val="center"/>
          </w:tcPr>
          <w:p>
            <w:pPr>
              <w:spacing w:after="20"/>
            </w:pPr>
            <w:r/>
            <w:r>
              <w:rPr>
                <w:rFonts w:ascii="Aptos" w:hAnsi="Aptos"/>
                <w:b/>
                <w:sz w:val="17"/>
              </w:rPr>
              <w:t>Invalid order</w:t>
            </w:r>
          </w:p>
        </w:tc>
        <w:tc>
          <w:tcPr>
            <w:tcW w:type="dxa" w:w="5040"/>
            <w:vAlign w:val="center"/>
          </w:tcPr>
          <w:p>
            <w:pPr>
              <w:spacing w:after="20"/>
            </w:pPr>
            <w:r/>
            <w:r>
              <w:rPr>
                <w:rFonts w:ascii="Aptos" w:hAnsi="Aptos"/>
                <w:b w:val="0"/>
                <w:sz w:val="17"/>
              </w:rPr>
              <w:t>Ask about ORD-999; agent should say it cannot locate the order and ask the customer to verify.</w:t>
            </w:r>
          </w:p>
        </w:tc>
      </w:tr>
      <w:tr>
        <w:tc>
          <w:tcPr>
            <w:tcW w:type="dxa" w:w="5040"/>
            <w:vAlign w:val="center"/>
          </w:tcPr>
          <w:p>
            <w:pPr>
              <w:spacing w:after="20"/>
            </w:pPr>
            <w:r/>
            <w:r>
              <w:rPr>
                <w:rFonts w:ascii="Aptos" w:hAnsi="Aptos"/>
                <w:b/>
                <w:sz w:val="17"/>
              </w:rPr>
              <w:t>No order ID</w:t>
            </w:r>
          </w:p>
        </w:tc>
        <w:tc>
          <w:tcPr>
            <w:tcW w:type="dxa" w:w="5040"/>
            <w:vAlign w:val="center"/>
          </w:tcPr>
          <w:p>
            <w:pPr>
              <w:spacing w:after="20"/>
            </w:pPr>
            <w:r/>
            <w:r>
              <w:rPr>
                <w:rFonts w:ascii="Aptos" w:hAnsi="Aptos"/>
                <w:b w:val="0"/>
                <w:sz w:val="17"/>
              </w:rPr>
              <w:t>Ask 'Where is my order?' without an ID; app should ask for the order ID rather than inventing data.</w:t>
            </w:r>
          </w:p>
        </w:tc>
      </w:tr>
      <w:tr>
        <w:tc>
          <w:tcPr>
            <w:tcW w:type="dxa" w:w="5040"/>
            <w:vAlign w:val="center"/>
          </w:tcPr>
          <w:p>
            <w:pPr>
              <w:spacing w:after="20"/>
            </w:pPr>
            <w:r/>
            <w:r>
              <w:rPr>
                <w:rFonts w:ascii="Aptos" w:hAnsi="Aptos"/>
                <w:b/>
                <w:sz w:val="17"/>
              </w:rPr>
              <w:t>Policy questions</w:t>
            </w:r>
          </w:p>
        </w:tc>
        <w:tc>
          <w:tcPr>
            <w:tcW w:type="dxa" w:w="5040"/>
            <w:vAlign w:val="center"/>
          </w:tcPr>
          <w:p>
            <w:pPr>
              <w:spacing w:after="20"/>
            </w:pPr>
            <w:r/>
            <w:r>
              <w:rPr>
                <w:rFonts w:ascii="Aptos" w:hAnsi="Aptos"/>
                <w:b w:val="0"/>
                <w:sz w:val="17"/>
              </w:rPr>
              <w:t>Test shipping thresholds, standard delivery window, COD limit/payment modes, and damaged-item reporting window.</w:t>
            </w:r>
          </w:p>
        </w:tc>
      </w:tr>
      <w:tr>
        <w:tc>
          <w:tcPr>
            <w:tcW w:type="dxa" w:w="5040"/>
            <w:vAlign w:val="center"/>
          </w:tcPr>
          <w:p>
            <w:pPr>
              <w:spacing w:after="20"/>
            </w:pPr>
            <w:r/>
            <w:r>
              <w:rPr>
                <w:rFonts w:ascii="Aptos" w:hAnsi="Aptos"/>
                <w:b/>
                <w:sz w:val="17"/>
              </w:rPr>
              <w:t>Out of scope</w:t>
            </w:r>
          </w:p>
        </w:tc>
        <w:tc>
          <w:tcPr>
            <w:tcW w:type="dxa" w:w="5040"/>
            <w:vAlign w:val="center"/>
          </w:tcPr>
          <w:p>
            <w:pPr>
              <w:spacing w:after="20"/>
            </w:pPr>
            <w:r/>
            <w:r>
              <w:rPr>
                <w:rFonts w:ascii="Aptos" w:hAnsi="Aptos"/>
                <w:b w:val="0"/>
                <w:sz w:val="17"/>
              </w:rPr>
              <w:t>Ask to book a flight; agent politely declines and returns to Aura Skincare support.</w:t>
            </w:r>
          </w:p>
        </w:tc>
      </w:tr>
      <w:tr>
        <w:tc>
          <w:tcPr>
            <w:tcW w:type="dxa" w:w="5040"/>
            <w:vAlign w:val="center"/>
          </w:tcPr>
          <w:p>
            <w:pPr>
              <w:spacing w:after="20"/>
            </w:pPr>
            <w:r/>
            <w:r>
              <w:rPr>
                <w:rFonts w:ascii="Aptos" w:hAnsi="Aptos"/>
                <w:b/>
                <w:sz w:val="17"/>
              </w:rPr>
              <w:t>Unclear audio</w:t>
            </w:r>
          </w:p>
        </w:tc>
        <w:tc>
          <w:tcPr>
            <w:tcW w:type="dxa" w:w="5040"/>
            <w:vAlign w:val="center"/>
          </w:tcPr>
          <w:p>
            <w:pPr>
              <w:spacing w:after="20"/>
            </w:pPr>
            <w:r/>
            <w:r>
              <w:rPr>
                <w:rFonts w:ascii="Aptos" w:hAnsi="Aptos"/>
                <w:b w:val="0"/>
                <w:sz w:val="17"/>
              </w:rPr>
              <w:t>Speak unclearly or deny microphone permission; app should recover or use typed fallback.</w:t>
            </w:r>
          </w:p>
        </w:tc>
      </w:tr>
      <w:tr>
        <w:tc>
          <w:tcPr>
            <w:tcW w:type="dxa" w:w="5040"/>
            <w:vAlign w:val="center"/>
          </w:tcPr>
          <w:p>
            <w:pPr>
              <w:spacing w:after="20"/>
            </w:pPr>
            <w:r/>
            <w:r>
              <w:rPr>
                <w:rFonts w:ascii="Aptos" w:hAnsi="Aptos"/>
                <w:b/>
                <w:sz w:val="17"/>
              </w:rPr>
              <w:t>Summary</w:t>
            </w:r>
          </w:p>
        </w:tc>
        <w:tc>
          <w:tcPr>
            <w:tcW w:type="dxa" w:w="5040"/>
            <w:vAlign w:val="center"/>
          </w:tcPr>
          <w:p>
            <w:pPr>
              <w:spacing w:after="20"/>
            </w:pPr>
            <w:r/>
            <w:r>
              <w:rPr>
                <w:rFonts w:ascii="Aptos" w:hAnsi="Aptos"/>
                <w:b w:val="0"/>
                <w:sz w:val="17"/>
              </w:rPr>
              <w:t>End the call and confirm transcript is chronological and summary fields are populated.</w:t>
            </w:r>
          </w:p>
        </w:tc>
      </w:tr>
      <w:tr>
        <w:tc>
          <w:tcPr>
            <w:tcW w:type="dxa" w:w="5040"/>
            <w:vAlign w:val="center"/>
          </w:tcPr>
          <w:p>
            <w:pPr>
              <w:spacing w:after="20"/>
            </w:pPr>
            <w:r/>
            <w:r>
              <w:rPr>
                <w:rFonts w:ascii="Aptos" w:hAnsi="Aptos"/>
                <w:b/>
                <w:sz w:val="17"/>
              </w:rPr>
              <w:t>Failure path</w:t>
            </w:r>
          </w:p>
        </w:tc>
        <w:tc>
          <w:tcPr>
            <w:tcW w:type="dxa" w:w="5040"/>
            <w:vAlign w:val="center"/>
          </w:tcPr>
          <w:p>
            <w:pPr>
              <w:spacing w:after="20"/>
            </w:pPr>
            <w:r/>
            <w:r>
              <w:rPr>
                <w:rFonts w:ascii="Aptos" w:hAnsi="Aptos"/>
                <w:b w:val="0"/>
                <w:sz w:val="17"/>
              </w:rPr>
              <w:t>Test invalid API key/model/quota in a safe environment and ensure UI displays a useful error without leaking secrets.</w:t>
            </w:r>
          </w:p>
        </w:tc>
      </w:tr>
    </w:tbl>
    <w:p>
      <w:pPr>
        <w:pStyle w:val="Heading1"/>
      </w:pPr>
      <w:r>
        <w:t>11. Security, reliability, and production improvements</w:t>
      </w:r>
    </w:p>
    <w:p>
      <w:pPr>
        <w:pStyle w:val="ListBullet"/>
        <w:spacing w:after="40"/>
      </w:pPr>
      <w:r>
        <w:t>Secrets: store GEMINI_API_KEY in backend environment/secret manager only; redact exceptions and never log secrets.</w:t>
      </w:r>
    </w:p>
    <w:p>
      <w:pPr>
        <w:pStyle w:val="ListBullet"/>
        <w:spacing w:after="40"/>
      </w:pPr>
      <w:r>
        <w:t>Validation: use typed request schemas and limit message/history sizes; validate order IDs and tool arguments server-side.</w:t>
      </w:r>
    </w:p>
    <w:p>
      <w:pPr>
        <w:pStyle w:val="ListBullet"/>
        <w:spacing w:after="40"/>
      </w:pPr>
      <w:r>
        <w:t>Authorization and privacy: mock data is harmless for a demo, but a real service must authenticate customers and check order ownership before returning personal details.</w:t>
      </w:r>
    </w:p>
    <w:p>
      <w:pPr>
        <w:pStyle w:val="ListBullet"/>
        <w:spacing w:after="40"/>
      </w:pPr>
      <w:r>
        <w:t>Business actions: cancellation/refund should require deterministic eligibility checks, explicit customer confirmation, idempotency, and an audit log.</w:t>
      </w:r>
    </w:p>
    <w:p>
      <w:pPr>
        <w:pStyle w:val="ListBullet"/>
        <w:spacing w:after="40"/>
      </w:pPr>
      <w:r>
        <w:t>Persistence: move orders, calls, transcripts, and summaries into a database with retention/access rules instead of in-memory dictionaries.</w:t>
      </w:r>
    </w:p>
    <w:p>
      <w:pPr>
        <w:pStyle w:val="ListBullet"/>
        <w:spacing w:after="40"/>
      </w:pPr>
      <w:r>
        <w:t>Observability: add request IDs, structured logs, latency and error metrics, rate-limit monitoring, and redacted diagnostics.</w:t>
      </w:r>
    </w:p>
    <w:p>
      <w:pPr>
        <w:pStyle w:val="ListBullet"/>
        <w:spacing w:after="40"/>
      </w:pPr>
      <w:r>
        <w:t>Resilience: handle provider timeouts, 429/503 responses, retry with backoff where appropriate, and provide a polite fallback response.</w:t>
      </w:r>
    </w:p>
    <w:p>
      <w:pPr>
        <w:pStyle w:val="ListBullet"/>
        <w:spacing w:after="40"/>
      </w:pPr>
      <w:r>
        <w:t>Voice quality: for lower latency and natural interruption handling, evaluate streaming STT/TTS or a realtime speech API; keep the current browser APIs as a lightweight MVP option.</w:t>
      </w:r>
    </w:p>
    <w:p>
      <w:pPr>
        <w:pStyle w:val="ListBullet"/>
        <w:spacing w:after="40"/>
      </w:pPr>
      <w:r>
        <w:t>Testing: add unit tests for order detection, eligibility rules, summary classification, API routes, and mocked Gemini responses.</w:t>
      </w:r>
    </w:p>
    <w:p>
      <w:pPr>
        <w:pStyle w:val="ListBullet"/>
        <w:spacing w:after="40"/>
      </w:pPr>
      <w:r>
        <w:t>Deployment: deploy frontend and backend separately, configure CORS for the deployed frontend URL, set server-side secrets, and test the public URL.</w:t>
      </w:r>
    </w:p>
    <w:p>
      <w:pPr>
        <w:pStyle w:val="ListBullet"/>
        <w:spacing w:after="40"/>
      </w:pPr>
      <w:r>
        <w:t>Guardrails: treat prompts as guidance, not security enforcement. Enforce policy decisions in code and keep the model from making unsupported promises.</w:t>
      </w:r>
    </w:p>
    <w:p>
      <w:pPr>
        <w:pStyle w:val="ListBullet"/>
        <w:spacing w:after="40"/>
      </w:pPr>
      <w:r>
        <w:t>Accessibility: provide typed input, visible status, readable transcript, keyboard-operable controls, and clear microphone-permission messaging.</w:t>
      </w:r>
    </w:p>
    <w:p>
      <w:pPr>
        <w:pStyle w:val="Heading1"/>
      </w:pPr>
      <w:r>
        <w:t>12. Interview questions and sample answers</w:t>
      </w:r>
    </w:p>
    <w:p>
      <w:pPr>
        <w:spacing w:before="80"/>
      </w:pPr>
      <w:r>
        <w:rPr>
          <w:b/>
          <w:color w:val="0070C0"/>
        </w:rPr>
        <w:t>Q. Why did you choose React + FastAPI?</w:t>
      </w:r>
    </w:p>
    <w:p>
      <w:pPr>
        <w:spacing w:after="80"/>
        <w:ind w:left="288"/>
      </w:pPr>
      <w:r>
        <w:t>A. React is well suited to an interactive single-page voice interface, while FastAPI provides a lightweight Python API and integrates naturally with the Google GenAI SDK and Python business logic. Keeping the API key in the backend avoids exposing it in browser code.</w:t>
      </w:r>
    </w:p>
    <w:p>
      <w:pPr>
        <w:spacing w:before="80"/>
      </w:pPr>
      <w:r>
        <w:rPr>
          <w:b/>
          <w:color w:val="0070C0"/>
        </w:rPr>
        <w:t>Q. Explain the end-to-end voice pipeline.</w:t>
      </w:r>
    </w:p>
    <w:p>
      <w:pPr>
        <w:spacing w:after="80"/>
        <w:ind w:left="288"/>
      </w:pPr>
      <w:r>
        <w:t>A. The browser captures speech and SpeechRecognition transcribes it. React posts the recognized text and recent history to FastAPI. The backend applies the policy prompt, optionally retrieves order details, and calls Gemini. It returns text; React adds it to the transcript and SpeechSynthesis speaks it. At call end, the frontend sends the transcript to the summary endpoint.</w:t>
      </w:r>
    </w:p>
    <w:p>
      <w:pPr>
        <w:spacing w:before="80"/>
      </w:pPr>
      <w:r>
        <w:rPr>
          <w:b/>
          <w:color w:val="0070C0"/>
        </w:rPr>
        <w:t>Q. How does the agent decide to call get_order_details?</w:t>
      </w:r>
    </w:p>
    <w:p>
      <w:pPr>
        <w:spacing w:after="80"/>
        <w:ind w:left="288"/>
      </w:pPr>
      <w:r>
        <w:t>A. In the current MVP, deterministic Python logic first extracts an order ID using a regex and checks for order-related keywords. If both exist, the backend calls get_order_details and adds the result to the prompt. This is rule-based routing, not model-native function calling.</w:t>
      </w:r>
    </w:p>
    <w:p>
      <w:pPr>
        <w:spacing w:before="80"/>
      </w:pPr>
      <w:r>
        <w:rPr>
          <w:b/>
          <w:color w:val="0070C0"/>
        </w:rPr>
        <w:t>Q. How are hallucinations controlled?</w:t>
      </w:r>
    </w:p>
    <w:p>
      <w:pPr>
        <w:spacing w:after="80"/>
        <w:ind w:left="288"/>
      </w:pPr>
      <w:r>
        <w:t>A. The prompt lists the exact policies, limits the domain, tells the model not to invent data, and supplies authoritative order data from the backend. Unknown IDs are explicitly identified. For production, I would also enforce eligibility and permissions in code because prompts alone are not a security boundary.</w:t>
      </w:r>
    </w:p>
    <w:p>
      <w:pPr>
        <w:spacing w:before="80"/>
      </w:pPr>
      <w:r>
        <w:rPr>
          <w:b/>
          <w:color w:val="0070C0"/>
        </w:rPr>
        <w:t>Q. What happens for an invalid order ID?</w:t>
      </w:r>
    </w:p>
    <w:p>
      <w:pPr>
        <w:spacing w:after="80"/>
        <w:ind w:left="288"/>
      </w:pPr>
      <w:r>
        <w:t>A. The order function returns None. The backend adds a no-match instruction to the prompt and the agent should ask the customer to verify the ID rather than fabricate an order.</w:t>
      </w:r>
    </w:p>
    <w:p>
      <w:pPr>
        <w:spacing w:before="80"/>
      </w:pPr>
      <w:r>
        <w:rPr>
          <w:b/>
          <w:color w:val="0070C0"/>
        </w:rPr>
        <w:t>Q. How is the summary generated?</w:t>
      </w:r>
    </w:p>
    <w:p>
      <w:pPr>
        <w:spacing w:after="80"/>
        <w:ind w:left="288"/>
      </w:pPr>
      <w:r>
        <w:t>A. The frontend sends the transcript to /api/summary. The backend uses keyword rules to infer intent, extracts any order ID, checks the last assistant response for unresolved cues, and returns JSON fields such as customer_intent, order_id, resolution_status, call_summary, key_points, and tool_events. It is heuristic, not a separate LLM summary.</w:t>
      </w:r>
    </w:p>
    <w:p>
      <w:pPr>
        <w:spacing w:before="80"/>
      </w:pPr>
      <w:r>
        <w:rPr>
          <w:b/>
          <w:color w:val="0070C0"/>
        </w:rPr>
        <w:t>Q. Why did you use an in-memory dictionary?</w:t>
      </w:r>
    </w:p>
    <w:p>
      <w:pPr>
        <w:spacing w:after="80"/>
        <w:ind w:left="288"/>
      </w:pPr>
      <w:r>
        <w:t>A. The assignment supplies only three mock orders and prioritizes a working demo. A dictionary makes lookup simple and deterministic. A production implementation would replace it with a database or order-management API.</w:t>
      </w:r>
    </w:p>
    <w:p>
      <w:pPr>
        <w:spacing w:before="80"/>
      </w:pPr>
      <w:r>
        <w:rPr>
          <w:b/>
          <w:color w:val="0070C0"/>
        </w:rPr>
        <w:t>Q. What was your biggest debugging issue?</w:t>
      </w:r>
    </w:p>
    <w:p>
      <w:pPr>
        <w:spacing w:after="80"/>
        <w:ind w:left="288"/>
      </w:pPr>
      <w:r>
        <w:t>A. The chat endpoint returned 502 while other routes worked. The investigation found Python dependency/import issues around the Pydantic Core extension and malformed package metadata in the original virtual environment. I created a clean venv, verified pip check, confirmed google.genai imports, and ran a minimal Gemini request successfully.</w:t>
      </w:r>
    </w:p>
    <w:p>
      <w:pPr>
        <w:spacing w:before="80"/>
      </w:pPr>
      <w:r>
        <w:rPr>
          <w:b/>
          <w:color w:val="0070C0"/>
        </w:rPr>
        <w:t>Q. What are the limitations?</w:t>
      </w:r>
    </w:p>
    <w:p>
      <w:pPr>
        <w:spacing w:after="80"/>
        <w:ind w:left="288"/>
      </w:pPr>
      <w:r>
        <w:t>A. Browser speech support and voices vary; the pipeline is turn-based; order lookup uses regex/keywords; data is in memory; summaries are heuristic; and prompt instructions are not hard authorization controls. These are explicit MVP trade-offs.</w:t>
      </w:r>
    </w:p>
    <w:p>
      <w:pPr>
        <w:spacing w:before="80"/>
      </w:pPr>
      <w:r>
        <w:rPr>
          <w:b/>
          <w:color w:val="0070C0"/>
        </w:rPr>
        <w:t>Q. How would you scale it?</w:t>
      </w:r>
    </w:p>
    <w:p>
      <w:pPr>
        <w:spacing w:after="80"/>
        <w:ind w:left="288"/>
      </w:pPr>
      <w:r>
        <w:t>A. Persist data in a database, separate business rules into service modules, use authenticated order APIs, introduce structured function calling with server-side validation, use streaming speech for lower latency, add timeouts/retries/rate-limit handling, logging/metrics, tests, and deployment secrets.</w:t>
      </w:r>
    </w:p>
    <w:p>
      <w:pPr>
        <w:pStyle w:val="Heading1"/>
      </w:pPr>
      <w:r>
        <w:t>13. Useful commands for daily development</w:t>
      </w:r>
    </w:p>
    <w:p>
      <w:pPr>
        <w:spacing w:after="80"/>
        <w:ind w:left="259"/>
        <w:shd w:fill="F2F4F7"/>
      </w:pPr>
      <w:r>
        <w:rPr>
          <w:rFonts w:ascii="Menlo" w:hAnsi="Menlo"/>
          <w:sz w:val="16"/>
        </w:rPr>
        <w:t># Check active Python and pip</w:t>
        <w:br/>
        <w:t>which python</w:t>
        <w:br/>
        <w:t>python --version</w:t>
        <w:br/>
        <w:t>python -m pip --version</w:t>
        <w:br/>
        <w:br/>
        <w:t># Check installed packages / dependency consistency</w:t>
        <w:br/>
        <w:t>python -m pip list</w:t>
        <w:br/>
        <w:t>python -m pip check</w:t>
        <w:br/>
        <w:br/>
        <w:t># Test key imports</w:t>
        <w:br/>
        <w:t>python -c "from google import genai; print('Google GenAI OK')"</w:t>
        <w:br/>
        <w:t>python -c "from pydantic import BaseModel; from pydantic_core import ArgsKwargs; print('Pydantic OK')"</w:t>
        <w:br/>
        <w:br/>
        <w:t># Run backend (from backend/, .venv active)</w:t>
        <w:br/>
        <w:t>uvicorn app.main:app --reload --port 8000</w:t>
        <w:br/>
        <w:br/>
        <w:t># Run frontend (from frontend/, separate terminal)</w:t>
        <w:br/>
        <w:t>npm install</w:t>
        <w:br/>
        <w:t>npm run dev</w:t>
        <w:br/>
        <w:br/>
        <w:t># Production frontend build</w:t>
        <w:br/>
        <w:t>npm run build</w:t>
      </w:r>
    </w:p>
    <w:p>
      <w:pPr>
        <w:pStyle w:val="Heading1"/>
      </w:pPr>
      <w:r>
        <w:t>14. Final revision cheat sheet</w:t>
      </w:r>
    </w:p>
    <w:p>
      <w:pPr>
        <w:pStyle w:val="ListBullet"/>
        <w:spacing w:after="40"/>
      </w:pPr>
      <w:r>
        <w:t>Project: Aria — browser-based AI customer support agent for Aura Skincare.</w:t>
      </w:r>
    </w:p>
    <w:p>
      <w:pPr>
        <w:pStyle w:val="ListBullet"/>
        <w:spacing w:after="40"/>
      </w:pPr>
      <w:r>
        <w:t>Frontend: React + Vite + Web Speech API STT/TTS.</w:t>
      </w:r>
    </w:p>
    <w:p>
      <w:pPr>
        <w:pStyle w:val="ListBullet"/>
        <w:spacing w:after="40"/>
      </w:pPr>
      <w:r>
        <w:t>Backend: Python + FastAPI + Pydantic + Google GenAI SDK.</w:t>
      </w:r>
    </w:p>
    <w:p>
      <w:pPr>
        <w:pStyle w:val="ListBullet"/>
        <w:spacing w:after="40"/>
      </w:pPr>
      <w:r>
        <w:t>Data: three hard-coded mock orders in an in-memory dictionary.</w:t>
      </w:r>
    </w:p>
    <w:p>
      <w:pPr>
        <w:pStyle w:val="ListBullet"/>
        <w:spacing w:after="40"/>
      </w:pPr>
      <w:r>
        <w:t>Main routes: GET /api/health, GET /api/orders, POST /api/chat, POST /api/summary.</w:t>
      </w:r>
    </w:p>
    <w:p>
      <w:pPr>
        <w:pStyle w:val="ListBullet"/>
        <w:spacing w:after="40"/>
      </w:pPr>
      <w:r>
        <w:t>Order tool: get_order_details(order_id); deterministic routing via regex + keywords.</w:t>
      </w:r>
    </w:p>
    <w:p>
      <w:pPr>
        <w:pStyle w:val="ListBullet"/>
        <w:spacing w:after="40"/>
      </w:pPr>
      <w:r>
        <w:t>Guardrails: system/policy prompt plus authoritative order result; real enforcement should be in code.</w:t>
      </w:r>
    </w:p>
    <w:p>
      <w:pPr>
        <w:pStyle w:val="ListBullet"/>
        <w:spacing w:after="40"/>
      </w:pPr>
      <w:r>
        <w:t>Summary: rule-based classification and transcript-derived key points.</w:t>
      </w:r>
    </w:p>
    <w:p>
      <w:pPr>
        <w:pStyle w:val="ListBullet"/>
        <w:spacing w:after="40"/>
      </w:pPr>
      <w:r>
        <w:t>Main debug lesson: isolate import/environment failures with a clean venv, pip check, import tests, and a minimal provider call.</w:t>
      </w:r>
    </w:p>
    <w:p>
      <w:pPr>
        <w:pStyle w:val="ListBullet"/>
        <w:spacing w:after="40"/>
      </w:pPr>
      <w:r>
        <w:t>Current confirmed milestone: Google GenAI imports and a standalone Gemini request returned 'Gemini connection OK'. This does not by itself prove the full frontend-to-backend chat route works; retest the app route separately.</w:t>
      </w:r>
    </w:p>
    <w:p>
      <w:pPr>
        <w:pStyle w:val="ListBullet"/>
        <w:spacing w:after="40"/>
      </w:pPr>
      <w:r>
        <w:t>Next quality milestones: test all edge cases, pin tested dependencies, add automated tests, deploy securely, record a demo, and document limitations.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DataStraw • Aura Skincare AI Voice Agent • Interview Revision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