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CEA48" w14:textId="7AAFFECC" w:rsidR="003E2A59" w:rsidRDefault="00370B1C" w:rsidP="00ED2BCC">
      <w:pPr>
        <w:pStyle w:val="Title"/>
      </w:pPr>
      <w:r>
        <w:t>Task 3 Description</w:t>
      </w:r>
    </w:p>
    <w:p w14:paraId="0F736399" w14:textId="5863C124" w:rsidR="00370B1C" w:rsidRDefault="00370B1C" w:rsidP="00ED2BCC">
      <w:pPr>
        <w:pStyle w:val="Heading1"/>
      </w:pPr>
      <w:r>
        <w:t>Introduction</w:t>
      </w:r>
    </w:p>
    <w:p w14:paraId="1578F24B" w14:textId="1CEBE215" w:rsidR="00370B1C" w:rsidRDefault="00370B1C" w:rsidP="00A94D1B">
      <w:pPr>
        <w:jc w:val="both"/>
      </w:pPr>
      <w:r>
        <w:t xml:space="preserve">When we deal with real life biological data, there is always inherent noise. This noise might have multiple different origins, including, instrument errors, measurement errors or simple unaccounted environmental factors like light or wind. However, we assume that the effect of these factors is small enough to still extract meaningful data from these experiments. One way to do so is regression which involves minimizing the error from the trend line globally. Smoothing is an advanced form of such a regression in which the effect is considered only locally instead of globally to get rid of extremely local noise while keeping the effect of sub-local variation preserved. </w:t>
      </w:r>
      <w:r w:rsidRPr="00370B1C">
        <w:t>While global regression minimizes total error across all points</w:t>
      </w:r>
      <w:r>
        <w:t xml:space="preserve">, </w:t>
      </w:r>
      <w:r w:rsidRPr="00370B1C">
        <w:t>often over-smoothing biologically relevant transients</w:t>
      </w:r>
      <w:r>
        <w:t xml:space="preserve">, </w:t>
      </w:r>
      <w:r w:rsidRPr="00370B1C">
        <w:t xml:space="preserve">local polynomial smoothing employs k-nearest </w:t>
      </w:r>
      <w:r w:rsidRPr="00370B1C">
        <w:t>neighbour</w:t>
      </w:r>
      <w:r w:rsidRPr="00370B1C">
        <w:t xml:space="preserve"> weighted regression to suppress high-frequency noise while preserving sub-local dynamics.</w:t>
      </w:r>
      <w:r>
        <w:t xml:space="preserve"> This case study attempts to study this smoothing technique. After achieving a smooth curve, we use the technique of numerical differentiation to find the </w:t>
      </w:r>
      <w:r w:rsidR="00ED2BCC">
        <w:t xml:space="preserve">growth rate. </w:t>
      </w:r>
    </w:p>
    <w:p w14:paraId="45FCC31D" w14:textId="5962442E" w:rsidR="00ED2BCC" w:rsidRDefault="00ED2BCC" w:rsidP="00ED2BCC">
      <w:pPr>
        <w:pStyle w:val="Heading1"/>
      </w:pPr>
      <w:r>
        <w:t>3.1: Smoothing Analysis</w:t>
      </w:r>
    </w:p>
    <w:p w14:paraId="398EACA8" w14:textId="402B56FE" w:rsidR="00B14BC9" w:rsidRPr="00B14BC9" w:rsidRDefault="00B14BC9" w:rsidP="00B14BC9">
      <w:pPr>
        <w:pStyle w:val="Heading2"/>
      </w:pPr>
      <w:r>
        <w:t>3.1.1: Method</w:t>
      </w:r>
    </w:p>
    <w:p w14:paraId="751F8343" w14:textId="77777777" w:rsidR="00ED2BCC" w:rsidRDefault="00ED2BCC" w:rsidP="00A94D1B">
      <w:pPr>
        <w:jc w:val="both"/>
      </w:pPr>
      <w:r>
        <w:t xml:space="preserve">In this case study, two different parameters were studied, the span and the order of polynomial used. The code for this section contains two function files and a main file: “local_smoothing.m”, “local_smoothing_linear.m” and “main.m”. The function files take dependent variable, independent variable and the span as input while returning the output as a vector of the smoothed data. The weights used are tri-cubic and other options are selected as mentioned in the task file. </w:t>
      </w:r>
    </w:p>
    <w:p w14:paraId="4CD044AF" w14:textId="77777777" w:rsidR="00ED2BCC" w:rsidRDefault="00ED2BCC" w:rsidP="00A94D1B">
      <w:pPr>
        <w:jc w:val="both"/>
      </w:pPr>
      <w:r>
        <w:t xml:space="preserve">The spans selected are 5, 9, 13, 17, 21 and 25. This range is chosen considering the following factors: </w:t>
      </w:r>
    </w:p>
    <w:p w14:paraId="6388B949" w14:textId="770545E6" w:rsidR="00ED2BCC" w:rsidRDefault="00ED2BCC" w:rsidP="00ED2BCC">
      <w:pPr>
        <w:pStyle w:val="ListParagraph"/>
        <w:numPr>
          <w:ilvl w:val="0"/>
          <w:numId w:val="1"/>
        </w:numPr>
      </w:pPr>
      <w:r>
        <w:t xml:space="preserve">The span needs to be an odd number to consider a symmetric </w:t>
      </w:r>
      <w:r w:rsidR="00A94D1B">
        <w:t>neighbourhood</w:t>
      </w:r>
    </w:p>
    <w:p w14:paraId="2A8E1EB2" w14:textId="70E45F45" w:rsidR="00370B1C" w:rsidRDefault="00A94D1B" w:rsidP="00ED2BCC">
      <w:pPr>
        <w:pStyle w:val="ListParagraph"/>
        <w:numPr>
          <w:ilvl w:val="0"/>
          <w:numId w:val="1"/>
        </w:numPr>
      </w:pPr>
      <w:r>
        <w:t>Span of 3 will not work for the quadratic function since it would be over specification</w:t>
      </w:r>
    </w:p>
    <w:p w14:paraId="07BF5CE3" w14:textId="7A3CF47F" w:rsidR="00A94D1B" w:rsidRDefault="00A94D1B" w:rsidP="00ED2BCC">
      <w:pPr>
        <w:pStyle w:val="ListParagraph"/>
        <w:numPr>
          <w:ilvl w:val="0"/>
          <w:numId w:val="1"/>
        </w:numPr>
      </w:pPr>
      <w:r>
        <w:t>Span more than 25 was clearly over smoothing</w:t>
      </w:r>
      <w:r w:rsidR="00E14BF0">
        <w:t xml:space="preserve"> since the span data had reached 50% limit. </w:t>
      </w:r>
    </w:p>
    <w:p w14:paraId="6B0CA2F0" w14:textId="05299964" w:rsidR="00B14BC9" w:rsidRDefault="00A94D1B" w:rsidP="00A94D1B">
      <w:r>
        <w:t xml:space="preserve">We run the smoothing and do a subplot for each of the span values both for linear and quadratic fits. </w:t>
      </w:r>
      <w:r w:rsidR="00B14BC9">
        <w:t xml:space="preserve">The plots are visible below as figures 1 and 2. </w:t>
      </w:r>
    </w:p>
    <w:p w14:paraId="711B6230" w14:textId="77777777" w:rsidR="00A94D1B" w:rsidRDefault="00A94D1B" w:rsidP="00A94D1B">
      <w:pPr>
        <w:sectPr w:rsidR="00A94D1B">
          <w:pgSz w:w="11906" w:h="16838"/>
          <w:pgMar w:top="1440" w:right="1440" w:bottom="1440" w:left="1440" w:header="708" w:footer="708" w:gutter="0"/>
          <w:cols w:space="708"/>
          <w:docGrid w:linePitch="360"/>
        </w:sectPr>
      </w:pPr>
    </w:p>
    <w:p w14:paraId="606C546B" w14:textId="10C1309D" w:rsidR="00A94D1B" w:rsidRDefault="00A94D1B" w:rsidP="00A94D1B">
      <w:r>
        <w:rPr>
          <w:noProof/>
        </w:rPr>
        <w:lastRenderedPageBreak/>
        <w:drawing>
          <wp:inline distT="0" distB="0" distL="0" distR="0" wp14:anchorId="5E72A424" wp14:editId="3C842E29">
            <wp:extent cx="8863330" cy="5052695"/>
            <wp:effectExtent l="19050" t="19050" r="13970" b="14605"/>
            <wp:docPr id="839952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52014" name="Picture 8399520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63330" cy="5052695"/>
                    </a:xfrm>
                    <a:prstGeom prst="rect">
                      <a:avLst/>
                    </a:prstGeom>
                    <a:ln>
                      <a:solidFill>
                        <a:schemeClr val="tx1"/>
                      </a:solidFill>
                    </a:ln>
                  </pic:spPr>
                </pic:pic>
              </a:graphicData>
            </a:graphic>
          </wp:inline>
        </w:drawing>
      </w:r>
    </w:p>
    <w:p w14:paraId="45DB736E" w14:textId="77777777" w:rsidR="00A94D1B" w:rsidRDefault="00A94D1B" w:rsidP="00A94D1B">
      <w:pPr>
        <w:jc w:val="center"/>
      </w:pPr>
    </w:p>
    <w:p w14:paraId="20D1CD3D" w14:textId="0EE82A71" w:rsidR="00A94D1B" w:rsidRDefault="00A94D1B" w:rsidP="00A94D1B">
      <w:pPr>
        <w:jc w:val="center"/>
        <w:rPr>
          <w:b/>
          <w:bCs/>
        </w:rPr>
      </w:pPr>
      <w:r w:rsidRPr="00A94D1B">
        <w:rPr>
          <w:b/>
          <w:bCs/>
          <w:i/>
          <w:iCs/>
        </w:rPr>
        <w:t>Figure 1: Quadratic Smoothing</w:t>
      </w:r>
      <w:r>
        <w:rPr>
          <w:b/>
          <w:bCs/>
          <w:i/>
          <w:iCs/>
        </w:rPr>
        <w:t xml:space="preserve"> </w:t>
      </w:r>
    </w:p>
    <w:p w14:paraId="4B58CAEE" w14:textId="1DE64A17" w:rsidR="00A94D1B" w:rsidRPr="00A94D1B" w:rsidRDefault="00A94D1B" w:rsidP="00A94D1B">
      <w:pPr>
        <w:jc w:val="center"/>
        <w:rPr>
          <w:b/>
          <w:bCs/>
        </w:rPr>
      </w:pPr>
      <w:r>
        <w:rPr>
          <w:b/>
          <w:bCs/>
          <w:noProof/>
        </w:rPr>
        <w:lastRenderedPageBreak/>
        <w:drawing>
          <wp:inline distT="0" distB="0" distL="0" distR="0" wp14:anchorId="26B525A8" wp14:editId="15D58CB8">
            <wp:extent cx="8863330" cy="5052695"/>
            <wp:effectExtent l="19050" t="19050" r="13970" b="14605"/>
            <wp:docPr id="1560500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00122" name="Picture 15605001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8863330" cy="5052695"/>
                    </a:xfrm>
                    <a:prstGeom prst="rect">
                      <a:avLst/>
                    </a:prstGeom>
                    <a:ln>
                      <a:solidFill>
                        <a:schemeClr val="tx1"/>
                      </a:solidFill>
                    </a:ln>
                  </pic:spPr>
                </pic:pic>
              </a:graphicData>
            </a:graphic>
          </wp:inline>
        </w:drawing>
      </w:r>
    </w:p>
    <w:p w14:paraId="617B25F2" w14:textId="7547E12F" w:rsidR="00370B1C" w:rsidRPr="00370B1C" w:rsidRDefault="00370B1C" w:rsidP="00ED2BCC">
      <w:r>
        <w:t xml:space="preserve">  </w:t>
      </w:r>
    </w:p>
    <w:p w14:paraId="657F9D22" w14:textId="77777777" w:rsidR="00A94D1B" w:rsidRDefault="00A94D1B" w:rsidP="00A94D1B">
      <w:pPr>
        <w:jc w:val="center"/>
        <w:rPr>
          <w:b/>
          <w:bCs/>
          <w:i/>
          <w:iCs/>
        </w:rPr>
        <w:sectPr w:rsidR="00A94D1B" w:rsidSect="00A94D1B">
          <w:pgSz w:w="16838" w:h="11906" w:orient="landscape"/>
          <w:pgMar w:top="1440" w:right="1440" w:bottom="1440" w:left="1440" w:header="708" w:footer="708" w:gutter="0"/>
          <w:cols w:space="708"/>
          <w:docGrid w:linePitch="360"/>
        </w:sectPr>
      </w:pPr>
      <w:r w:rsidRPr="00A94D1B">
        <w:rPr>
          <w:b/>
          <w:bCs/>
          <w:i/>
          <w:iCs/>
        </w:rPr>
        <w:t xml:space="preserve">Figure </w:t>
      </w:r>
      <w:r>
        <w:rPr>
          <w:b/>
          <w:bCs/>
          <w:i/>
          <w:iCs/>
        </w:rPr>
        <w:t>2</w:t>
      </w:r>
      <w:r w:rsidRPr="00A94D1B">
        <w:rPr>
          <w:b/>
          <w:bCs/>
          <w:i/>
          <w:iCs/>
        </w:rPr>
        <w:t xml:space="preserve">: </w:t>
      </w:r>
      <w:r>
        <w:rPr>
          <w:b/>
          <w:bCs/>
          <w:i/>
          <w:iCs/>
        </w:rPr>
        <w:t>Linear</w:t>
      </w:r>
      <w:r w:rsidRPr="00A94D1B">
        <w:rPr>
          <w:b/>
          <w:bCs/>
          <w:i/>
          <w:iCs/>
        </w:rPr>
        <w:t xml:space="preserve"> Smoothing</w:t>
      </w:r>
      <w:r>
        <w:rPr>
          <w:b/>
          <w:bCs/>
          <w:i/>
          <w:iCs/>
        </w:rPr>
        <w:t xml:space="preserve"> </w:t>
      </w:r>
    </w:p>
    <w:p w14:paraId="78AA7D56" w14:textId="30A0B2FF" w:rsidR="00B14BC9" w:rsidRDefault="00B14BC9" w:rsidP="00B14BC9">
      <w:pPr>
        <w:pStyle w:val="Heading2"/>
      </w:pPr>
      <w:r>
        <w:lastRenderedPageBreak/>
        <w:t xml:space="preserve">3.1.2: </w:t>
      </w:r>
      <w:r w:rsidR="004F5BF2">
        <w:t>Comparison</w:t>
      </w:r>
    </w:p>
    <w:p w14:paraId="667CB3F3" w14:textId="39606F21" w:rsidR="00A94D1B" w:rsidRDefault="00B14BC9" w:rsidP="00B14BC9">
      <w:pPr>
        <w:jc w:val="both"/>
      </w:pPr>
      <w:r>
        <w:t xml:space="preserve">Let’s compare these 6*2 = 12 cases mathematically and visually. The metrics used are Root mean squared error and curvature. Root mean square error measures how far the smoothed values are from the real values. We want to avoid very high RMSE values since that would mean that our smoothed values are hypothetical and have no physical roots. We also consider mean of absolute curvature values. When the smoothed data is close to the ideal </w:t>
      </w:r>
      <w:r w:rsidR="00B205A0">
        <w:t xml:space="preserve">exponential growth and the noise is removed, the local curls are deleted, leading to a lower mean absolute curvature. Thus, our target should be to reduce the curvature without increasing the RMSE to a very high value. </w:t>
      </w:r>
    </w:p>
    <w:p w14:paraId="21D49AB1" w14:textId="0375EDA5" w:rsidR="00B205A0" w:rsidRDefault="00B205A0" w:rsidP="00B14BC9">
      <w:pPr>
        <w:jc w:val="both"/>
      </w:pPr>
      <w:r>
        <w:t xml:space="preserve">We can fit an approximate curvature target by double differentiating the ideal growth curve: </w:t>
      </w:r>
    </w:p>
    <w:p w14:paraId="1E73DF91" w14:textId="45E440E0" w:rsidR="00B205A0" w:rsidRPr="00B205A0" w:rsidRDefault="00B205A0" w:rsidP="00B14BC9">
      <w:pPr>
        <w:jc w:val="both"/>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xml:space="preserve">= </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X</m:t>
          </m:r>
        </m:oMath>
      </m:oMathPara>
    </w:p>
    <w:p w14:paraId="5167D700" w14:textId="27524C54" w:rsidR="00B205A0" w:rsidRDefault="00B205A0" w:rsidP="00B14BC9">
      <w:pPr>
        <w:jc w:val="both"/>
        <w:rPr>
          <w:rFonts w:eastAsiaTheme="minorEastAsia"/>
        </w:rPr>
      </w:pPr>
      <w:r>
        <w:rPr>
          <w:rFonts w:eastAsiaTheme="minorEastAsia"/>
        </w:rPr>
        <w:t xml:space="preserve">We can either pick the </w:t>
      </w:r>
      <m:oMath>
        <m:r>
          <w:rPr>
            <w:rFonts w:ascii="Cambria Math" w:hAnsi="Cambria Math"/>
          </w:rPr>
          <m:t>μ</m:t>
        </m:r>
      </m:oMath>
      <w:r>
        <w:rPr>
          <w:rFonts w:eastAsiaTheme="minorEastAsia"/>
        </w:rPr>
        <w:t xml:space="preserve"> from the previous task or pick it regressively and select an average X from the logarithmic range. This gives the ideal curvature to be around 0.35*0.35*0.55 = 0.067 g/h</w:t>
      </w:r>
      <w:r w:rsidRPr="00B205A0">
        <w:rPr>
          <w:rFonts w:eastAsiaTheme="minorEastAsia"/>
          <w:vertAlign w:val="superscript"/>
        </w:rPr>
        <w:t>2</w:t>
      </w:r>
      <w:r>
        <w:rPr>
          <w:rFonts w:eastAsiaTheme="minorEastAsia"/>
        </w:rPr>
        <w:t xml:space="preserve">. To allow a range, let’s allow 0.067 </w:t>
      </w:r>
      <w:r>
        <w:rPr>
          <w:rFonts w:eastAsiaTheme="minorEastAsia"/>
        </w:rPr>
        <w:t>g/h</w:t>
      </w:r>
      <w:r w:rsidRPr="00B205A0">
        <w:rPr>
          <w:rFonts w:eastAsiaTheme="minorEastAsia"/>
          <w:vertAlign w:val="superscript"/>
        </w:rPr>
        <w:t>2</w:t>
      </w:r>
      <w:r>
        <w:rPr>
          <w:rFonts w:eastAsiaTheme="minorEastAsia"/>
          <w:vertAlign w:val="superscript"/>
        </w:rPr>
        <w:t xml:space="preserve"> </w:t>
      </w:r>
      <w:r>
        <w:rPr>
          <w:rFonts w:eastAsiaTheme="minorEastAsia"/>
        </w:rPr>
        <w:t xml:space="preserve">± 20%. </w:t>
      </w:r>
      <w:r w:rsidR="004F5BF2">
        <w:rPr>
          <w:rFonts w:eastAsiaTheme="minorEastAsia"/>
        </w:rPr>
        <w:t xml:space="preserve">Note that the curvature of the raw data is 1.4761 g/h2. </w:t>
      </w:r>
    </w:p>
    <w:tbl>
      <w:tblPr>
        <w:tblStyle w:val="TableGrid"/>
        <w:tblW w:w="0" w:type="auto"/>
        <w:tblLook w:val="04A0" w:firstRow="1" w:lastRow="0" w:firstColumn="1" w:lastColumn="0" w:noHBand="0" w:noVBand="1"/>
      </w:tblPr>
      <w:tblGrid>
        <w:gridCol w:w="1803"/>
        <w:gridCol w:w="1803"/>
        <w:gridCol w:w="1803"/>
        <w:gridCol w:w="1803"/>
        <w:gridCol w:w="1804"/>
      </w:tblGrid>
      <w:tr w:rsidR="004F5BF2" w14:paraId="5425BCAF" w14:textId="77777777" w:rsidTr="004F5BF2">
        <w:tc>
          <w:tcPr>
            <w:tcW w:w="1803" w:type="dxa"/>
            <w:vMerge w:val="restart"/>
            <w:vAlign w:val="center"/>
          </w:tcPr>
          <w:p w14:paraId="31461442" w14:textId="117E9B75" w:rsidR="004F5BF2" w:rsidRPr="00376F71" w:rsidRDefault="004F5BF2" w:rsidP="004F5BF2">
            <w:pPr>
              <w:jc w:val="center"/>
              <w:rPr>
                <w:rFonts w:eastAsiaTheme="minorEastAsia"/>
                <w:b/>
                <w:bCs/>
              </w:rPr>
            </w:pPr>
            <w:r w:rsidRPr="00376F71">
              <w:rPr>
                <w:rFonts w:eastAsiaTheme="minorEastAsia"/>
                <w:b/>
                <w:bCs/>
              </w:rPr>
              <w:t>K</w:t>
            </w:r>
          </w:p>
        </w:tc>
        <w:tc>
          <w:tcPr>
            <w:tcW w:w="3606" w:type="dxa"/>
            <w:gridSpan w:val="2"/>
            <w:vAlign w:val="center"/>
          </w:tcPr>
          <w:p w14:paraId="2B12C2ED" w14:textId="7F1B5AE5" w:rsidR="004F5BF2" w:rsidRPr="00376F71" w:rsidRDefault="004F5BF2" w:rsidP="004F5BF2">
            <w:pPr>
              <w:jc w:val="center"/>
              <w:rPr>
                <w:rFonts w:eastAsiaTheme="minorEastAsia"/>
                <w:b/>
                <w:bCs/>
              </w:rPr>
            </w:pPr>
            <w:r w:rsidRPr="00376F71">
              <w:rPr>
                <w:rFonts w:eastAsiaTheme="minorEastAsia"/>
                <w:b/>
                <w:bCs/>
              </w:rPr>
              <w:t>Quadratic</w:t>
            </w:r>
          </w:p>
        </w:tc>
        <w:tc>
          <w:tcPr>
            <w:tcW w:w="3607" w:type="dxa"/>
            <w:gridSpan w:val="2"/>
            <w:vAlign w:val="center"/>
          </w:tcPr>
          <w:p w14:paraId="1211E909" w14:textId="18D5C369" w:rsidR="004F5BF2" w:rsidRPr="00376F71" w:rsidRDefault="004F5BF2" w:rsidP="004F5BF2">
            <w:pPr>
              <w:jc w:val="center"/>
              <w:rPr>
                <w:rFonts w:eastAsiaTheme="minorEastAsia"/>
                <w:b/>
                <w:bCs/>
              </w:rPr>
            </w:pPr>
            <w:r w:rsidRPr="00376F71">
              <w:rPr>
                <w:rFonts w:eastAsiaTheme="minorEastAsia"/>
                <w:b/>
                <w:bCs/>
              </w:rPr>
              <w:t>Linear</w:t>
            </w:r>
          </w:p>
        </w:tc>
      </w:tr>
      <w:tr w:rsidR="004F5BF2" w14:paraId="1E89FE3B" w14:textId="77777777" w:rsidTr="004F5BF2">
        <w:tc>
          <w:tcPr>
            <w:tcW w:w="1803" w:type="dxa"/>
            <w:vMerge/>
            <w:vAlign w:val="center"/>
          </w:tcPr>
          <w:p w14:paraId="46C46B2D" w14:textId="77777777" w:rsidR="004F5BF2" w:rsidRPr="00376F71" w:rsidRDefault="004F5BF2" w:rsidP="004F5BF2">
            <w:pPr>
              <w:jc w:val="center"/>
              <w:rPr>
                <w:rFonts w:eastAsiaTheme="minorEastAsia"/>
                <w:b/>
                <w:bCs/>
              </w:rPr>
            </w:pPr>
          </w:p>
        </w:tc>
        <w:tc>
          <w:tcPr>
            <w:tcW w:w="1803" w:type="dxa"/>
            <w:vAlign w:val="center"/>
          </w:tcPr>
          <w:p w14:paraId="785082DF" w14:textId="291CC490" w:rsidR="004F5BF2" w:rsidRPr="00376F71" w:rsidRDefault="004F5BF2" w:rsidP="004F5BF2">
            <w:pPr>
              <w:jc w:val="center"/>
              <w:rPr>
                <w:rFonts w:eastAsiaTheme="minorEastAsia"/>
                <w:b/>
                <w:bCs/>
              </w:rPr>
            </w:pPr>
            <w:r w:rsidRPr="00376F71">
              <w:rPr>
                <w:rFonts w:eastAsiaTheme="minorEastAsia"/>
                <w:b/>
                <w:bCs/>
              </w:rPr>
              <w:t>RMSE</w:t>
            </w:r>
          </w:p>
        </w:tc>
        <w:tc>
          <w:tcPr>
            <w:tcW w:w="1803" w:type="dxa"/>
            <w:vAlign w:val="center"/>
          </w:tcPr>
          <w:p w14:paraId="43B9A9EF" w14:textId="05A7D61F" w:rsidR="004F5BF2" w:rsidRPr="00376F71" w:rsidRDefault="004F5BF2" w:rsidP="004F5BF2">
            <w:pPr>
              <w:jc w:val="center"/>
              <w:rPr>
                <w:rFonts w:eastAsiaTheme="minorEastAsia"/>
                <w:b/>
                <w:bCs/>
              </w:rPr>
            </w:pPr>
            <w:r w:rsidRPr="00376F71">
              <w:rPr>
                <w:rFonts w:eastAsiaTheme="minorEastAsia"/>
                <w:b/>
                <w:bCs/>
              </w:rPr>
              <w:t>Circularity</w:t>
            </w:r>
          </w:p>
        </w:tc>
        <w:tc>
          <w:tcPr>
            <w:tcW w:w="1803" w:type="dxa"/>
            <w:vAlign w:val="center"/>
          </w:tcPr>
          <w:p w14:paraId="44B918A8" w14:textId="68EBDD4A" w:rsidR="004F5BF2" w:rsidRPr="00376F71" w:rsidRDefault="004F5BF2" w:rsidP="004F5BF2">
            <w:pPr>
              <w:jc w:val="center"/>
              <w:rPr>
                <w:rFonts w:eastAsiaTheme="minorEastAsia"/>
                <w:b/>
                <w:bCs/>
              </w:rPr>
            </w:pPr>
            <w:r w:rsidRPr="00376F71">
              <w:rPr>
                <w:rFonts w:eastAsiaTheme="minorEastAsia"/>
                <w:b/>
                <w:bCs/>
              </w:rPr>
              <w:t>RMSE</w:t>
            </w:r>
          </w:p>
        </w:tc>
        <w:tc>
          <w:tcPr>
            <w:tcW w:w="1804" w:type="dxa"/>
            <w:vAlign w:val="center"/>
          </w:tcPr>
          <w:p w14:paraId="0BF3AEEA" w14:textId="66962700" w:rsidR="004F5BF2" w:rsidRPr="00376F71" w:rsidRDefault="004F5BF2" w:rsidP="004F5BF2">
            <w:pPr>
              <w:jc w:val="center"/>
              <w:rPr>
                <w:rFonts w:eastAsiaTheme="minorEastAsia"/>
                <w:b/>
                <w:bCs/>
              </w:rPr>
            </w:pPr>
            <w:r w:rsidRPr="00376F71">
              <w:rPr>
                <w:rFonts w:eastAsiaTheme="minorEastAsia"/>
                <w:b/>
                <w:bCs/>
              </w:rPr>
              <w:t>Circularity</w:t>
            </w:r>
          </w:p>
        </w:tc>
      </w:tr>
      <w:tr w:rsidR="004F5BF2" w14:paraId="3F4AC614" w14:textId="77777777" w:rsidTr="004F5BF2">
        <w:tc>
          <w:tcPr>
            <w:tcW w:w="1803" w:type="dxa"/>
            <w:vAlign w:val="center"/>
          </w:tcPr>
          <w:p w14:paraId="2EEAF241" w14:textId="29631DCB" w:rsidR="004F5BF2" w:rsidRDefault="004F5BF2" w:rsidP="004F5BF2">
            <w:pPr>
              <w:jc w:val="center"/>
              <w:rPr>
                <w:rFonts w:eastAsiaTheme="minorEastAsia"/>
              </w:rPr>
            </w:pPr>
            <w:r>
              <w:rPr>
                <w:rFonts w:eastAsiaTheme="minorEastAsia"/>
              </w:rPr>
              <w:t>5</w:t>
            </w:r>
          </w:p>
        </w:tc>
        <w:tc>
          <w:tcPr>
            <w:tcW w:w="1803" w:type="dxa"/>
            <w:vAlign w:val="center"/>
          </w:tcPr>
          <w:p w14:paraId="065C72C5" w14:textId="13097228" w:rsidR="004F5BF2" w:rsidRDefault="004F5BF2" w:rsidP="004F5BF2">
            <w:pPr>
              <w:jc w:val="center"/>
              <w:rPr>
                <w:rFonts w:eastAsiaTheme="minorEastAsia"/>
              </w:rPr>
            </w:pPr>
            <w:r>
              <w:rPr>
                <w:rFonts w:eastAsiaTheme="minorEastAsia"/>
              </w:rPr>
              <w:t>0.0308</w:t>
            </w:r>
          </w:p>
        </w:tc>
        <w:tc>
          <w:tcPr>
            <w:tcW w:w="1803" w:type="dxa"/>
            <w:vAlign w:val="center"/>
          </w:tcPr>
          <w:p w14:paraId="23ABAA2A" w14:textId="35A300E9" w:rsidR="004F5BF2" w:rsidRDefault="004F5BF2" w:rsidP="004F5BF2">
            <w:pPr>
              <w:jc w:val="center"/>
              <w:rPr>
                <w:rFonts w:eastAsiaTheme="minorEastAsia"/>
              </w:rPr>
            </w:pPr>
            <w:r w:rsidRPr="004F5BF2">
              <w:rPr>
                <w:rFonts w:eastAsiaTheme="minorEastAsia"/>
              </w:rPr>
              <w:t>1.2476</w:t>
            </w:r>
          </w:p>
        </w:tc>
        <w:tc>
          <w:tcPr>
            <w:tcW w:w="1803" w:type="dxa"/>
            <w:vAlign w:val="center"/>
          </w:tcPr>
          <w:p w14:paraId="0BABC263" w14:textId="1D2A168B" w:rsidR="004F5BF2" w:rsidRDefault="004F5BF2" w:rsidP="004F5BF2">
            <w:pPr>
              <w:jc w:val="center"/>
              <w:rPr>
                <w:rFonts w:eastAsiaTheme="minorEastAsia"/>
              </w:rPr>
            </w:pPr>
            <w:r>
              <w:rPr>
                <w:rFonts w:eastAsiaTheme="minorEastAsia"/>
              </w:rPr>
              <w:t>0.1689</w:t>
            </w:r>
          </w:p>
        </w:tc>
        <w:tc>
          <w:tcPr>
            <w:tcW w:w="1804" w:type="dxa"/>
            <w:vAlign w:val="center"/>
          </w:tcPr>
          <w:p w14:paraId="574CFB1F" w14:textId="5518B0CF" w:rsidR="004F5BF2" w:rsidRDefault="004F5BF2" w:rsidP="004F5BF2">
            <w:pPr>
              <w:jc w:val="center"/>
              <w:rPr>
                <w:rFonts w:eastAsiaTheme="minorEastAsia"/>
              </w:rPr>
            </w:pPr>
            <w:r w:rsidRPr="004F5BF2">
              <w:rPr>
                <w:rFonts w:eastAsiaTheme="minorEastAsia"/>
              </w:rPr>
              <w:t>0.5638</w:t>
            </w:r>
          </w:p>
        </w:tc>
      </w:tr>
      <w:tr w:rsidR="004F5BF2" w14:paraId="0D055A37" w14:textId="77777777" w:rsidTr="004F5BF2">
        <w:tc>
          <w:tcPr>
            <w:tcW w:w="1803" w:type="dxa"/>
            <w:vAlign w:val="center"/>
          </w:tcPr>
          <w:p w14:paraId="329DC3BC" w14:textId="5A7AB2B6" w:rsidR="004F5BF2" w:rsidRDefault="004F5BF2" w:rsidP="004F5BF2">
            <w:pPr>
              <w:jc w:val="center"/>
              <w:rPr>
                <w:rFonts w:eastAsiaTheme="minorEastAsia"/>
              </w:rPr>
            </w:pPr>
            <w:r>
              <w:rPr>
                <w:rFonts w:eastAsiaTheme="minorEastAsia"/>
              </w:rPr>
              <w:t>9</w:t>
            </w:r>
          </w:p>
        </w:tc>
        <w:tc>
          <w:tcPr>
            <w:tcW w:w="1803" w:type="dxa"/>
            <w:vAlign w:val="center"/>
          </w:tcPr>
          <w:p w14:paraId="696ACE4C" w14:textId="5AF697E0" w:rsidR="004F5BF2" w:rsidRDefault="004F5BF2" w:rsidP="004F5BF2">
            <w:pPr>
              <w:jc w:val="center"/>
              <w:rPr>
                <w:rFonts w:eastAsiaTheme="minorEastAsia"/>
              </w:rPr>
            </w:pPr>
            <w:r w:rsidRPr="004F5BF2">
              <w:rPr>
                <w:rFonts w:eastAsiaTheme="minorEastAsia"/>
              </w:rPr>
              <w:t>0.1775</w:t>
            </w:r>
          </w:p>
        </w:tc>
        <w:tc>
          <w:tcPr>
            <w:tcW w:w="1803" w:type="dxa"/>
            <w:vAlign w:val="center"/>
          </w:tcPr>
          <w:p w14:paraId="417932FE" w14:textId="164CC53E" w:rsidR="004F5BF2" w:rsidRDefault="004F5BF2" w:rsidP="004F5BF2">
            <w:pPr>
              <w:jc w:val="center"/>
              <w:rPr>
                <w:rFonts w:eastAsiaTheme="minorEastAsia"/>
              </w:rPr>
            </w:pPr>
            <w:r w:rsidRPr="004F5BF2">
              <w:rPr>
                <w:rFonts w:eastAsiaTheme="minorEastAsia"/>
              </w:rPr>
              <w:t>0.1928</w:t>
            </w:r>
          </w:p>
        </w:tc>
        <w:tc>
          <w:tcPr>
            <w:tcW w:w="1803" w:type="dxa"/>
            <w:vAlign w:val="center"/>
          </w:tcPr>
          <w:p w14:paraId="61A61E00" w14:textId="5CC6BD21" w:rsidR="004F5BF2" w:rsidRDefault="004F5BF2" w:rsidP="004F5BF2">
            <w:pPr>
              <w:jc w:val="center"/>
              <w:rPr>
                <w:rFonts w:eastAsiaTheme="minorEastAsia"/>
              </w:rPr>
            </w:pPr>
            <w:r w:rsidRPr="004F5BF2">
              <w:rPr>
                <w:rFonts w:eastAsiaTheme="minorEastAsia"/>
              </w:rPr>
              <w:t>0.5800</w:t>
            </w:r>
          </w:p>
        </w:tc>
        <w:tc>
          <w:tcPr>
            <w:tcW w:w="1804" w:type="dxa"/>
            <w:vAlign w:val="center"/>
          </w:tcPr>
          <w:p w14:paraId="3CD9DD23" w14:textId="16C771B1" w:rsidR="004F5BF2" w:rsidRDefault="004F5BF2" w:rsidP="004F5BF2">
            <w:pPr>
              <w:jc w:val="center"/>
              <w:rPr>
                <w:rFonts w:eastAsiaTheme="minorEastAsia"/>
              </w:rPr>
            </w:pPr>
            <w:r w:rsidRPr="004F5BF2">
              <w:rPr>
                <w:rFonts w:eastAsiaTheme="minorEastAsia"/>
              </w:rPr>
              <w:t>0.2428</w:t>
            </w:r>
          </w:p>
        </w:tc>
      </w:tr>
      <w:tr w:rsidR="004F5BF2" w14:paraId="09715FFB" w14:textId="77777777" w:rsidTr="004F5BF2">
        <w:tc>
          <w:tcPr>
            <w:tcW w:w="1803" w:type="dxa"/>
            <w:vAlign w:val="center"/>
          </w:tcPr>
          <w:p w14:paraId="2162A2EF" w14:textId="5C5D9F52" w:rsidR="004F5BF2" w:rsidRDefault="004F5BF2" w:rsidP="004F5BF2">
            <w:pPr>
              <w:jc w:val="center"/>
              <w:rPr>
                <w:rFonts w:eastAsiaTheme="minorEastAsia"/>
              </w:rPr>
            </w:pPr>
            <w:r>
              <w:rPr>
                <w:rFonts w:eastAsiaTheme="minorEastAsia"/>
              </w:rPr>
              <w:t>13</w:t>
            </w:r>
          </w:p>
        </w:tc>
        <w:tc>
          <w:tcPr>
            <w:tcW w:w="1803" w:type="dxa"/>
            <w:vAlign w:val="center"/>
          </w:tcPr>
          <w:p w14:paraId="60117214" w14:textId="6494C00B" w:rsidR="004F5BF2" w:rsidRDefault="004F5BF2" w:rsidP="004F5BF2">
            <w:pPr>
              <w:jc w:val="center"/>
              <w:rPr>
                <w:rFonts w:eastAsiaTheme="minorEastAsia"/>
              </w:rPr>
            </w:pPr>
            <w:r w:rsidRPr="004F5BF2">
              <w:rPr>
                <w:rFonts w:eastAsiaTheme="minorEastAsia"/>
              </w:rPr>
              <w:t>0.1867</w:t>
            </w:r>
          </w:p>
        </w:tc>
        <w:tc>
          <w:tcPr>
            <w:tcW w:w="1803" w:type="dxa"/>
            <w:vAlign w:val="center"/>
          </w:tcPr>
          <w:p w14:paraId="18525F81" w14:textId="6C821861" w:rsidR="004F5BF2" w:rsidRDefault="004F5BF2" w:rsidP="004F5BF2">
            <w:pPr>
              <w:jc w:val="center"/>
              <w:rPr>
                <w:rFonts w:eastAsiaTheme="minorEastAsia"/>
              </w:rPr>
            </w:pPr>
            <w:r w:rsidRPr="004F5BF2">
              <w:rPr>
                <w:rFonts w:eastAsiaTheme="minorEastAsia"/>
              </w:rPr>
              <w:t>0.3221</w:t>
            </w:r>
          </w:p>
        </w:tc>
        <w:tc>
          <w:tcPr>
            <w:tcW w:w="1803" w:type="dxa"/>
            <w:vAlign w:val="center"/>
          </w:tcPr>
          <w:p w14:paraId="2B26A378" w14:textId="2F2E6327" w:rsidR="004F5BF2" w:rsidRDefault="004F5BF2" w:rsidP="004F5BF2">
            <w:pPr>
              <w:jc w:val="center"/>
              <w:rPr>
                <w:rFonts w:eastAsiaTheme="minorEastAsia"/>
              </w:rPr>
            </w:pPr>
            <w:r w:rsidRPr="004F5BF2">
              <w:rPr>
                <w:rFonts w:eastAsiaTheme="minorEastAsia"/>
              </w:rPr>
              <w:t>0.2072</w:t>
            </w:r>
          </w:p>
        </w:tc>
        <w:tc>
          <w:tcPr>
            <w:tcW w:w="1804" w:type="dxa"/>
            <w:vAlign w:val="center"/>
          </w:tcPr>
          <w:p w14:paraId="0459F0A3" w14:textId="696F19AA" w:rsidR="004F5BF2" w:rsidRDefault="004F5BF2" w:rsidP="004F5BF2">
            <w:pPr>
              <w:jc w:val="center"/>
              <w:rPr>
                <w:rFonts w:eastAsiaTheme="minorEastAsia"/>
              </w:rPr>
            </w:pPr>
            <w:r w:rsidRPr="004F5BF2">
              <w:rPr>
                <w:rFonts w:eastAsiaTheme="minorEastAsia"/>
              </w:rPr>
              <w:t>0.1080</w:t>
            </w:r>
          </w:p>
        </w:tc>
      </w:tr>
      <w:tr w:rsidR="004F5BF2" w14:paraId="397F88EC" w14:textId="77777777" w:rsidTr="004F5BF2">
        <w:tc>
          <w:tcPr>
            <w:tcW w:w="1803" w:type="dxa"/>
            <w:vAlign w:val="center"/>
          </w:tcPr>
          <w:p w14:paraId="654A27BF" w14:textId="7AAD4E92" w:rsidR="004F5BF2" w:rsidRDefault="004F5BF2" w:rsidP="004F5BF2">
            <w:pPr>
              <w:jc w:val="center"/>
              <w:rPr>
                <w:rFonts w:eastAsiaTheme="minorEastAsia"/>
              </w:rPr>
            </w:pPr>
            <w:r>
              <w:rPr>
                <w:rFonts w:eastAsiaTheme="minorEastAsia"/>
              </w:rPr>
              <w:t>17</w:t>
            </w:r>
          </w:p>
        </w:tc>
        <w:tc>
          <w:tcPr>
            <w:tcW w:w="1803" w:type="dxa"/>
            <w:vAlign w:val="center"/>
          </w:tcPr>
          <w:p w14:paraId="68E3C378" w14:textId="5FEFC50E" w:rsidR="004F5BF2" w:rsidRDefault="004F5BF2" w:rsidP="004F5BF2">
            <w:pPr>
              <w:jc w:val="center"/>
              <w:rPr>
                <w:rFonts w:eastAsiaTheme="minorEastAsia"/>
              </w:rPr>
            </w:pPr>
            <w:r w:rsidRPr="004F5BF2">
              <w:rPr>
                <w:rFonts w:eastAsiaTheme="minorEastAsia"/>
              </w:rPr>
              <w:t>0.2004</w:t>
            </w:r>
          </w:p>
        </w:tc>
        <w:tc>
          <w:tcPr>
            <w:tcW w:w="1803" w:type="dxa"/>
            <w:vAlign w:val="center"/>
          </w:tcPr>
          <w:p w14:paraId="04CEC0D1" w14:textId="387AB80F" w:rsidR="004F5BF2" w:rsidRDefault="004F5BF2" w:rsidP="004F5BF2">
            <w:pPr>
              <w:jc w:val="center"/>
              <w:rPr>
                <w:rFonts w:eastAsiaTheme="minorEastAsia"/>
              </w:rPr>
            </w:pPr>
            <w:r w:rsidRPr="004F5BF2">
              <w:rPr>
                <w:rFonts w:eastAsiaTheme="minorEastAsia"/>
              </w:rPr>
              <w:t>0.1524</w:t>
            </w:r>
          </w:p>
        </w:tc>
        <w:tc>
          <w:tcPr>
            <w:tcW w:w="1803" w:type="dxa"/>
            <w:vAlign w:val="center"/>
          </w:tcPr>
          <w:p w14:paraId="0AC7CCD3" w14:textId="4C0428F9" w:rsidR="004F5BF2" w:rsidRDefault="004F5BF2" w:rsidP="004F5BF2">
            <w:pPr>
              <w:jc w:val="center"/>
              <w:rPr>
                <w:rFonts w:eastAsiaTheme="minorEastAsia"/>
              </w:rPr>
            </w:pPr>
            <w:r w:rsidRPr="004F5BF2">
              <w:rPr>
                <w:rFonts w:eastAsiaTheme="minorEastAsia"/>
              </w:rPr>
              <w:t>0.2130</w:t>
            </w:r>
          </w:p>
        </w:tc>
        <w:tc>
          <w:tcPr>
            <w:tcW w:w="1804" w:type="dxa"/>
            <w:vAlign w:val="center"/>
          </w:tcPr>
          <w:p w14:paraId="2E09654A" w14:textId="4EF7B0C3" w:rsidR="004F5BF2" w:rsidRDefault="004F5BF2" w:rsidP="004F5BF2">
            <w:pPr>
              <w:jc w:val="center"/>
              <w:rPr>
                <w:rFonts w:eastAsiaTheme="minorEastAsia"/>
              </w:rPr>
            </w:pPr>
            <w:r w:rsidRPr="004F5BF2">
              <w:rPr>
                <w:rFonts w:eastAsiaTheme="minorEastAsia"/>
              </w:rPr>
              <w:t>0.0782</w:t>
            </w:r>
          </w:p>
        </w:tc>
      </w:tr>
      <w:tr w:rsidR="004F5BF2" w14:paraId="7142F951" w14:textId="77777777" w:rsidTr="004F5BF2">
        <w:tc>
          <w:tcPr>
            <w:tcW w:w="1803" w:type="dxa"/>
            <w:vAlign w:val="center"/>
          </w:tcPr>
          <w:p w14:paraId="50915097" w14:textId="19B943E4" w:rsidR="004F5BF2" w:rsidRDefault="004F5BF2" w:rsidP="004F5BF2">
            <w:pPr>
              <w:jc w:val="center"/>
              <w:rPr>
                <w:rFonts w:eastAsiaTheme="minorEastAsia"/>
              </w:rPr>
            </w:pPr>
            <w:r>
              <w:rPr>
                <w:rFonts w:eastAsiaTheme="minorEastAsia"/>
              </w:rPr>
              <w:t>21</w:t>
            </w:r>
          </w:p>
        </w:tc>
        <w:tc>
          <w:tcPr>
            <w:tcW w:w="1803" w:type="dxa"/>
            <w:vAlign w:val="center"/>
          </w:tcPr>
          <w:p w14:paraId="71CDA1C5" w14:textId="5C0E62F6" w:rsidR="004F5BF2" w:rsidRDefault="004F5BF2" w:rsidP="004F5BF2">
            <w:pPr>
              <w:jc w:val="center"/>
              <w:rPr>
                <w:rFonts w:eastAsiaTheme="minorEastAsia"/>
              </w:rPr>
            </w:pPr>
            <w:r w:rsidRPr="004F5BF2">
              <w:rPr>
                <w:rFonts w:eastAsiaTheme="minorEastAsia"/>
              </w:rPr>
              <w:t>0.2062</w:t>
            </w:r>
          </w:p>
        </w:tc>
        <w:tc>
          <w:tcPr>
            <w:tcW w:w="1803" w:type="dxa"/>
            <w:vAlign w:val="center"/>
          </w:tcPr>
          <w:p w14:paraId="78C3F880" w14:textId="08E2C172" w:rsidR="004F5BF2" w:rsidRDefault="004F5BF2" w:rsidP="004F5BF2">
            <w:pPr>
              <w:jc w:val="center"/>
              <w:rPr>
                <w:rFonts w:eastAsiaTheme="minorEastAsia"/>
              </w:rPr>
            </w:pPr>
            <w:r w:rsidRPr="004F5BF2">
              <w:rPr>
                <w:rFonts w:eastAsiaTheme="minorEastAsia"/>
              </w:rPr>
              <w:t>0.1272</w:t>
            </w:r>
          </w:p>
        </w:tc>
        <w:tc>
          <w:tcPr>
            <w:tcW w:w="1803" w:type="dxa"/>
            <w:vAlign w:val="center"/>
          </w:tcPr>
          <w:p w14:paraId="1121431C" w14:textId="70E814A5" w:rsidR="004F5BF2" w:rsidRDefault="004F5BF2" w:rsidP="004F5BF2">
            <w:pPr>
              <w:jc w:val="center"/>
              <w:rPr>
                <w:rFonts w:eastAsiaTheme="minorEastAsia"/>
              </w:rPr>
            </w:pPr>
            <w:r w:rsidRPr="004F5BF2">
              <w:rPr>
                <w:rFonts w:eastAsiaTheme="minorEastAsia"/>
              </w:rPr>
              <w:t>0.2167</w:t>
            </w:r>
          </w:p>
        </w:tc>
        <w:tc>
          <w:tcPr>
            <w:tcW w:w="1804" w:type="dxa"/>
            <w:vAlign w:val="center"/>
          </w:tcPr>
          <w:p w14:paraId="44183F58" w14:textId="515D0864" w:rsidR="004F5BF2" w:rsidRDefault="004F5BF2" w:rsidP="004F5BF2">
            <w:pPr>
              <w:jc w:val="center"/>
              <w:rPr>
                <w:rFonts w:eastAsiaTheme="minorEastAsia"/>
              </w:rPr>
            </w:pPr>
            <w:r w:rsidRPr="004F5BF2">
              <w:rPr>
                <w:rFonts w:eastAsiaTheme="minorEastAsia"/>
              </w:rPr>
              <w:t>0.0597</w:t>
            </w:r>
          </w:p>
        </w:tc>
      </w:tr>
      <w:tr w:rsidR="004F5BF2" w14:paraId="014112BB" w14:textId="77777777" w:rsidTr="004F5BF2">
        <w:tc>
          <w:tcPr>
            <w:tcW w:w="1803" w:type="dxa"/>
            <w:vAlign w:val="center"/>
          </w:tcPr>
          <w:p w14:paraId="6879899F" w14:textId="6A6F2FEC" w:rsidR="004F5BF2" w:rsidRDefault="004F5BF2" w:rsidP="004F5BF2">
            <w:pPr>
              <w:jc w:val="center"/>
              <w:rPr>
                <w:rFonts w:eastAsiaTheme="minorEastAsia"/>
              </w:rPr>
            </w:pPr>
            <w:r>
              <w:rPr>
                <w:rFonts w:eastAsiaTheme="minorEastAsia"/>
              </w:rPr>
              <w:t>25</w:t>
            </w:r>
          </w:p>
        </w:tc>
        <w:tc>
          <w:tcPr>
            <w:tcW w:w="1803" w:type="dxa"/>
            <w:vAlign w:val="center"/>
          </w:tcPr>
          <w:p w14:paraId="19A18C74" w14:textId="66A4A9EC" w:rsidR="004F5BF2" w:rsidRDefault="004F5BF2" w:rsidP="004F5BF2">
            <w:pPr>
              <w:jc w:val="center"/>
              <w:rPr>
                <w:rFonts w:eastAsiaTheme="minorEastAsia"/>
              </w:rPr>
            </w:pPr>
            <w:r w:rsidRPr="004F5BF2">
              <w:rPr>
                <w:rFonts w:eastAsiaTheme="minorEastAsia"/>
              </w:rPr>
              <w:t>0.2086</w:t>
            </w:r>
          </w:p>
        </w:tc>
        <w:tc>
          <w:tcPr>
            <w:tcW w:w="1803" w:type="dxa"/>
            <w:vAlign w:val="center"/>
          </w:tcPr>
          <w:p w14:paraId="659602FF" w14:textId="553CE52F" w:rsidR="004F5BF2" w:rsidRDefault="004F5BF2" w:rsidP="004F5BF2">
            <w:pPr>
              <w:jc w:val="center"/>
              <w:rPr>
                <w:rFonts w:eastAsiaTheme="minorEastAsia"/>
              </w:rPr>
            </w:pPr>
            <w:r>
              <w:rPr>
                <w:rFonts w:eastAsiaTheme="minorEastAsia"/>
              </w:rPr>
              <w:t>0.1076</w:t>
            </w:r>
          </w:p>
        </w:tc>
        <w:tc>
          <w:tcPr>
            <w:tcW w:w="1803" w:type="dxa"/>
            <w:vAlign w:val="center"/>
          </w:tcPr>
          <w:p w14:paraId="46FDEE11" w14:textId="6DDDCF44" w:rsidR="004F5BF2" w:rsidRDefault="004F5BF2" w:rsidP="004F5BF2">
            <w:pPr>
              <w:jc w:val="center"/>
              <w:rPr>
                <w:rFonts w:eastAsiaTheme="minorEastAsia"/>
              </w:rPr>
            </w:pPr>
            <w:r>
              <w:rPr>
                <w:rFonts w:eastAsiaTheme="minorEastAsia"/>
              </w:rPr>
              <w:t>0.2260</w:t>
            </w:r>
          </w:p>
        </w:tc>
        <w:tc>
          <w:tcPr>
            <w:tcW w:w="1804" w:type="dxa"/>
            <w:vAlign w:val="center"/>
          </w:tcPr>
          <w:p w14:paraId="16A2DE91" w14:textId="18A8DFD6" w:rsidR="004F5BF2" w:rsidRDefault="004F5BF2" w:rsidP="004F5BF2">
            <w:pPr>
              <w:jc w:val="center"/>
              <w:rPr>
                <w:rFonts w:eastAsiaTheme="minorEastAsia"/>
              </w:rPr>
            </w:pPr>
            <w:r>
              <w:rPr>
                <w:rFonts w:eastAsiaTheme="minorEastAsia"/>
              </w:rPr>
              <w:t>0.0443</w:t>
            </w:r>
          </w:p>
        </w:tc>
      </w:tr>
    </w:tbl>
    <w:p w14:paraId="246150BD" w14:textId="18F2FCF9" w:rsidR="00B205A0" w:rsidRDefault="004F5BF2" w:rsidP="004F5BF2">
      <w:pPr>
        <w:jc w:val="center"/>
        <w:rPr>
          <w:rFonts w:eastAsiaTheme="minorEastAsia"/>
        </w:rPr>
      </w:pPr>
      <w:r w:rsidRPr="004F5BF2">
        <w:rPr>
          <w:rFonts w:eastAsiaTheme="minorEastAsia"/>
          <w:b/>
          <w:bCs/>
          <w:i/>
          <w:iCs/>
        </w:rPr>
        <w:t>Table 1: Comparison Metrics</w:t>
      </w:r>
      <w:r w:rsidR="00E4152F">
        <w:rPr>
          <w:rFonts w:eastAsiaTheme="minorEastAsia"/>
          <w:b/>
          <w:bCs/>
          <w:i/>
          <w:iCs/>
        </w:rPr>
        <w:t xml:space="preserve"> for Smoothing</w:t>
      </w:r>
    </w:p>
    <w:p w14:paraId="7AD10F2B" w14:textId="1AA2B97D" w:rsidR="00370B1C" w:rsidRDefault="004F5BF2" w:rsidP="004F5BF2">
      <w:pPr>
        <w:jc w:val="center"/>
      </w:pPr>
      <w:r>
        <w:rPr>
          <w:noProof/>
        </w:rPr>
        <w:drawing>
          <wp:inline distT="0" distB="0" distL="0" distR="0" wp14:anchorId="6FB2ABD3" wp14:editId="14C7FB98">
            <wp:extent cx="5200650" cy="2355446"/>
            <wp:effectExtent l="19050" t="19050" r="19050" b="26035"/>
            <wp:docPr id="1641298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8830" name="Picture 16412988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03143" cy="2356575"/>
                    </a:xfrm>
                    <a:prstGeom prst="rect">
                      <a:avLst/>
                    </a:prstGeom>
                    <a:ln>
                      <a:solidFill>
                        <a:schemeClr val="tx1"/>
                      </a:solidFill>
                    </a:ln>
                  </pic:spPr>
                </pic:pic>
              </a:graphicData>
            </a:graphic>
          </wp:inline>
        </w:drawing>
      </w:r>
    </w:p>
    <w:p w14:paraId="182872A2" w14:textId="62C2763C" w:rsidR="004F5BF2" w:rsidRDefault="004F5BF2" w:rsidP="004F5BF2">
      <w:pPr>
        <w:jc w:val="center"/>
      </w:pPr>
      <w:r w:rsidRPr="004F5BF2">
        <w:rPr>
          <w:b/>
          <w:bCs/>
          <w:i/>
          <w:iCs/>
        </w:rPr>
        <w:t>Figure 3: Comparison metrics</w:t>
      </w:r>
    </w:p>
    <w:p w14:paraId="56F032B2" w14:textId="30AF34B1" w:rsidR="004F5BF2" w:rsidRDefault="004F5BF2" w:rsidP="004F5BF2">
      <w:pPr>
        <w:pStyle w:val="Heading2"/>
      </w:pPr>
      <w:r>
        <w:lastRenderedPageBreak/>
        <w:t>3.1.3: Observation and Analysis</w:t>
      </w:r>
    </w:p>
    <w:p w14:paraId="47B2932C" w14:textId="172BE2C0" w:rsidR="00376F71" w:rsidRDefault="00376F71" w:rsidP="00376F71">
      <w:pPr>
        <w:jc w:val="both"/>
      </w:pPr>
      <w:r>
        <w:t xml:space="preserve">Observe that for any given span, the quadratic smoothing has a lower RMSE than linear, i.e., it hugs the data closer. However, also observe that the circularity of each case is lower in linear than quadratic, meaning that the linear is closer to a trend-line. Next, observe the high span cases like k = 21 or k = 25 in quadratic for the timepoints after t = 9 hours. The data is clearly scattered at both the sides of the curve, showing high variability and noise while the quadratic function tries to fit a quadratic trend that doesn’t even exist or make sense. Moreover, observe that this time-period is better described by the linear smoothing. Finally, the linear curve hits the ideal curvature bracket at k = 17 with a curvature of 0.0782 and an RMSE of 0.213 while the quadratic is unable to achieve this even with a span of 25. Therefore, it can be recommended that linear is a better polynomial for smoothing when we want to observe the general trend like the average growth rate while a quadratic is better suited for cases where we want to see the perturbations in a standard curve since is able to capture the sub-local noise better.  </w:t>
      </w:r>
    </w:p>
    <w:p w14:paraId="22AAC93B" w14:textId="3F74044E" w:rsidR="00376F71" w:rsidRPr="004F5BF2" w:rsidRDefault="00376F71" w:rsidP="00376F71">
      <w:pPr>
        <w:pStyle w:val="Heading1"/>
      </w:pPr>
      <w:r>
        <w:t>3.2 Numerical Differentiation</w:t>
      </w:r>
    </w:p>
    <w:p w14:paraId="2B720FF1" w14:textId="74989DF0" w:rsidR="00376F71" w:rsidRDefault="00376F71" w:rsidP="00376F71">
      <w:pPr>
        <w:jc w:val="both"/>
      </w:pPr>
      <w:r>
        <w:t xml:space="preserve">In this section, we observe the effect of order on the numerical differentiation used for the raw and smoothed data. We use the predetermined optimal value of k = 17 for this analysis. The code has a function file which intakes the independent variable, dependent variable and the order. The code is made for the second and the third order. The boundary points are treated the same way for both the orders: forward difference at the starting point and backward difference at the end point. For the third order difference, at the second and penultimate time-points, 2nd order central difference is used. For comparison, we use the standard deviation metric. </w:t>
      </w:r>
    </w:p>
    <w:tbl>
      <w:tblPr>
        <w:tblStyle w:val="TableGrid"/>
        <w:tblW w:w="0" w:type="auto"/>
        <w:tblLook w:val="04A0" w:firstRow="1" w:lastRow="0" w:firstColumn="1" w:lastColumn="0" w:noHBand="0" w:noVBand="1"/>
      </w:tblPr>
      <w:tblGrid>
        <w:gridCol w:w="2405"/>
        <w:gridCol w:w="3093"/>
        <w:gridCol w:w="3518"/>
      </w:tblGrid>
      <w:tr w:rsidR="00376F71" w14:paraId="2FB6E8D9" w14:textId="77777777" w:rsidTr="00376F71">
        <w:tc>
          <w:tcPr>
            <w:tcW w:w="2405" w:type="dxa"/>
            <w:vAlign w:val="center"/>
          </w:tcPr>
          <w:p w14:paraId="1566BDED" w14:textId="08315333" w:rsidR="00376F71" w:rsidRPr="00376F71" w:rsidRDefault="00376F71" w:rsidP="00376F71">
            <w:pPr>
              <w:jc w:val="center"/>
              <w:rPr>
                <w:b/>
                <w:bCs/>
              </w:rPr>
            </w:pPr>
            <w:r w:rsidRPr="00376F71">
              <w:rPr>
                <w:b/>
                <w:bCs/>
              </w:rPr>
              <w:t>Data</w:t>
            </w:r>
          </w:p>
        </w:tc>
        <w:tc>
          <w:tcPr>
            <w:tcW w:w="3093" w:type="dxa"/>
            <w:vAlign w:val="center"/>
          </w:tcPr>
          <w:p w14:paraId="2190F02A" w14:textId="2F45DDA4" w:rsidR="00376F71" w:rsidRPr="00376F71" w:rsidRDefault="00376F71" w:rsidP="00376F71">
            <w:pPr>
              <w:jc w:val="center"/>
              <w:rPr>
                <w:b/>
                <w:bCs/>
              </w:rPr>
            </w:pPr>
            <w:r>
              <w:rPr>
                <w:b/>
                <w:bCs/>
              </w:rPr>
              <w:t>Order 2</w:t>
            </w:r>
          </w:p>
        </w:tc>
        <w:tc>
          <w:tcPr>
            <w:tcW w:w="3518" w:type="dxa"/>
            <w:vAlign w:val="center"/>
          </w:tcPr>
          <w:p w14:paraId="505A352D" w14:textId="73339A42" w:rsidR="00376F71" w:rsidRPr="00376F71" w:rsidRDefault="00376F71" w:rsidP="00376F71">
            <w:pPr>
              <w:jc w:val="center"/>
              <w:rPr>
                <w:b/>
                <w:bCs/>
              </w:rPr>
            </w:pPr>
            <w:r>
              <w:rPr>
                <w:b/>
                <w:bCs/>
              </w:rPr>
              <w:t>Order 3</w:t>
            </w:r>
          </w:p>
        </w:tc>
      </w:tr>
      <w:tr w:rsidR="00376F71" w14:paraId="4D4DC301" w14:textId="77777777" w:rsidTr="00376F71">
        <w:tc>
          <w:tcPr>
            <w:tcW w:w="2405" w:type="dxa"/>
            <w:vAlign w:val="center"/>
          </w:tcPr>
          <w:p w14:paraId="170F9D15" w14:textId="3EAE6B46" w:rsidR="00376F71" w:rsidRDefault="00376F71" w:rsidP="00376F71">
            <w:pPr>
              <w:jc w:val="center"/>
            </w:pPr>
            <w:r>
              <w:t>Raw data</w:t>
            </w:r>
          </w:p>
        </w:tc>
        <w:tc>
          <w:tcPr>
            <w:tcW w:w="3093" w:type="dxa"/>
            <w:vAlign w:val="center"/>
          </w:tcPr>
          <w:p w14:paraId="4D09F6B6" w14:textId="16754180" w:rsidR="00376F71" w:rsidRDefault="00376F71" w:rsidP="00376F71">
            <w:pPr>
              <w:jc w:val="center"/>
            </w:pPr>
            <w:r>
              <w:t>0.502</w:t>
            </w:r>
          </w:p>
        </w:tc>
        <w:tc>
          <w:tcPr>
            <w:tcW w:w="3518" w:type="dxa"/>
            <w:vAlign w:val="center"/>
          </w:tcPr>
          <w:p w14:paraId="124A73EB" w14:textId="194B52B8" w:rsidR="00376F71" w:rsidRDefault="00376F71" w:rsidP="00376F71">
            <w:pPr>
              <w:jc w:val="center"/>
            </w:pPr>
            <w:r>
              <w:t>0.649</w:t>
            </w:r>
          </w:p>
        </w:tc>
      </w:tr>
      <w:tr w:rsidR="00376F71" w14:paraId="6CD1776E" w14:textId="77777777" w:rsidTr="00376F71">
        <w:tc>
          <w:tcPr>
            <w:tcW w:w="2405" w:type="dxa"/>
            <w:vAlign w:val="center"/>
          </w:tcPr>
          <w:p w14:paraId="3B3EE5E4" w14:textId="74CDB9B7" w:rsidR="00376F71" w:rsidRDefault="00376F71" w:rsidP="00376F71">
            <w:pPr>
              <w:jc w:val="center"/>
            </w:pPr>
            <w:r>
              <w:t>Quadratic Smooth</w:t>
            </w:r>
          </w:p>
        </w:tc>
        <w:tc>
          <w:tcPr>
            <w:tcW w:w="3093" w:type="dxa"/>
            <w:vAlign w:val="center"/>
          </w:tcPr>
          <w:p w14:paraId="77061E36" w14:textId="57C6802D" w:rsidR="00376F71" w:rsidRDefault="00376F71" w:rsidP="00376F71">
            <w:pPr>
              <w:jc w:val="center"/>
            </w:pPr>
            <w:r>
              <w:t>0.157</w:t>
            </w:r>
          </w:p>
        </w:tc>
        <w:tc>
          <w:tcPr>
            <w:tcW w:w="3518" w:type="dxa"/>
            <w:vAlign w:val="center"/>
          </w:tcPr>
          <w:p w14:paraId="40C1FB46" w14:textId="76FD3E77" w:rsidR="00376F71" w:rsidRDefault="00376F71" w:rsidP="00376F71">
            <w:pPr>
              <w:jc w:val="center"/>
            </w:pPr>
            <w:r>
              <w:t>0.162</w:t>
            </w:r>
          </w:p>
        </w:tc>
      </w:tr>
      <w:tr w:rsidR="00376F71" w14:paraId="07221CF9" w14:textId="77777777" w:rsidTr="00376F71">
        <w:tc>
          <w:tcPr>
            <w:tcW w:w="2405" w:type="dxa"/>
            <w:vAlign w:val="center"/>
          </w:tcPr>
          <w:p w14:paraId="3ADFB058" w14:textId="7362BBFF" w:rsidR="00376F71" w:rsidRDefault="00376F71" w:rsidP="00376F71">
            <w:pPr>
              <w:jc w:val="center"/>
            </w:pPr>
            <w:r>
              <w:t>Linear Smooth</w:t>
            </w:r>
          </w:p>
        </w:tc>
        <w:tc>
          <w:tcPr>
            <w:tcW w:w="3093" w:type="dxa"/>
            <w:vAlign w:val="center"/>
          </w:tcPr>
          <w:p w14:paraId="327D03B3" w14:textId="13CE8AEC" w:rsidR="00376F71" w:rsidRDefault="00376F71" w:rsidP="00376F71">
            <w:pPr>
              <w:jc w:val="center"/>
            </w:pPr>
            <w:r>
              <w:t>0.090</w:t>
            </w:r>
          </w:p>
        </w:tc>
        <w:tc>
          <w:tcPr>
            <w:tcW w:w="3518" w:type="dxa"/>
            <w:vAlign w:val="center"/>
          </w:tcPr>
          <w:p w14:paraId="0103BACE" w14:textId="21817EFE" w:rsidR="00376F71" w:rsidRDefault="00376F71" w:rsidP="00376F71">
            <w:pPr>
              <w:jc w:val="center"/>
            </w:pPr>
            <w:r>
              <w:t>0.091</w:t>
            </w:r>
          </w:p>
        </w:tc>
      </w:tr>
    </w:tbl>
    <w:p w14:paraId="05DBC104" w14:textId="03FF8DDD" w:rsidR="00E4152F" w:rsidRDefault="00E4152F" w:rsidP="00E4152F">
      <w:pPr>
        <w:jc w:val="center"/>
        <w:rPr>
          <w:rFonts w:eastAsiaTheme="minorEastAsia"/>
        </w:rPr>
      </w:pPr>
      <w:r w:rsidRPr="004F5BF2">
        <w:rPr>
          <w:rFonts w:eastAsiaTheme="minorEastAsia"/>
          <w:b/>
          <w:bCs/>
          <w:i/>
          <w:iCs/>
        </w:rPr>
        <w:t xml:space="preserve">Table </w:t>
      </w:r>
      <w:r>
        <w:rPr>
          <w:rFonts w:eastAsiaTheme="minorEastAsia"/>
          <w:b/>
          <w:bCs/>
          <w:i/>
          <w:iCs/>
        </w:rPr>
        <w:t>2</w:t>
      </w:r>
      <w:r w:rsidRPr="004F5BF2">
        <w:rPr>
          <w:rFonts w:eastAsiaTheme="minorEastAsia"/>
          <w:b/>
          <w:bCs/>
          <w:i/>
          <w:iCs/>
        </w:rPr>
        <w:t>: Comparison Metric</w:t>
      </w:r>
      <w:r>
        <w:rPr>
          <w:rFonts w:eastAsiaTheme="minorEastAsia"/>
          <w:b/>
          <w:bCs/>
          <w:i/>
          <w:iCs/>
        </w:rPr>
        <w:t xml:space="preserve"> for Differentiation</w:t>
      </w:r>
    </w:p>
    <w:p w14:paraId="1642AE78" w14:textId="77777777" w:rsidR="00E4152F" w:rsidRDefault="00376F71" w:rsidP="00376F71">
      <w:pPr>
        <w:jc w:val="both"/>
      </w:pPr>
      <w:r>
        <w:t>Observing these, one first intuition one might consider taking the second order difference due to a lower standard deviation. However, our requirement of the numerical differentiation is to compare the variability in calculation before and after smoothing. Therefore, it is important to select a difference tool that measures the noise more accurately. This makes the order 3 a better choice. Moreover, remember that order 3 is a more mathematically accurate method with a lower error order. Also, observe that</w:t>
      </w:r>
      <w:r w:rsidR="00E4152F">
        <w:t xml:space="preserve"> for smoothed data, the difference in the two orders is lower. Finally, observe that the difference as well as the value of standard deviations is lower for linear smooth than quadratic smooth, proving that it is a better method of smoothing in this case. </w:t>
      </w:r>
    </w:p>
    <w:p w14:paraId="5750DF65" w14:textId="6E845382" w:rsidR="00E4152F" w:rsidRDefault="00E4152F" w:rsidP="00E4152F">
      <w:pPr>
        <w:pStyle w:val="Heading1"/>
      </w:pPr>
      <w:r>
        <w:lastRenderedPageBreak/>
        <w:t>3.3 Finding the Growth Rate</w:t>
      </w:r>
    </w:p>
    <w:p w14:paraId="454F7C74" w14:textId="2AD3076B" w:rsidR="00E4152F" w:rsidRDefault="00E4152F" w:rsidP="00E4152F">
      <w:r>
        <w:t xml:space="preserve">After establishing that order 3 is a better method for numerical differentiation, we use it to find the growth rate. The area of exponential growth is estimated using finding the area of almost constant growth rate. The said area is highlighted in this figure. </w:t>
      </w:r>
      <w:r>
        <w:rPr>
          <w:noProof/>
        </w:rPr>
        <w:drawing>
          <wp:inline distT="0" distB="0" distL="0" distR="0" wp14:anchorId="7CD062B2" wp14:editId="749AE361">
            <wp:extent cx="5731510" cy="2266315"/>
            <wp:effectExtent l="19050" t="19050" r="21590" b="19685"/>
            <wp:docPr id="914673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3604" name="Picture 9146736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66315"/>
                    </a:xfrm>
                    <a:prstGeom prst="rect">
                      <a:avLst/>
                    </a:prstGeom>
                    <a:ln>
                      <a:solidFill>
                        <a:schemeClr val="tx1"/>
                      </a:solidFill>
                    </a:ln>
                  </pic:spPr>
                </pic:pic>
              </a:graphicData>
            </a:graphic>
          </wp:inline>
        </w:drawing>
      </w:r>
    </w:p>
    <w:p w14:paraId="1EFF1B36" w14:textId="4A795164" w:rsidR="00E4152F" w:rsidRDefault="00E4152F" w:rsidP="00E4152F">
      <w:pPr>
        <w:jc w:val="center"/>
        <w:rPr>
          <w:b/>
          <w:bCs/>
          <w:i/>
          <w:iCs/>
        </w:rPr>
      </w:pPr>
      <w:r w:rsidRPr="004F5BF2">
        <w:rPr>
          <w:b/>
          <w:bCs/>
          <w:i/>
          <w:iCs/>
        </w:rPr>
        <w:t xml:space="preserve">Figure </w:t>
      </w:r>
      <w:r>
        <w:rPr>
          <w:b/>
          <w:bCs/>
          <w:i/>
          <w:iCs/>
        </w:rPr>
        <w:t>4</w:t>
      </w:r>
      <w:r w:rsidRPr="004F5BF2">
        <w:rPr>
          <w:b/>
          <w:bCs/>
          <w:i/>
          <w:iCs/>
        </w:rPr>
        <w:t xml:space="preserve">: </w:t>
      </w:r>
      <w:r>
        <w:rPr>
          <w:b/>
          <w:bCs/>
          <w:i/>
          <w:iCs/>
        </w:rPr>
        <w:t>Growth Rate</w:t>
      </w:r>
    </w:p>
    <w:p w14:paraId="62D18D9B" w14:textId="77777777" w:rsidR="00E4152F" w:rsidRDefault="00E4152F" w:rsidP="00E4152F">
      <w:r>
        <w:t xml:space="preserve">Upon calculating the averages, we get: </w:t>
      </w:r>
      <w:r>
        <w:br/>
      </w:r>
    </w:p>
    <w:p w14:paraId="06FD7D08" w14:textId="32618900" w:rsidR="00E4152F" w:rsidRDefault="00E4152F" w:rsidP="00E4152F">
      <w:r w:rsidRPr="00E4152F">
        <w:t>Raw</w:t>
      </w:r>
      <w:r>
        <w:t xml:space="preserve"> data</w:t>
      </w:r>
      <w:r w:rsidRPr="00E4152F">
        <w:t xml:space="preserve">: 0.4098 ± 0.5387 </w:t>
      </w:r>
    </w:p>
    <w:p w14:paraId="6220F0DA" w14:textId="608F9532" w:rsidR="00E4152F" w:rsidRDefault="00E4152F" w:rsidP="00E4152F">
      <w:r w:rsidRPr="00E4152F">
        <w:t>Qua</w:t>
      </w:r>
      <w:r>
        <w:t>drilateral Smoothing</w:t>
      </w:r>
      <w:r w:rsidRPr="00E4152F">
        <w:t xml:space="preserve">: 0.3732 ± 0.1386 </w:t>
      </w:r>
    </w:p>
    <w:p w14:paraId="10ED242E" w14:textId="0E782649" w:rsidR="00E4152F" w:rsidRPr="00E4152F" w:rsidRDefault="00E4152F" w:rsidP="00E4152F">
      <w:r w:rsidRPr="00E4152F">
        <w:t>Linear</w:t>
      </w:r>
      <w:r>
        <w:t xml:space="preserve"> smoothing</w:t>
      </w:r>
      <w:r w:rsidRPr="00E4152F">
        <w:t>: 0.3424 ± 0.0671</w:t>
      </w:r>
    </w:p>
    <w:p w14:paraId="75278F67" w14:textId="1D66320D" w:rsidR="00E4152F" w:rsidRPr="00E4152F" w:rsidRDefault="00E4152F" w:rsidP="00E4152F">
      <w:r>
        <w:t xml:space="preserve">The values are </w:t>
      </w:r>
      <w:proofErr w:type="gramStart"/>
      <w:r>
        <w:t>pretty close</w:t>
      </w:r>
      <w:proofErr w:type="gramEnd"/>
      <w:r>
        <w:t xml:space="preserve"> to </w:t>
      </w:r>
      <w:proofErr w:type="gramStart"/>
      <w:r>
        <w:t>each other</w:t>
      </w:r>
      <w:proofErr w:type="gramEnd"/>
      <w:r>
        <w:t xml:space="preserve"> and you can observe that the standard deviation for the growth rate is raw data &gt; Quadrilateral smoothing &gt; linear Smoothing. </w:t>
      </w:r>
    </w:p>
    <w:p w14:paraId="74408E40" w14:textId="5A7A05F0" w:rsidR="00376F71" w:rsidRDefault="00E4152F" w:rsidP="00376F71">
      <w:pPr>
        <w:jc w:val="both"/>
      </w:pPr>
      <w:r>
        <w:t xml:space="preserve"> </w:t>
      </w:r>
    </w:p>
    <w:p w14:paraId="7DABC0FE" w14:textId="77777777" w:rsidR="00376F71" w:rsidRPr="00376F71" w:rsidRDefault="00376F71" w:rsidP="00376F71"/>
    <w:sectPr w:rsidR="00376F71" w:rsidRPr="00376F71" w:rsidSect="00A94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91AFB"/>
    <w:multiLevelType w:val="hybridMultilevel"/>
    <w:tmpl w:val="496C3E3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8895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B1C"/>
    <w:rsid w:val="00025897"/>
    <w:rsid w:val="00370B1C"/>
    <w:rsid w:val="00376F71"/>
    <w:rsid w:val="003E2A59"/>
    <w:rsid w:val="004F5BF2"/>
    <w:rsid w:val="006211B8"/>
    <w:rsid w:val="00A94D1B"/>
    <w:rsid w:val="00B14BC9"/>
    <w:rsid w:val="00B205A0"/>
    <w:rsid w:val="00E14BF0"/>
    <w:rsid w:val="00E4152F"/>
    <w:rsid w:val="00ED2BC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F168"/>
  <w15:chartTrackingRefBased/>
  <w15:docId w15:val="{FCD4151A-9957-41F1-B745-607DF5E55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52F"/>
  </w:style>
  <w:style w:type="paragraph" w:styleId="Heading1">
    <w:name w:val="heading 1"/>
    <w:basedOn w:val="Normal"/>
    <w:next w:val="Normal"/>
    <w:link w:val="Heading1Char"/>
    <w:uiPriority w:val="9"/>
    <w:qFormat/>
    <w:rsid w:val="00370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0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0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B1C"/>
    <w:rPr>
      <w:rFonts w:eastAsiaTheme="majorEastAsia" w:cstheme="majorBidi"/>
      <w:color w:val="272727" w:themeColor="text1" w:themeTint="D8"/>
    </w:rPr>
  </w:style>
  <w:style w:type="paragraph" w:styleId="Title">
    <w:name w:val="Title"/>
    <w:basedOn w:val="Normal"/>
    <w:next w:val="Normal"/>
    <w:link w:val="TitleChar"/>
    <w:uiPriority w:val="10"/>
    <w:qFormat/>
    <w:rsid w:val="00370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B1C"/>
    <w:pPr>
      <w:spacing w:before="160"/>
      <w:jc w:val="center"/>
    </w:pPr>
    <w:rPr>
      <w:i/>
      <w:iCs/>
      <w:color w:val="404040" w:themeColor="text1" w:themeTint="BF"/>
    </w:rPr>
  </w:style>
  <w:style w:type="character" w:customStyle="1" w:styleId="QuoteChar">
    <w:name w:val="Quote Char"/>
    <w:basedOn w:val="DefaultParagraphFont"/>
    <w:link w:val="Quote"/>
    <w:uiPriority w:val="29"/>
    <w:rsid w:val="00370B1C"/>
    <w:rPr>
      <w:i/>
      <w:iCs/>
      <w:color w:val="404040" w:themeColor="text1" w:themeTint="BF"/>
    </w:rPr>
  </w:style>
  <w:style w:type="paragraph" w:styleId="ListParagraph">
    <w:name w:val="List Paragraph"/>
    <w:basedOn w:val="Normal"/>
    <w:uiPriority w:val="34"/>
    <w:qFormat/>
    <w:rsid w:val="00370B1C"/>
    <w:pPr>
      <w:ind w:left="720"/>
      <w:contextualSpacing/>
    </w:pPr>
  </w:style>
  <w:style w:type="character" w:styleId="IntenseEmphasis">
    <w:name w:val="Intense Emphasis"/>
    <w:basedOn w:val="DefaultParagraphFont"/>
    <w:uiPriority w:val="21"/>
    <w:qFormat/>
    <w:rsid w:val="00370B1C"/>
    <w:rPr>
      <w:i/>
      <w:iCs/>
      <w:color w:val="0F4761" w:themeColor="accent1" w:themeShade="BF"/>
    </w:rPr>
  </w:style>
  <w:style w:type="paragraph" w:styleId="IntenseQuote">
    <w:name w:val="Intense Quote"/>
    <w:basedOn w:val="Normal"/>
    <w:next w:val="Normal"/>
    <w:link w:val="IntenseQuoteChar"/>
    <w:uiPriority w:val="30"/>
    <w:qFormat/>
    <w:rsid w:val="00370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B1C"/>
    <w:rPr>
      <w:i/>
      <w:iCs/>
      <w:color w:val="0F4761" w:themeColor="accent1" w:themeShade="BF"/>
    </w:rPr>
  </w:style>
  <w:style w:type="character" w:styleId="IntenseReference">
    <w:name w:val="Intense Reference"/>
    <w:basedOn w:val="DefaultParagraphFont"/>
    <w:uiPriority w:val="32"/>
    <w:qFormat/>
    <w:rsid w:val="00370B1C"/>
    <w:rPr>
      <w:b/>
      <w:bCs/>
      <w:smallCaps/>
      <w:color w:val="0F4761" w:themeColor="accent1" w:themeShade="BF"/>
      <w:spacing w:val="5"/>
    </w:rPr>
  </w:style>
  <w:style w:type="character" w:styleId="PlaceholderText">
    <w:name w:val="Placeholder Text"/>
    <w:basedOn w:val="DefaultParagraphFont"/>
    <w:uiPriority w:val="99"/>
    <w:semiHidden/>
    <w:rsid w:val="00B205A0"/>
    <w:rPr>
      <w:color w:val="666666"/>
    </w:rPr>
  </w:style>
  <w:style w:type="table" w:styleId="TableGrid">
    <w:name w:val="Table Grid"/>
    <w:basedOn w:val="TableNormal"/>
    <w:uiPriority w:val="39"/>
    <w:rsid w:val="004F5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Mihani</dc:creator>
  <cp:keywords/>
  <dc:description/>
  <cp:lastModifiedBy>Om Mihani</cp:lastModifiedBy>
  <cp:revision>1</cp:revision>
  <dcterms:created xsi:type="dcterms:W3CDTF">2026-01-25T17:37:00Z</dcterms:created>
  <dcterms:modified xsi:type="dcterms:W3CDTF">2026-01-25T19:12:00Z</dcterms:modified>
</cp:coreProperties>
</file>