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Cover Letter For Revised Manuscript</w:t>
      </w:r>
    </w:p>
    <w:p>
      <w:pPr>
        <w:spacing w:after="120" w:line="252" w:lineRule="auto"/>
      </w:pPr>
      <w:r>
        <w:t>Dear Editor,</w:t>
      </w:r>
    </w:p>
    <w:p>
      <w:pPr>
        <w:spacing w:after="120" w:line="252" w:lineRule="auto"/>
      </w:pPr>
      <w:r>
        <w:t>Please find enclosed the revised manuscript titled "Cooperative Co Evolution Hybrid Optimization for Dynamic Task Scheduling in Heterogeneous Distributed Systems" by Divyanshu Kashyap, Om Yadav, and Tejas Joshi. We appreciate the detailed comments from the reviewers and technical editor. The revision substantially strengthens the paper's methodology, reproducibility, and presentation.</w:t>
      </w:r>
    </w:p>
    <w:p>
      <w:pPr>
        <w:spacing w:after="120" w:line="252" w:lineRule="auto"/>
      </w:pPr>
      <w:r>
        <w:t>The main revisions are: the fitness function now includes all six stated objectives; scheduling weights are constrained to nonnegative values; SLR has been redefined using a parallel lower bound; MECT normalization constants are generated consistently; the experiments have been rerun on the official Alibaba Cluster Trace 2018 batch task file; coefficient sensitivity and robustness analyses have been added; and the results have been rewritten to report both improvements and regressions transparently.</w:t>
      </w:r>
    </w:p>
    <w:p>
      <w:pPr>
        <w:spacing w:after="120" w:line="252" w:lineRule="auto"/>
      </w:pPr>
      <w:r>
        <w:t>On the primary 1000 task Alibaba trace sample, optimized policies reduce average completion time by 14.59 to 21.27 percent and P95 latency by 4.06 to 13.79 percent relative to MECT. The revised manuscript avoids the previous invalid numerical SLR comparison with Li and Chen and frames the contribution as an interpretable, trace evaluated adaptive scheduling framework.</w:t>
      </w:r>
    </w:p>
    <w:p>
      <w:pPr>
        <w:spacing w:after="120" w:line="252" w:lineRule="auto"/>
      </w:pPr>
      <w:r>
        <w:t>The submission package includes the revised manuscript, response to reviewers, regenerated figures, generated CSV tables, and an author metadata checklist. At least one author ORCID should be entered in the submission system before final upload.</w:t>
      </w:r>
    </w:p>
    <w:p>
      <w:pPr>
        <w:spacing w:after="120" w:line="252" w:lineRule="auto"/>
      </w:pPr>
      <w:r>
        <w:t>Sincerely,</w:t>
      </w:r>
    </w:p>
    <w:p>
      <w:pPr>
        <w:spacing w:after="120" w:line="252" w:lineRule="auto"/>
      </w:pPr>
      <w:r>
        <w:t>Divyanshu Kashyap, Om Yadav, and Tejas Joshi</w:t>
      </w:r>
    </w:p>
    <w:sectPr>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