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Response To Reviewers</w:t>
      </w:r>
    </w:p>
    <w:p>
      <w:pPr>
        <w:spacing w:after="120" w:line="252" w:lineRule="auto"/>
      </w:pPr>
      <w:r>
        <w:t>Manuscript title: Cooperative Co Evolution Hybrid Optimization for Dynamic Task Scheduling in Heterogeneous Distributed Systems</w:t>
      </w:r>
    </w:p>
    <w:p>
      <w:pPr>
        <w:spacing w:after="120" w:line="252" w:lineRule="auto"/>
      </w:pPr>
      <w:r>
        <w:t>Authors: Divyanshu Kashyap, Om Yadav, and Tejas Joshi</w:t>
      </w:r>
    </w:p>
    <w:p>
      <w:pPr>
        <w:spacing w:after="120" w:line="252" w:lineRule="auto"/>
      </w:pPr>
      <w:r>
        <w:t>Dear Editor and Reviewers,</w:t>
      </w:r>
    </w:p>
    <w:p>
      <w:pPr>
        <w:spacing w:after="120" w:line="252" w:lineRule="auto"/>
      </w:pPr>
      <w:r>
        <w:t>We thank the reviewers and technical editor for their careful reading and constructive comments. The manuscript, experiments, and code have been revised to address the methodological and presentation concerns. The major changes include a six objective fitness function, constrained nonnegative scheduling weights, a corrected SLR definition, consistent MECT normalization constants, real Alibaba trace reruns, coefficient sensitivity analysis, robustness experiments, updated figures and tables, expanded result interpretation, and revised manuscript text.</w:t>
      </w:r>
    </w:p>
    <w:p>
      <w:pPr>
        <w:pStyle w:val="Heading1"/>
        <w:spacing w:before="160" w:after="80"/>
      </w:pPr>
      <w:r>
        <w:t>Reviewer 1</w:t>
      </w:r>
    </w:p>
    <w:p>
      <w:pPr>
        <w:spacing w:after="120" w:line="252" w:lineRule="auto"/>
      </w:pPr>
      <w:r>
        <w:rPr>
          <w:b/>
        </w:rPr>
        <w:t>Comment:</w:t>
      </w:r>
      <w:r>
        <w:t xml:space="preserve"> English revisions</w:t>
      </w:r>
    </w:p>
    <w:p>
      <w:pPr>
        <w:spacing w:after="120" w:line="252" w:lineRule="auto"/>
      </w:pPr>
      <w:r>
        <w:rPr>
          <w:b/>
        </w:rPr>
        <w:t>Response:</w:t>
      </w:r>
      <w:r>
        <w:t xml:space="preserve"> The manuscript has been edited throughout for grammar, clarity, and technical style. If the journal requires a language certificate, the authors should upload the certificate from their chosen editing service.</w:t>
      </w:r>
    </w:p>
    <w:p>
      <w:pPr>
        <w:spacing w:after="120" w:line="252" w:lineRule="auto"/>
      </w:pPr>
      <w:r>
        <w:rPr>
          <w:b/>
        </w:rPr>
        <w:t>Comment:</w:t>
      </w:r>
      <w:r>
        <w:t xml:space="preserve"> Abstract format</w:t>
      </w:r>
    </w:p>
    <w:p>
      <w:pPr>
        <w:spacing w:after="120" w:line="252" w:lineRule="auto"/>
      </w:pPr>
      <w:r>
        <w:rPr>
          <w:b/>
        </w:rPr>
        <w:t>Response:</w:t>
      </w:r>
      <w:r>
        <w:t xml:space="preserve"> The abstract has been revised as a single structured paragraph covering Objectives, Methods and analysis, Findings, and Novelty and improvement.</w:t>
      </w:r>
    </w:p>
    <w:p>
      <w:pPr>
        <w:spacing w:after="120" w:line="252" w:lineRule="auto"/>
      </w:pPr>
      <w:r>
        <w:rPr>
          <w:b/>
        </w:rPr>
        <w:t>Comment:</w:t>
      </w:r>
      <w:r>
        <w:t xml:space="preserve"> Introduction and literature gap</w:t>
      </w:r>
    </w:p>
    <w:p>
      <w:pPr>
        <w:spacing w:after="120" w:line="252" w:lineRule="auto"/>
      </w:pPr>
      <w:r>
        <w:rPr>
          <w:b/>
        </w:rPr>
        <w:t>Response:</w:t>
      </w:r>
      <w:r>
        <w:t xml:space="preserve"> The introduction now explains the gap around dynamic heterogeneous scheduling, trace derived arrivals, and robustness validation.</w:t>
      </w:r>
    </w:p>
    <w:p>
      <w:pPr>
        <w:spacing w:after="120" w:line="252" w:lineRule="auto"/>
      </w:pPr>
      <w:r>
        <w:rPr>
          <w:b/>
        </w:rPr>
        <w:t>Comment:</w:t>
      </w:r>
      <w:r>
        <w:t xml:space="preserve"> Recent work</w:t>
      </w:r>
    </w:p>
    <w:p>
      <w:pPr>
        <w:spacing w:after="120" w:line="252" w:lineRule="auto"/>
      </w:pPr>
      <w:r>
        <w:rPr>
          <w:b/>
        </w:rPr>
        <w:t>Response:</w:t>
      </w:r>
      <w:r>
        <w:t xml:space="preserve"> Six recent 2025-2026 references have been added to the related work and reference list.</w:t>
      </w:r>
    </w:p>
    <w:p>
      <w:pPr>
        <w:spacing w:after="120" w:line="252" w:lineRule="auto"/>
      </w:pPr>
      <w:r>
        <w:rPr>
          <w:b/>
        </w:rPr>
        <w:t>Comment:</w:t>
      </w:r>
      <w:r>
        <w:t xml:space="preserve"> Figure quality</w:t>
      </w:r>
    </w:p>
    <w:p>
      <w:pPr>
        <w:spacing w:after="120" w:line="252" w:lineRule="auto"/>
      </w:pPr>
      <w:r>
        <w:rPr>
          <w:b/>
        </w:rPr>
        <w:t>Response:</w:t>
      </w:r>
      <w:r>
        <w:t xml:space="preserve"> Figures have been regenerated from the experiment outputs and included in the revised Word manuscript.</w:t>
      </w:r>
    </w:p>
    <w:p>
      <w:pPr>
        <w:spacing w:after="120" w:line="252" w:lineRule="auto"/>
      </w:pPr>
      <w:r>
        <w:rPr>
          <w:b/>
        </w:rPr>
        <w:t>Comment:</w:t>
      </w:r>
      <w:r>
        <w:t xml:space="preserve"> Results explanation</w:t>
      </w:r>
    </w:p>
    <w:p>
      <w:pPr>
        <w:spacing w:after="120" w:line="252" w:lineRule="auto"/>
      </w:pPr>
      <w:r>
        <w:rPr>
          <w:b/>
        </w:rPr>
        <w:t>Response:</w:t>
      </w:r>
      <w:r>
        <w:t xml:space="preserve"> The results now discuss trade offs instead of claiming universal dominance. Improvements and regressions are reported transparently.</w:t>
      </w:r>
    </w:p>
    <w:p>
      <w:pPr>
        <w:spacing w:after="120" w:line="252" w:lineRule="auto"/>
      </w:pPr>
      <w:r>
        <w:rPr>
          <w:b/>
        </w:rPr>
        <w:t>Comment:</w:t>
      </w:r>
      <w:r>
        <w:t xml:space="preserve"> Comparison with previous studies</w:t>
      </w:r>
    </w:p>
    <w:p>
      <w:pPr>
        <w:spacing w:after="120" w:line="252" w:lineRule="auto"/>
      </w:pPr>
      <w:r>
        <w:rPr>
          <w:b/>
        </w:rPr>
        <w:t>Response:</w:t>
      </w:r>
      <w:r>
        <w:t xml:space="preserve"> The invalid direct SLR comparison with Li and Chen has been removed and replaced with a qualitative comparison.</w:t>
      </w:r>
    </w:p>
    <w:p>
      <w:pPr>
        <w:spacing w:after="120" w:line="252" w:lineRule="auto"/>
      </w:pPr>
      <w:r>
        <w:rPr>
          <w:b/>
        </w:rPr>
        <w:t>Comment:</w:t>
      </w:r>
      <w:r>
        <w:t xml:space="preserve"> Conclusion</w:t>
      </w:r>
    </w:p>
    <w:p>
      <w:pPr>
        <w:spacing w:after="120" w:line="252" w:lineRule="auto"/>
      </w:pPr>
      <w:r>
        <w:rPr>
          <w:b/>
        </w:rPr>
        <w:t>Response:</w:t>
      </w:r>
      <w:r>
        <w:t xml:space="preserve"> The conclusion has been rewritten to summarize the corrected objective, findings, limitations, robustness results, and future work.</w:t>
      </w:r>
    </w:p>
    <w:p>
      <w:pPr>
        <w:spacing w:after="120" w:line="252" w:lineRule="auto"/>
      </w:pPr>
      <w:r>
        <w:rPr>
          <w:b/>
        </w:rPr>
        <w:t>Comment:</w:t>
      </w:r>
      <w:r>
        <w:t xml:space="preserve"> Figures and symbols</w:t>
      </w:r>
    </w:p>
    <w:p>
      <w:pPr>
        <w:spacing w:after="120" w:line="252" w:lineRule="auto"/>
      </w:pPr>
      <w:r>
        <w:rPr>
          <w:b/>
        </w:rPr>
        <w:t>Response:</w:t>
      </w:r>
      <w:r>
        <w:t xml:space="preserve"> All figures and charts are cited in the manuscript text, and a notation table has been added.</w:t>
      </w:r>
    </w:p>
    <w:p>
      <w:pPr>
        <w:spacing w:after="120" w:line="252" w:lineRule="auto"/>
      </w:pPr>
      <w:r>
        <w:rPr>
          <w:b/>
        </w:rPr>
        <w:t>Comment:</w:t>
      </w:r>
      <w:r>
        <w:t xml:space="preserve"> References and format</w:t>
      </w:r>
    </w:p>
    <w:p>
      <w:pPr>
        <w:spacing w:after="120" w:line="252" w:lineRule="auto"/>
      </w:pPr>
      <w:r>
        <w:rPr>
          <w:b/>
        </w:rPr>
        <w:t>Response:</w:t>
      </w:r>
      <w:r>
        <w:t xml:space="preserve"> References have been numbered sequentially and the manuscript has been prepared as a Word file.</w:t>
      </w:r>
    </w:p>
    <w:p>
      <w:pPr>
        <w:pStyle w:val="Heading1"/>
        <w:spacing w:before="160" w:after="80"/>
      </w:pPr>
      <w:r>
        <w:t>Reviewer 3</w:t>
      </w:r>
    </w:p>
    <w:p>
      <w:pPr>
        <w:spacing w:after="120" w:line="252" w:lineRule="auto"/>
      </w:pPr>
      <w:r>
        <w:rPr>
          <w:b/>
        </w:rPr>
        <w:t>Comment:</w:t>
      </w:r>
      <w:r>
        <w:t xml:space="preserve"> Six objectives</w:t>
      </w:r>
    </w:p>
    <w:p>
      <w:pPr>
        <w:spacing w:after="120" w:line="252" w:lineRule="auto"/>
      </w:pPr>
      <w:r>
        <w:rPr>
          <w:b/>
        </w:rPr>
        <w:t>Response:</w:t>
      </w:r>
      <w:r>
        <w:t xml:space="preserve"> The revised fitness function includes AvgCT, P95, makespan, load variance, failure rate, and SLR directly.</w:t>
      </w:r>
    </w:p>
    <w:p>
      <w:pPr>
        <w:spacing w:after="120" w:line="252" w:lineRule="auto"/>
      </w:pPr>
      <w:r>
        <w:rPr>
          <w:b/>
        </w:rPr>
        <w:t>Comment:</w:t>
      </w:r>
      <w:r>
        <w:t xml:space="preserve"> Coefficient rationale</w:t>
      </w:r>
    </w:p>
    <w:p>
      <w:pPr>
        <w:spacing w:after="120" w:line="252" w:lineRule="auto"/>
      </w:pPr>
      <w:r>
        <w:rPr>
          <w:b/>
        </w:rPr>
        <w:t>Response:</w:t>
      </w:r>
      <w:r>
        <w:t xml:space="preserve"> A coefficient sensitivity analysis was added and run on the real Alibaba trace sample.</w:t>
      </w:r>
    </w:p>
    <w:p>
      <w:pPr>
        <w:spacing w:after="120" w:line="252" w:lineRule="auto"/>
      </w:pPr>
      <w:r>
        <w:rPr>
          <w:b/>
        </w:rPr>
        <w:t>Comment:</w:t>
      </w:r>
      <w:r>
        <w:t xml:space="preserve"> MECT normalization</w:t>
      </w:r>
    </w:p>
    <w:p>
      <w:pPr>
        <w:spacing w:after="120" w:line="252" w:lineRule="auto"/>
      </w:pPr>
      <w:r>
        <w:rPr>
          <w:b/>
        </w:rPr>
        <w:t>Response:</w:t>
      </w:r>
      <w:r>
        <w:t xml:space="preserve"> MECT metrics are generated once and reused consistently through set_baselines_from_metrics.</w:t>
      </w:r>
    </w:p>
    <w:p>
      <w:pPr>
        <w:spacing w:after="120" w:line="252" w:lineRule="auto"/>
      </w:pPr>
      <w:r>
        <w:rPr>
          <w:b/>
        </w:rPr>
        <w:t>Comment:</w:t>
      </w:r>
      <w:r>
        <w:t xml:space="preserve"> SLR definition</w:t>
      </w:r>
    </w:p>
    <w:p>
      <w:pPr>
        <w:spacing w:after="120" w:line="252" w:lineRule="auto"/>
      </w:pPr>
      <w:r>
        <w:rPr>
          <w:b/>
        </w:rPr>
        <w:t>Response:</w:t>
      </w:r>
      <w:r>
        <w:t xml:space="preserve"> SLR now uses a parallel lower bound rather than a serial sum of fastest task times.</w:t>
      </w:r>
    </w:p>
    <w:p>
      <w:pPr>
        <w:spacing w:after="120" w:line="252" w:lineRule="auto"/>
      </w:pPr>
      <w:r>
        <w:rPr>
          <w:b/>
        </w:rPr>
        <w:t>Comment:</w:t>
      </w:r>
      <w:r>
        <w:t xml:space="preserve"> Li and Chen comparison</w:t>
      </w:r>
    </w:p>
    <w:p>
      <w:pPr>
        <w:spacing w:after="120" w:line="252" w:lineRule="auto"/>
      </w:pPr>
      <w:r>
        <w:rPr>
          <w:b/>
        </w:rPr>
        <w:t>Response:</w:t>
      </w:r>
      <w:r>
        <w:t xml:space="preserve"> The direct numerical SLR comparison has been removed because the definitions are not methodologically comparable.</w:t>
      </w:r>
    </w:p>
    <w:p>
      <w:pPr>
        <w:spacing w:after="120" w:line="252" w:lineRule="auto"/>
      </w:pPr>
      <w:r>
        <w:rPr>
          <w:b/>
        </w:rPr>
        <w:t>Comment:</w:t>
      </w:r>
      <w:r>
        <w:t xml:space="preserve"> Negative weights</w:t>
      </w:r>
    </w:p>
    <w:p>
      <w:pPr>
        <w:spacing w:after="120" w:line="252" w:lineRule="auto"/>
      </w:pPr>
      <w:r>
        <w:rPr>
          <w:b/>
        </w:rPr>
        <w:t>Response:</w:t>
      </w:r>
      <w:r>
        <w:t xml:space="preserve"> The weight search range is now [0, 5], preserving the intended penalty semantics.</w:t>
      </w:r>
    </w:p>
    <w:p>
      <w:pPr>
        <w:spacing w:after="120" w:line="252" w:lineRule="auto"/>
      </w:pPr>
      <w:r>
        <w:rPr>
          <w:b/>
        </w:rPr>
        <w:t>Comment:</w:t>
      </w:r>
      <w:r>
        <w:t xml:space="preserve"> Robustness</w:t>
      </w:r>
    </w:p>
    <w:p>
      <w:pPr>
        <w:spacing w:after="120" w:line="252" w:lineRule="auto"/>
      </w:pPr>
      <w:r>
        <w:rPr>
          <w:b/>
        </w:rPr>
        <w:t>Response:</w:t>
      </w:r>
      <w:r>
        <w:t xml:space="preserve"> Robustness tests cover repeated samples, 300/600/1200 second windows, light/heavy workloads, and 10/15/25 node clusters.</w:t>
      </w:r>
    </w:p>
    <w:p>
      <w:pPr>
        <w:pStyle w:val="Heading1"/>
        <w:spacing w:before="160" w:after="80"/>
      </w:pPr>
      <w:r>
        <w:t>Technical Editor</w:t>
      </w:r>
    </w:p>
    <w:p>
      <w:pPr>
        <w:spacing w:after="120" w:line="252" w:lineRule="auto"/>
      </w:pPr>
      <w:r>
        <w:rPr>
          <w:b/>
        </w:rPr>
        <w:t>Comment:</w:t>
      </w:r>
      <w:r>
        <w:t xml:space="preserve"> Word version</w:t>
      </w:r>
    </w:p>
    <w:p>
      <w:pPr>
        <w:spacing w:after="120" w:line="252" w:lineRule="auto"/>
      </w:pPr>
      <w:r>
        <w:rPr>
          <w:b/>
        </w:rPr>
        <w:t>Response:</w:t>
      </w:r>
      <w:r>
        <w:t xml:space="preserve"> A revised Word manuscript is included in the submission package.</w:t>
      </w:r>
    </w:p>
    <w:p>
      <w:pPr>
        <w:spacing w:after="120" w:line="252" w:lineRule="auto"/>
      </w:pPr>
      <w:r>
        <w:rPr>
          <w:b/>
        </w:rPr>
        <w:t>Comment:</w:t>
      </w:r>
      <w:r>
        <w:t xml:space="preserve"> ORCID</w:t>
      </w:r>
    </w:p>
    <w:p>
      <w:pPr>
        <w:spacing w:after="120" w:line="252" w:lineRule="auto"/>
      </w:pPr>
      <w:r>
        <w:rPr>
          <w:b/>
        </w:rPr>
        <w:t>Response:</w:t>
      </w:r>
      <w:r>
        <w:t xml:space="preserve"> At least one author ORCID must be entered by the submitting author in the portal. This field cannot be invented by the assistant.</w:t>
      </w:r>
    </w:p>
    <w:p>
      <w:pPr>
        <w:spacing w:after="120" w:line="252" w:lineRule="auto"/>
      </w:pPr>
      <w:r>
        <w:rPr>
          <w:b/>
        </w:rPr>
        <w:t>Comment:</w:t>
      </w:r>
      <w:r>
        <w:t xml:space="preserve"> Language editing</w:t>
      </w:r>
    </w:p>
    <w:p>
      <w:pPr>
        <w:spacing w:after="120" w:line="252" w:lineRule="auto"/>
      </w:pPr>
      <w:r>
        <w:rPr>
          <w:b/>
        </w:rPr>
        <w:t>Response:</w:t>
      </w:r>
      <w:r>
        <w:t xml:space="preserve"> The revised manuscript has been rewritten and edited throughout for clarity. The authors should check the portal proof and attach a language editing certificate if the journal requires one.</w:t>
      </w:r>
    </w:p>
    <w:sectPr>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