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Cooperative Co Evolution Hybrid Optimization for Dynamic Task Scheduling in Heterogeneous Distributed Systems</w:t>
      </w:r>
    </w:p>
    <w:p>
      <w:pPr>
        <w:spacing w:after="120" w:line="252" w:lineRule="auto"/>
        <w:jc w:val="center"/>
      </w:pPr>
      <w:r>
        <w:t>Divyanshu Kashyap, Om Yadav, and Tejas Joshi</w:t>
      </w:r>
    </w:p>
    <w:p>
      <w:pPr>
        <w:spacing w:after="120" w:line="252" w:lineRule="auto"/>
        <w:jc w:val="center"/>
      </w:pPr>
      <w:r>
        <w:t>Netaji Subhas University of Technology, Delhi, India</w:t>
      </w:r>
    </w:p>
    <w:p>
      <w:pPr>
        <w:pStyle w:val="Heading1"/>
        <w:spacing w:before="160" w:after="80"/>
      </w:pPr>
      <w:r>
        <w:t>Abstract</w:t>
      </w:r>
    </w:p>
    <w:p>
      <w:pPr>
        <w:spacing w:after="120" w:line="252" w:lineRule="auto"/>
      </w:pPr>
      <w:r>
        <w:t>Objectives: This study addresses dynamic task scheduling in heterogeneous distributed systems where task arrivals, queue states, node speeds, communication latency, and failures change over time. Methods and analysis: A policy based scheduler is developed in which six nonnegative weights guide node selection across processing speed, queue workload, network latency, failure probability, available capacity, and execution cost. The weights are optimized using Genetic Algorithm, Particle Swarm Optimization, Differential Evolution, and a Cooperative Co Evolution Hybrid optimizer. Performance is evaluated against Round Robin, Least Loaded, and MECT baselines using average completion time, P95 latency, makespan, load variance, failure rate, throughput, and a revised Schedule Length Ratio based on a parallel lower bound. Findings: On the primary 1000 task Alibaba trace sample, optimized policies reduce average completion time by 14.59 to 21.27 percent and P95 latency by 4.06 to 13.79 percent relative to MECT. Differential Evolution provides the best P95, makespan, SLR, and throughput, while Particle Swarm Optimization provides the best average completion time and failure rate. Novelty and improvement: The work contributes a transparent six objective scheduling formulation, constrained penalty weights that preserve feature semantics, a corrected SLR definition, and robustness testing across samples, arrival windows, workload intensities, and cluster sizes.</w:t>
      </w:r>
    </w:p>
    <w:p>
      <w:pPr>
        <w:spacing w:after="120" w:line="252" w:lineRule="auto"/>
      </w:pPr>
      <w:r>
        <w:t>Keywords: Task scheduling; heterogeneous distributed systems; cooperative co evolution; metaheuristics; Alibaba Cluster Trace; multi objective optimization</w:t>
      </w:r>
    </w:p>
    <w:p>
      <w:pPr>
        <w:pStyle w:val="Heading1"/>
        <w:spacing w:before="160" w:after="80"/>
      </w:pPr>
      <w:r>
        <w:t>1 Introduction</w:t>
      </w:r>
    </w:p>
    <w:p>
      <w:pPr>
        <w:spacing w:after="120" w:line="252" w:lineRule="auto"/>
      </w:pPr>
      <w:r>
        <w:t>Dynamic distributed systems execute workloads whose arrivals, resource needs, queue states, and failure conditions change continuously. Heterogeneous clusters intensify this problem because fast, low latency nodes can reduce completion time but may also concentrate load, while slower or less reliable nodes can damage tail performance. Classical heuristics such as Round Robin and Least Loaded remain attractive because they are simple and inexpensive, but they cannot fully represent the competing objectives that govern modern cloud and edge scheduling.</w:t>
      </w:r>
    </w:p>
    <w:p>
      <w:pPr>
        <w:spacing w:after="120" w:line="252" w:lineRule="auto"/>
      </w:pPr>
      <w:r>
        <w:t>Metaheuristic scheduling methods, including Genetic Algorithm, Particle Swarm Optimization, Differential Evolution, and hybrid approaches, are widely used for search spaces where exact optimization is impractical. However, many studies still rely on static workflow assumptions, synthetic workloads, or narrow objective functions. Recent work in edge and cloud scheduling has increasingly emphasized deep reinforcement learning, SLA awareness, energy and cost trade offs, and real time resource optimization, but the need remains for interpretable scheduling policies that can be tested against trace derived dynamic arrivals [19-24].</w:t>
      </w:r>
    </w:p>
    <w:p>
      <w:pPr>
        <w:spacing w:after="120" w:line="252" w:lineRule="auto"/>
      </w:pPr>
      <w:r>
        <w:t>This paper revises and strengthens the original scheduling framework in three ways. First, the policy search is formulated as a six objective normalized fitness function rather than a four term proxy. Second, all policy weights are constrained to be nonnegative so that penalty features cannot reverse meaning during optimization. Third, SLR is redefined against a parallel lower bound, making it meaningful for independent tasks that execute concurrently. The resulting evaluation is intentionally presented as a trade off analysis rather than a universal dominance claim.</w:t>
      </w:r>
    </w:p>
    <w:p>
      <w:pPr>
        <w:spacing w:after="120" w:line="252" w:lineRule="auto"/>
      </w:pPr>
      <w:r>
        <w:t>The main contributions are: (1) an interpretable six feature policy scheduler for heterogeneous nodes; (2) a corrected six objective fitness function that includes AvgCT, P95, makespan, load variance, failure rate, and SLR; (3) a Cooperative Co Evolution Hybrid optimizer that decomposes the policy vector into throughput, overhead, and reliability subspaces; (4) real Alibaba Cluster Trace 2018 evaluation with reproducible data download and checksum verification; and (5) sensitivity and robustness analyses requested during peer review.</w:t>
      </w:r>
    </w:p>
    <w:p>
      <w:pPr>
        <w:pStyle w:val="Heading1"/>
        <w:spacing w:before="160" w:after="80"/>
      </w:pPr>
      <w:r>
        <w:t>2 Related Work</w:t>
      </w:r>
    </w:p>
    <w:p>
      <w:pPr>
        <w:spacing w:after="120" w:line="252" w:lineRule="auto"/>
      </w:pPr>
      <w:r>
        <w:t>Task scheduling in heterogeneous systems has a long history. HEFT and related list scheduling heuristics provide effective low complexity baselines for workflow scheduling [1-3]. Foundational distributed systems and cloud computing work established the importance of heterogeneity, resource allocation, and scalability [4, 5], while scheduling complexity results explain why large scheduling instances motivate heuristic and metaheuristic approaches [6].</w:t>
      </w:r>
    </w:p>
    <w:p>
      <w:pPr>
        <w:spacing w:after="120" w:line="252" w:lineRule="auto"/>
      </w:pPr>
      <w:r>
        <w:t>Population based metaheuristics such as GA [7, 8], PSO [9], and DE [11] provide flexible search mechanisms for difficult optimization landscapes. Hybrid approaches, including GA PSO and EDA GA variants, can improve exploration and convergence [14, 15]. Cooperative co evolution decomposes a high dimensional search problem into interacting subcomponents and is therefore well suited to weight vectors with functionally distinct groups [16].</w:t>
      </w:r>
    </w:p>
    <w:p>
      <w:pPr>
        <w:spacing w:after="120" w:line="252" w:lineRule="auto"/>
      </w:pPr>
      <w:r>
        <w:t>Recent work has expanded task scheduling research toward edge and cloud continuum environments. Aminu et al. reviewed metaheuristic task scheduling strategies in edge computing [19]. Naeem et al. studied real time job scheduling and resource optimization in edge cloud continuum networks [20]. Zhang and Ou presented reinforcement learning for energy efficient and cost effective cloud edge scheduling [21]. Sravan and Shaik proposed DRL based multi objective scheduling for latency, energy, and SLA objectives [22]. Yamsani and Reddy examined SLA aware deep reinforcement learning for adaptive edge cloud task scheduling [23], while Raju et al. proposed an IntelliScheduler framework based on hybrid deep learning [24]. These studies motivate the revised paper's emphasis on dynamic behavior, multiple objectives, and robustness across workload settings.</w:t>
      </w:r>
    </w:p>
    <w:p>
      <w:pPr>
        <w:pStyle w:val="Heading1"/>
        <w:spacing w:before="160" w:after="80"/>
      </w:pPr>
      <w:r>
        <w:t>3 Methodology</w:t>
      </w:r>
    </w:p>
    <w:p>
      <w:pPr>
        <w:pStyle w:val="Heading2"/>
        <w:spacing w:before="120" w:after="80"/>
      </w:pPr>
      <w:r>
        <w:t>3.1 Dataset And Workload Construction</w:t>
      </w:r>
    </w:p>
    <w:p>
      <w:pPr>
        <w:spacing w:after="120" w:line="252" w:lineRule="auto"/>
      </w:pPr>
      <w:r>
        <w:t>The experiments use the official Alibaba Cluster Trace 2018 batch task file. The downloaded archive was verified with SHA256 value 7c4b32361bd1ec2083647a8f52a6854a03bc125ca5c202652316c499fbf978c6. The raw file contains 14,295,731 task rows. After retaining terminated records and removing invalid start time or CPU entries, 14,058,462 records remain. A 1000 task sample is selected for the main experiment, arrivals are rescaled to a 600 second window, and planned CPU is log normalized into workload units.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5040"/>
        <w:gridCol w:w="5040"/>
      </w:tblGrid>
      <w:tr>
        <w:trPr>
          <w:tblHeader w:val="true"/>
        </w:trPr>
        <w:tc>
          <w:tcPr>
            <w:tcW w:type="dxa" w:w="2880"/>
            <w:shd w:fill="1F4E79"/>
            <w:vAlign w:val="center"/>
          </w:tcPr>
          <w:p>
            <w:pPr>
              <w:jc w:val="center"/>
            </w:pPr>
            <w:r>
              <w:rPr>
                <w:b/>
                <w:color w:val="FFFFFF"/>
                <w:sz w:val="16"/>
              </w:rPr>
              <w:t>Property</w:t>
            </w:r>
          </w:p>
        </w:tc>
        <w:tc>
          <w:tcPr>
            <w:tcW w:type="dxa" w:w="6624"/>
            <w:shd w:fill="1F4E79"/>
            <w:vAlign w:val="center"/>
          </w:tcPr>
          <w:p>
            <w:pPr>
              <w:jc w:val="center"/>
            </w:pPr>
            <w:r>
              <w:rPr>
                <w:b/>
                <w:color w:val="FFFFFF"/>
                <w:sz w:val="16"/>
              </w:rPr>
              <w:t>Value</w:t>
            </w:r>
          </w:p>
        </w:tc>
      </w:tr>
      <w:tr>
        <w:tc>
          <w:tcPr>
            <w:tcW w:type="dxa" w:w="2880"/>
            <w:vAlign w:val="center"/>
          </w:tcPr>
          <w:p>
            <w:pPr>
              <w:jc w:val="left"/>
            </w:pPr>
            <w:r>
              <w:rPr>
                <w:sz w:val="16"/>
              </w:rPr>
              <w:t>Source dataset</w:t>
            </w:r>
          </w:p>
        </w:tc>
        <w:tc>
          <w:tcPr>
            <w:tcW w:type="dxa" w:w="6624"/>
            <w:vAlign w:val="center"/>
          </w:tcPr>
          <w:p>
            <w:pPr>
              <w:jc w:val="center"/>
            </w:pPr>
            <w:r>
              <w:rPr>
                <w:sz w:val="16"/>
              </w:rPr>
              <w:t>Alibaba Cluster Trace 2018 batch_task.csv</w:t>
            </w:r>
          </w:p>
        </w:tc>
      </w:tr>
      <w:tr>
        <w:tc>
          <w:tcPr>
            <w:tcW w:type="dxa" w:w="2880"/>
            <w:vAlign w:val="center"/>
            <w:shd w:fill="F4F8FB"/>
          </w:tcPr>
          <w:p>
            <w:pPr>
              <w:jc w:val="left"/>
            </w:pPr>
            <w:r>
              <w:rPr>
                <w:sz w:val="16"/>
              </w:rPr>
              <w:t>Raw records</w:t>
            </w:r>
          </w:p>
        </w:tc>
        <w:tc>
          <w:tcPr>
            <w:tcW w:type="dxa" w:w="6624"/>
            <w:vAlign w:val="center"/>
            <w:shd w:fill="F4F8FB"/>
          </w:tcPr>
          <w:p>
            <w:pPr>
              <w:jc w:val="center"/>
            </w:pPr>
            <w:r>
              <w:rPr>
                <w:sz w:val="16"/>
              </w:rPr>
              <w:t>14,295,731</w:t>
            </w:r>
          </w:p>
        </w:tc>
      </w:tr>
      <w:tr>
        <w:tc>
          <w:tcPr>
            <w:tcW w:type="dxa" w:w="2880"/>
            <w:vAlign w:val="center"/>
          </w:tcPr>
          <w:p>
            <w:pPr>
              <w:jc w:val="left"/>
            </w:pPr>
            <w:r>
              <w:rPr>
                <w:sz w:val="16"/>
              </w:rPr>
              <w:t>Cleaned records</w:t>
            </w:r>
          </w:p>
        </w:tc>
        <w:tc>
          <w:tcPr>
            <w:tcW w:type="dxa" w:w="6624"/>
            <w:vAlign w:val="center"/>
          </w:tcPr>
          <w:p>
            <w:pPr>
              <w:jc w:val="center"/>
            </w:pPr>
            <w:r>
              <w:rPr>
                <w:sz w:val="16"/>
              </w:rPr>
              <w:t>14,058,462</w:t>
            </w:r>
          </w:p>
        </w:tc>
      </w:tr>
      <w:tr>
        <w:tc>
          <w:tcPr>
            <w:tcW w:type="dxa" w:w="2880"/>
            <w:vAlign w:val="center"/>
            <w:shd w:fill="F4F8FB"/>
          </w:tcPr>
          <w:p>
            <w:pPr>
              <w:jc w:val="left"/>
            </w:pPr>
            <w:r>
              <w:rPr>
                <w:sz w:val="16"/>
              </w:rPr>
              <w:t>Tasks sampled</w:t>
            </w:r>
          </w:p>
        </w:tc>
        <w:tc>
          <w:tcPr>
            <w:tcW w:type="dxa" w:w="6624"/>
            <w:vAlign w:val="center"/>
            <w:shd w:fill="F4F8FB"/>
          </w:tcPr>
          <w:p>
            <w:pPr>
              <w:jc w:val="center"/>
            </w:pPr>
            <w:r>
              <w:rPr>
                <w:sz w:val="16"/>
              </w:rPr>
              <w:t>1,000</w:t>
            </w:r>
          </w:p>
        </w:tc>
      </w:tr>
      <w:tr>
        <w:tc>
          <w:tcPr>
            <w:tcW w:type="dxa" w:w="2880"/>
            <w:vAlign w:val="center"/>
          </w:tcPr>
          <w:p>
            <w:pPr>
              <w:jc w:val="left"/>
            </w:pPr>
            <w:r>
              <w:rPr>
                <w:sz w:val="16"/>
              </w:rPr>
              <w:t>Arrival window</w:t>
            </w:r>
          </w:p>
        </w:tc>
        <w:tc>
          <w:tcPr>
            <w:tcW w:type="dxa" w:w="6624"/>
            <w:vAlign w:val="center"/>
          </w:tcPr>
          <w:p>
            <w:pPr>
              <w:jc w:val="center"/>
            </w:pPr>
            <w:r>
              <w:rPr>
                <w:sz w:val="16"/>
              </w:rPr>
              <w:t>0.0 to 600.0 seconds</w:t>
            </w:r>
          </w:p>
        </w:tc>
      </w:tr>
      <w:tr>
        <w:tc>
          <w:tcPr>
            <w:tcW w:type="dxa" w:w="2880"/>
            <w:vAlign w:val="center"/>
            <w:shd w:fill="F4F8FB"/>
          </w:tcPr>
          <w:p>
            <w:pPr>
              <w:jc w:val="left"/>
            </w:pPr>
            <w:r>
              <w:rPr>
                <w:sz w:val="16"/>
              </w:rPr>
              <w:t>Workload range</w:t>
            </w:r>
          </w:p>
        </w:tc>
        <w:tc>
          <w:tcPr>
            <w:tcW w:type="dxa" w:w="6624"/>
            <w:vAlign w:val="center"/>
            <w:shd w:fill="F4F8FB"/>
          </w:tcPr>
          <w:p>
            <w:pPr>
              <w:jc w:val="center"/>
            </w:pPr>
            <w:r>
              <w:rPr>
                <w:sz w:val="16"/>
              </w:rPr>
              <w:t>10.0 to 84.4 units</w:t>
            </w:r>
          </w:p>
        </w:tc>
      </w:tr>
      <w:tr>
        <w:tc>
          <w:tcPr>
            <w:tcW w:type="dxa" w:w="2880"/>
            <w:vAlign w:val="center"/>
          </w:tcPr>
          <w:p>
            <w:pPr>
              <w:jc w:val="left"/>
            </w:pPr>
            <w:r>
              <w:rPr>
                <w:sz w:val="16"/>
              </w:rPr>
              <w:t>Workload mean</w:t>
            </w:r>
          </w:p>
        </w:tc>
        <w:tc>
          <w:tcPr>
            <w:tcW w:type="dxa" w:w="6624"/>
            <w:vAlign w:val="center"/>
          </w:tcPr>
          <w:p>
            <w:pPr>
              <w:jc w:val="center"/>
            </w:pPr>
            <w:r>
              <w:rPr>
                <w:sz w:val="16"/>
              </w:rPr>
              <w:t>54.72 units</w:t>
            </w:r>
          </w:p>
        </w:tc>
      </w:tr>
      <w:tr>
        <w:tc>
          <w:tcPr>
            <w:tcW w:type="dxa" w:w="2880"/>
            <w:vAlign w:val="center"/>
            <w:shd w:fill="F4F8FB"/>
          </w:tcPr>
          <w:p>
            <w:pPr>
              <w:jc w:val="left"/>
            </w:pPr>
            <w:r>
              <w:rPr>
                <w:sz w:val="16"/>
              </w:rPr>
              <w:t>Archive SHA256</w:t>
            </w:r>
          </w:p>
        </w:tc>
        <w:tc>
          <w:tcPr>
            <w:tcW w:type="dxa" w:w="6624"/>
            <w:vAlign w:val="center"/>
            <w:shd w:fill="F4F8FB"/>
          </w:tcPr>
          <w:p>
            <w:pPr>
              <w:jc w:val="center"/>
            </w:pPr>
            <w:r>
              <w:rPr>
                <w:sz w:val="16"/>
              </w:rPr>
              <w:t>7c4b32361bd1ec2083647a8f52a6854a03bc125ca5c202652316c499fbf978c6</w:t>
            </w:r>
          </w:p>
        </w:tc>
      </w:tr>
    </w:tbl>
    <w:p/>
    <w:p>
      <w:pPr>
        <w:pStyle w:val="Heading2"/>
        <w:spacing w:before="120" w:after="80"/>
      </w:pPr>
      <w:r>
        <w:t>3.2 Simulation Environment</w:t>
      </w:r>
    </w:p>
    <w:p>
      <w:pPr>
        <w:spacing w:after="120" w:line="252" w:lineRule="auto"/>
      </w:pPr>
      <w:r>
        <w:t>The simulated cluster contains 15 heterogeneous nodes distributed across high, medium, and low performance tiers. Node speeds, communication latencies, and failure probabilities are sampled from tier specific ranges using fixed random seeds. The default tier structure is five high performance nodes, seven medium performance nodes, and three low performance nodes.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2016"/>
        <w:gridCol w:w="2016"/>
        <w:gridCol w:w="2016"/>
        <w:gridCol w:w="2016"/>
        <w:gridCol w:w="2016"/>
      </w:tblGrid>
      <w:tr>
        <w:trPr>
          <w:tblHeader w:val="true"/>
        </w:trPr>
        <w:tc>
          <w:tcPr>
            <w:tcW w:type="dxa" w:w="1440"/>
            <w:shd w:fill="1F4E79"/>
            <w:vAlign w:val="center"/>
          </w:tcPr>
          <w:p>
            <w:pPr>
              <w:jc w:val="center"/>
            </w:pPr>
            <w:r>
              <w:rPr>
                <w:b/>
                <w:color w:val="FFFFFF"/>
                <w:sz w:val="17"/>
              </w:rPr>
              <w:t>Tier</w:t>
            </w:r>
          </w:p>
        </w:tc>
        <w:tc>
          <w:tcPr>
            <w:tcW w:type="dxa" w:w="1152"/>
            <w:shd w:fill="1F4E79"/>
            <w:vAlign w:val="center"/>
          </w:tcPr>
          <w:p>
            <w:pPr>
              <w:jc w:val="center"/>
            </w:pPr>
            <w:r>
              <w:rPr>
                <w:b/>
                <w:color w:val="FFFFFF"/>
                <w:sz w:val="17"/>
              </w:rPr>
              <w:t>Nodes</w:t>
            </w:r>
          </w:p>
        </w:tc>
        <w:tc>
          <w:tcPr>
            <w:tcW w:type="dxa" w:w="2160"/>
            <w:shd w:fill="1F4E79"/>
            <w:vAlign w:val="center"/>
          </w:tcPr>
          <w:p>
            <w:pPr>
              <w:jc w:val="center"/>
            </w:pPr>
            <w:r>
              <w:rPr>
                <w:b/>
                <w:color w:val="FFFFFF"/>
                <w:sz w:val="17"/>
              </w:rPr>
              <w:t>Speed range</w:t>
            </w:r>
          </w:p>
        </w:tc>
        <w:tc>
          <w:tcPr>
            <w:tcW w:type="dxa" w:w="2160"/>
            <w:shd w:fill="1F4E79"/>
            <w:vAlign w:val="center"/>
          </w:tcPr>
          <w:p>
            <w:pPr>
              <w:jc w:val="center"/>
            </w:pPr>
            <w:r>
              <w:rPr>
                <w:b/>
                <w:color w:val="FFFFFF"/>
                <w:sz w:val="17"/>
              </w:rPr>
              <w:t>Latency range</w:t>
            </w:r>
          </w:p>
        </w:tc>
        <w:tc>
          <w:tcPr>
            <w:tcW w:type="dxa" w:w="2448"/>
            <w:shd w:fill="1F4E79"/>
            <w:vAlign w:val="center"/>
          </w:tcPr>
          <w:p>
            <w:pPr>
              <w:jc w:val="center"/>
            </w:pPr>
            <w:r>
              <w:rPr>
                <w:b/>
                <w:color w:val="FFFFFF"/>
                <w:sz w:val="17"/>
              </w:rPr>
              <w:t>Failure probability</w:t>
            </w:r>
          </w:p>
        </w:tc>
      </w:tr>
      <w:tr>
        <w:tc>
          <w:tcPr>
            <w:tcW w:type="dxa" w:w="1440"/>
            <w:vAlign w:val="center"/>
          </w:tcPr>
          <w:p>
            <w:pPr>
              <w:jc w:val="left"/>
            </w:pPr>
            <w:r>
              <w:rPr>
                <w:sz w:val="17"/>
              </w:rPr>
              <w:t>High</w:t>
            </w:r>
          </w:p>
        </w:tc>
        <w:tc>
          <w:tcPr>
            <w:tcW w:type="dxa" w:w="1152"/>
            <w:vAlign w:val="center"/>
          </w:tcPr>
          <w:p>
            <w:pPr>
              <w:jc w:val="center"/>
            </w:pPr>
            <w:r>
              <w:rPr>
                <w:sz w:val="17"/>
              </w:rPr>
              <w:t>5</w:t>
            </w:r>
          </w:p>
        </w:tc>
        <w:tc>
          <w:tcPr>
            <w:tcW w:type="dxa" w:w="2160"/>
            <w:vAlign w:val="center"/>
          </w:tcPr>
          <w:p>
            <w:pPr>
              <w:jc w:val="center"/>
            </w:pPr>
            <w:r>
              <w:rPr>
                <w:sz w:val="17"/>
              </w:rPr>
              <w:t>8 to 12 units/s</w:t>
            </w:r>
          </w:p>
        </w:tc>
        <w:tc>
          <w:tcPr>
            <w:tcW w:type="dxa" w:w="2160"/>
            <w:vAlign w:val="center"/>
          </w:tcPr>
          <w:p>
            <w:pPr>
              <w:jc w:val="center"/>
            </w:pPr>
            <w:r>
              <w:rPr>
                <w:sz w:val="17"/>
              </w:rPr>
              <w:t>5 to 20 ms</w:t>
            </w:r>
          </w:p>
        </w:tc>
        <w:tc>
          <w:tcPr>
            <w:tcW w:type="dxa" w:w="2448"/>
            <w:vAlign w:val="center"/>
          </w:tcPr>
          <w:p>
            <w:pPr>
              <w:jc w:val="center"/>
            </w:pPr>
            <w:r>
              <w:rPr>
                <w:sz w:val="17"/>
              </w:rPr>
              <w:t>0.00 to 0.01</w:t>
            </w:r>
          </w:p>
        </w:tc>
      </w:tr>
      <w:tr>
        <w:tc>
          <w:tcPr>
            <w:tcW w:type="dxa" w:w="1440"/>
            <w:vAlign w:val="center"/>
            <w:shd w:fill="F4F8FB"/>
          </w:tcPr>
          <w:p>
            <w:pPr>
              <w:jc w:val="left"/>
            </w:pPr>
            <w:r>
              <w:rPr>
                <w:sz w:val="17"/>
              </w:rPr>
              <w:t>Medium</w:t>
            </w:r>
          </w:p>
        </w:tc>
        <w:tc>
          <w:tcPr>
            <w:tcW w:type="dxa" w:w="1152"/>
            <w:vAlign w:val="center"/>
            <w:shd w:fill="F4F8FB"/>
          </w:tcPr>
          <w:p>
            <w:pPr>
              <w:jc w:val="center"/>
            </w:pPr>
            <w:r>
              <w:rPr>
                <w:sz w:val="17"/>
              </w:rPr>
              <w:t>7</w:t>
            </w:r>
          </w:p>
        </w:tc>
        <w:tc>
          <w:tcPr>
            <w:tcW w:type="dxa" w:w="2160"/>
            <w:vAlign w:val="center"/>
            <w:shd w:fill="F4F8FB"/>
          </w:tcPr>
          <w:p>
            <w:pPr>
              <w:jc w:val="center"/>
            </w:pPr>
            <w:r>
              <w:rPr>
                <w:sz w:val="17"/>
              </w:rPr>
              <w:t>4 to 8 units/s</w:t>
            </w:r>
          </w:p>
        </w:tc>
        <w:tc>
          <w:tcPr>
            <w:tcW w:type="dxa" w:w="2160"/>
            <w:vAlign w:val="center"/>
            <w:shd w:fill="F4F8FB"/>
          </w:tcPr>
          <w:p>
            <w:pPr>
              <w:jc w:val="center"/>
            </w:pPr>
            <w:r>
              <w:rPr>
                <w:sz w:val="17"/>
              </w:rPr>
              <w:t>15 to 40 ms</w:t>
            </w:r>
          </w:p>
        </w:tc>
        <w:tc>
          <w:tcPr>
            <w:tcW w:type="dxa" w:w="2448"/>
            <w:vAlign w:val="center"/>
            <w:shd w:fill="F4F8FB"/>
          </w:tcPr>
          <w:p>
            <w:pPr>
              <w:jc w:val="center"/>
            </w:pPr>
            <w:r>
              <w:rPr>
                <w:sz w:val="17"/>
              </w:rPr>
              <w:t>0.01 to 0.03</w:t>
            </w:r>
          </w:p>
        </w:tc>
      </w:tr>
      <w:tr>
        <w:tc>
          <w:tcPr>
            <w:tcW w:type="dxa" w:w="1440"/>
            <w:vAlign w:val="center"/>
          </w:tcPr>
          <w:p>
            <w:pPr>
              <w:jc w:val="left"/>
            </w:pPr>
            <w:r>
              <w:rPr>
                <w:sz w:val="17"/>
              </w:rPr>
              <w:t>Low</w:t>
            </w:r>
          </w:p>
        </w:tc>
        <w:tc>
          <w:tcPr>
            <w:tcW w:type="dxa" w:w="1152"/>
            <w:vAlign w:val="center"/>
          </w:tcPr>
          <w:p>
            <w:pPr>
              <w:jc w:val="center"/>
            </w:pPr>
            <w:r>
              <w:rPr>
                <w:sz w:val="17"/>
              </w:rPr>
              <w:t>3</w:t>
            </w:r>
          </w:p>
        </w:tc>
        <w:tc>
          <w:tcPr>
            <w:tcW w:type="dxa" w:w="2160"/>
            <w:vAlign w:val="center"/>
          </w:tcPr>
          <w:p>
            <w:pPr>
              <w:jc w:val="center"/>
            </w:pPr>
            <w:r>
              <w:rPr>
                <w:sz w:val="17"/>
              </w:rPr>
              <w:t>2 to 4 units/s</w:t>
            </w:r>
          </w:p>
        </w:tc>
        <w:tc>
          <w:tcPr>
            <w:tcW w:type="dxa" w:w="2160"/>
            <w:vAlign w:val="center"/>
          </w:tcPr>
          <w:p>
            <w:pPr>
              <w:jc w:val="center"/>
            </w:pPr>
            <w:r>
              <w:rPr>
                <w:sz w:val="17"/>
              </w:rPr>
              <w:t>30 to 60 ms</w:t>
            </w:r>
          </w:p>
        </w:tc>
        <w:tc>
          <w:tcPr>
            <w:tcW w:type="dxa" w:w="2448"/>
            <w:vAlign w:val="center"/>
          </w:tcPr>
          <w:p>
            <w:pPr>
              <w:jc w:val="center"/>
            </w:pPr>
            <w:r>
              <w:rPr>
                <w:sz w:val="17"/>
              </w:rPr>
              <w:t>0.02 to 0.05</w:t>
            </w:r>
          </w:p>
        </w:tc>
      </w:tr>
    </w:tbl>
    <w:p/>
    <w:p>
      <w:pPr>
        <w:spacing w:after="120" w:line="252" w:lineRule="auto"/>
      </w:pPr>
      <w:r>
        <w:t>Queue workload is updated continuously as Q_j(t) = max(0, Q_j(t-1) - delta_t s_j), where s_j is the processing speed of node j. Completion time is CT_ij = latency_j/1000 + workload_i/s_j + Q_j/s_j. Failed tasks are retried up to two times with a short delay and are then assigned to the least loaded node if all retries fail.</w:t>
      </w:r>
    </w:p>
    <w:p>
      <w:pPr>
        <w:pStyle w:val="Heading2"/>
        <w:spacing w:before="120" w:after="80"/>
      </w:pPr>
      <w:r>
        <w:t>3.3 Policy Scheduler</w:t>
      </w:r>
    </w:p>
    <w:p>
      <w:pPr>
        <w:spacing w:after="120" w:line="252" w:lineRule="auto"/>
      </w:pPr>
      <w:r>
        <w:t>For each arriving task, the policy scheduler scores every node using six normalized features. The selected node is the node with the highest score.</w:t>
      </w:r>
    </w:p>
    <w:p>
      <w:pPr>
        <w:spacing w:after="120" w:line="252" w:lineRule="auto"/>
      </w:pPr>
      <w:r>
        <w:t>Score_j = w1 speed_j - w2 queue_j - w3 latency_j - w4 failure_j + w5 capacity_j - w6 cost_j</w:t>
      </w:r>
    </w:p>
    <w:p>
      <w:pPr>
        <w:spacing w:after="120" w:line="252" w:lineRule="auto"/>
      </w:pPr>
      <w:r>
        <w:t>The optimizer searches W = [w1, w2, w3, w4, w5, w6] within [0, 5]^6. Nonnegative weights preserve feature semantics: speed and capacity are rewards, while queue, latency, failure probability, and execution cost remain penalties.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3360"/>
        <w:gridCol w:w="3360"/>
        <w:gridCol w:w="3360"/>
      </w:tblGrid>
      <w:tr>
        <w:trPr>
          <w:tblHeader w:val="true"/>
        </w:trPr>
        <w:tc>
          <w:tcPr>
            <w:tcW w:type="dxa" w:w="1152"/>
            <w:shd w:fill="1F4E79"/>
            <w:vAlign w:val="center"/>
          </w:tcPr>
          <w:p>
            <w:pPr>
              <w:jc w:val="center"/>
            </w:pPr>
            <w:r>
              <w:rPr>
                <w:b/>
                <w:color w:val="FFFFFF"/>
                <w:sz w:val="17"/>
              </w:rPr>
              <w:t>Weight</w:t>
            </w:r>
          </w:p>
        </w:tc>
        <w:tc>
          <w:tcPr>
            <w:tcW w:type="dxa" w:w="3600"/>
            <w:shd w:fill="1F4E79"/>
            <w:vAlign w:val="center"/>
          </w:tcPr>
          <w:p>
            <w:pPr>
              <w:jc w:val="center"/>
            </w:pPr>
            <w:r>
              <w:rPr>
                <w:b/>
                <w:color w:val="FFFFFF"/>
                <w:sz w:val="17"/>
              </w:rPr>
              <w:t>Feature</w:t>
            </w:r>
          </w:p>
        </w:tc>
        <w:tc>
          <w:tcPr>
            <w:tcW w:type="dxa" w:w="1728"/>
            <w:shd w:fill="1F4E79"/>
            <w:vAlign w:val="center"/>
          </w:tcPr>
          <w:p>
            <w:pPr>
              <w:jc w:val="center"/>
            </w:pPr>
            <w:r>
              <w:rPr>
                <w:b/>
                <w:color w:val="FFFFFF"/>
                <w:sz w:val="17"/>
              </w:rPr>
              <w:t>Role</w:t>
            </w:r>
          </w:p>
        </w:tc>
      </w:tr>
      <w:tr>
        <w:tc>
          <w:tcPr>
            <w:tcW w:type="dxa" w:w="1152"/>
            <w:vAlign w:val="center"/>
          </w:tcPr>
          <w:p>
            <w:pPr>
              <w:jc w:val="left"/>
            </w:pPr>
            <w:r>
              <w:rPr>
                <w:sz w:val="17"/>
              </w:rPr>
              <w:t>w1</w:t>
            </w:r>
          </w:p>
        </w:tc>
        <w:tc>
          <w:tcPr>
            <w:tcW w:type="dxa" w:w="3600"/>
            <w:vAlign w:val="center"/>
          </w:tcPr>
          <w:p>
            <w:pPr>
              <w:jc w:val="center"/>
            </w:pPr>
            <w:r>
              <w:rPr>
                <w:sz w:val="17"/>
              </w:rPr>
              <w:t>Processing speed</w:t>
            </w:r>
          </w:p>
        </w:tc>
        <w:tc>
          <w:tcPr>
            <w:tcW w:type="dxa" w:w="1728"/>
            <w:vAlign w:val="center"/>
          </w:tcPr>
          <w:p>
            <w:pPr>
              <w:jc w:val="center"/>
            </w:pPr>
            <w:r>
              <w:rPr>
                <w:sz w:val="17"/>
              </w:rPr>
              <w:t>Reward</w:t>
            </w:r>
          </w:p>
        </w:tc>
      </w:tr>
      <w:tr>
        <w:tc>
          <w:tcPr>
            <w:tcW w:type="dxa" w:w="1152"/>
            <w:vAlign w:val="center"/>
            <w:shd w:fill="F4F8FB"/>
          </w:tcPr>
          <w:p>
            <w:pPr>
              <w:jc w:val="left"/>
            </w:pPr>
            <w:r>
              <w:rPr>
                <w:sz w:val="17"/>
              </w:rPr>
              <w:t>w2</w:t>
            </w:r>
          </w:p>
        </w:tc>
        <w:tc>
          <w:tcPr>
            <w:tcW w:type="dxa" w:w="3600"/>
            <w:vAlign w:val="center"/>
            <w:shd w:fill="F4F8FB"/>
          </w:tcPr>
          <w:p>
            <w:pPr>
              <w:jc w:val="center"/>
            </w:pPr>
            <w:r>
              <w:rPr>
                <w:sz w:val="17"/>
              </w:rPr>
              <w:t>Queue workload</w:t>
            </w:r>
          </w:p>
        </w:tc>
        <w:tc>
          <w:tcPr>
            <w:tcW w:type="dxa" w:w="1728"/>
            <w:vAlign w:val="center"/>
            <w:shd w:fill="F4F8FB"/>
          </w:tcPr>
          <w:p>
            <w:pPr>
              <w:jc w:val="center"/>
            </w:pPr>
            <w:r>
              <w:rPr>
                <w:sz w:val="17"/>
              </w:rPr>
              <w:t>Penalty</w:t>
            </w:r>
          </w:p>
        </w:tc>
      </w:tr>
      <w:tr>
        <w:tc>
          <w:tcPr>
            <w:tcW w:type="dxa" w:w="1152"/>
            <w:vAlign w:val="center"/>
          </w:tcPr>
          <w:p>
            <w:pPr>
              <w:jc w:val="left"/>
            </w:pPr>
            <w:r>
              <w:rPr>
                <w:sz w:val="17"/>
              </w:rPr>
              <w:t>w3</w:t>
            </w:r>
          </w:p>
        </w:tc>
        <w:tc>
          <w:tcPr>
            <w:tcW w:type="dxa" w:w="3600"/>
            <w:vAlign w:val="center"/>
          </w:tcPr>
          <w:p>
            <w:pPr>
              <w:jc w:val="center"/>
            </w:pPr>
            <w:r>
              <w:rPr>
                <w:sz w:val="17"/>
              </w:rPr>
              <w:t>Network latency</w:t>
            </w:r>
          </w:p>
        </w:tc>
        <w:tc>
          <w:tcPr>
            <w:tcW w:type="dxa" w:w="1728"/>
            <w:vAlign w:val="center"/>
          </w:tcPr>
          <w:p>
            <w:pPr>
              <w:jc w:val="center"/>
            </w:pPr>
            <w:r>
              <w:rPr>
                <w:sz w:val="17"/>
              </w:rPr>
              <w:t>Penalty</w:t>
            </w:r>
          </w:p>
        </w:tc>
      </w:tr>
      <w:tr>
        <w:tc>
          <w:tcPr>
            <w:tcW w:type="dxa" w:w="1152"/>
            <w:vAlign w:val="center"/>
            <w:shd w:fill="F4F8FB"/>
          </w:tcPr>
          <w:p>
            <w:pPr>
              <w:jc w:val="left"/>
            </w:pPr>
            <w:r>
              <w:rPr>
                <w:sz w:val="17"/>
              </w:rPr>
              <w:t>w4</w:t>
            </w:r>
          </w:p>
        </w:tc>
        <w:tc>
          <w:tcPr>
            <w:tcW w:type="dxa" w:w="3600"/>
            <w:vAlign w:val="center"/>
            <w:shd w:fill="F4F8FB"/>
          </w:tcPr>
          <w:p>
            <w:pPr>
              <w:jc w:val="center"/>
            </w:pPr>
            <w:r>
              <w:rPr>
                <w:sz w:val="17"/>
              </w:rPr>
              <w:t>Failure probability</w:t>
            </w:r>
          </w:p>
        </w:tc>
        <w:tc>
          <w:tcPr>
            <w:tcW w:type="dxa" w:w="1728"/>
            <w:vAlign w:val="center"/>
            <w:shd w:fill="F4F8FB"/>
          </w:tcPr>
          <w:p>
            <w:pPr>
              <w:jc w:val="center"/>
            </w:pPr>
            <w:r>
              <w:rPr>
                <w:sz w:val="17"/>
              </w:rPr>
              <w:t>Penalty</w:t>
            </w:r>
          </w:p>
        </w:tc>
      </w:tr>
      <w:tr>
        <w:tc>
          <w:tcPr>
            <w:tcW w:type="dxa" w:w="1152"/>
            <w:vAlign w:val="center"/>
          </w:tcPr>
          <w:p>
            <w:pPr>
              <w:jc w:val="left"/>
            </w:pPr>
            <w:r>
              <w:rPr>
                <w:sz w:val="17"/>
              </w:rPr>
              <w:t>w5</w:t>
            </w:r>
          </w:p>
        </w:tc>
        <w:tc>
          <w:tcPr>
            <w:tcW w:type="dxa" w:w="3600"/>
            <w:vAlign w:val="center"/>
          </w:tcPr>
          <w:p>
            <w:pPr>
              <w:jc w:val="center"/>
            </w:pPr>
            <w:r>
              <w:rPr>
                <w:sz w:val="17"/>
              </w:rPr>
              <w:t>Available capacity</w:t>
            </w:r>
          </w:p>
        </w:tc>
        <w:tc>
          <w:tcPr>
            <w:tcW w:type="dxa" w:w="1728"/>
            <w:vAlign w:val="center"/>
          </w:tcPr>
          <w:p>
            <w:pPr>
              <w:jc w:val="center"/>
            </w:pPr>
            <w:r>
              <w:rPr>
                <w:sz w:val="17"/>
              </w:rPr>
              <w:t>Reward</w:t>
            </w:r>
          </w:p>
        </w:tc>
      </w:tr>
      <w:tr>
        <w:tc>
          <w:tcPr>
            <w:tcW w:type="dxa" w:w="1152"/>
            <w:vAlign w:val="center"/>
            <w:shd w:fill="F4F8FB"/>
          </w:tcPr>
          <w:p>
            <w:pPr>
              <w:jc w:val="left"/>
            </w:pPr>
            <w:r>
              <w:rPr>
                <w:sz w:val="17"/>
              </w:rPr>
              <w:t>w6</w:t>
            </w:r>
          </w:p>
        </w:tc>
        <w:tc>
          <w:tcPr>
            <w:tcW w:type="dxa" w:w="3600"/>
            <w:vAlign w:val="center"/>
            <w:shd w:fill="F4F8FB"/>
          </w:tcPr>
          <w:p>
            <w:pPr>
              <w:jc w:val="center"/>
            </w:pPr>
            <w:r>
              <w:rPr>
                <w:sz w:val="17"/>
              </w:rPr>
              <w:t>Execution cost</w:t>
            </w:r>
          </w:p>
        </w:tc>
        <w:tc>
          <w:tcPr>
            <w:tcW w:type="dxa" w:w="1728"/>
            <w:vAlign w:val="center"/>
            <w:shd w:fill="F4F8FB"/>
          </w:tcPr>
          <w:p>
            <w:pPr>
              <w:jc w:val="center"/>
            </w:pPr>
            <w:r>
              <w:rPr>
                <w:sz w:val="17"/>
              </w:rPr>
              <w:t>Penalty</w:t>
            </w:r>
          </w:p>
        </w:tc>
      </w:tr>
    </w:tbl>
    <w:p/>
    <w:p>
      <w:pPr>
        <w:pStyle w:val="Heading2"/>
        <w:spacing w:before="120" w:after="80"/>
      </w:pPr>
      <w:r>
        <w:t>3.4 Notation And Parameters</w:t>
      </w:r>
    </w:p>
    <w:p>
      <w:pPr>
        <w:spacing w:after="120" w:line="252" w:lineRule="auto"/>
      </w:pPr>
      <w:r>
        <w:t>The following table defines the symbols and parameters used in the scheduling model, simulator, fitness function, and robustness tests.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5040"/>
        <w:gridCol w:w="5040"/>
      </w:tblGrid>
      <w:tr>
        <w:trPr>
          <w:tblHeader w:val="true"/>
        </w:trPr>
        <w:tc>
          <w:tcPr>
            <w:tcW w:type="dxa" w:w="1872"/>
            <w:shd w:fill="1F4E79"/>
            <w:vAlign w:val="center"/>
          </w:tcPr>
          <w:p>
            <w:pPr>
              <w:jc w:val="center"/>
            </w:pPr>
            <w:r>
              <w:rPr>
                <w:b/>
                <w:color w:val="FFFFFF"/>
                <w:sz w:val="15"/>
              </w:rPr>
              <w:t>Symbol</w:t>
            </w:r>
          </w:p>
        </w:tc>
        <w:tc>
          <w:tcPr>
            <w:tcW w:type="dxa" w:w="7632"/>
            <w:shd w:fill="1F4E79"/>
            <w:vAlign w:val="center"/>
          </w:tcPr>
          <w:p>
            <w:pPr>
              <w:jc w:val="center"/>
            </w:pPr>
            <w:r>
              <w:rPr>
                <w:b/>
                <w:color w:val="FFFFFF"/>
                <w:sz w:val="15"/>
              </w:rPr>
              <w:t>Definition</w:t>
            </w:r>
          </w:p>
        </w:tc>
      </w:tr>
      <w:tr>
        <w:tc>
          <w:tcPr>
            <w:tcW w:type="dxa" w:w="1872"/>
            <w:vAlign w:val="center"/>
          </w:tcPr>
          <w:p>
            <w:pPr>
              <w:jc w:val="left"/>
            </w:pPr>
            <w:r>
              <w:rPr>
                <w:sz w:val="15"/>
              </w:rPr>
              <w:t>i</w:t>
            </w:r>
          </w:p>
        </w:tc>
        <w:tc>
          <w:tcPr>
            <w:tcW w:type="dxa" w:w="7632"/>
            <w:vAlign w:val="center"/>
          </w:tcPr>
          <w:p>
            <w:pPr>
              <w:jc w:val="center"/>
            </w:pPr>
            <w:r>
              <w:rPr>
                <w:sz w:val="15"/>
              </w:rPr>
              <w:t>Task index</w:t>
            </w:r>
          </w:p>
        </w:tc>
      </w:tr>
      <w:tr>
        <w:tc>
          <w:tcPr>
            <w:tcW w:type="dxa" w:w="1872"/>
            <w:vAlign w:val="center"/>
            <w:shd w:fill="F4F8FB"/>
          </w:tcPr>
          <w:p>
            <w:pPr>
              <w:jc w:val="left"/>
            </w:pPr>
            <w:r>
              <w:rPr>
                <w:sz w:val="15"/>
              </w:rPr>
              <w:t>j</w:t>
            </w:r>
          </w:p>
        </w:tc>
        <w:tc>
          <w:tcPr>
            <w:tcW w:type="dxa" w:w="7632"/>
            <w:vAlign w:val="center"/>
            <w:shd w:fill="F4F8FB"/>
          </w:tcPr>
          <w:p>
            <w:pPr>
              <w:jc w:val="center"/>
            </w:pPr>
            <w:r>
              <w:rPr>
                <w:sz w:val="15"/>
              </w:rPr>
              <w:t>Node index</w:t>
            </w:r>
          </w:p>
        </w:tc>
      </w:tr>
      <w:tr>
        <w:tc>
          <w:tcPr>
            <w:tcW w:type="dxa" w:w="1872"/>
            <w:vAlign w:val="center"/>
          </w:tcPr>
          <w:p>
            <w:pPr>
              <w:jc w:val="left"/>
            </w:pPr>
            <w:r>
              <w:rPr>
                <w:sz w:val="15"/>
              </w:rPr>
              <w:t>w1 to w6</w:t>
            </w:r>
          </w:p>
        </w:tc>
        <w:tc>
          <w:tcPr>
            <w:tcW w:type="dxa" w:w="7632"/>
            <w:vAlign w:val="center"/>
          </w:tcPr>
          <w:p>
            <w:pPr>
              <w:jc w:val="center"/>
            </w:pPr>
            <w:r>
              <w:rPr>
                <w:sz w:val="15"/>
              </w:rPr>
              <w:t>Policy weights for speed, queue workload, latency, failure probability, capacity, and cost</w:t>
            </w:r>
          </w:p>
        </w:tc>
      </w:tr>
      <w:tr>
        <w:tc>
          <w:tcPr>
            <w:tcW w:type="dxa" w:w="1872"/>
            <w:vAlign w:val="center"/>
            <w:shd w:fill="F4F8FB"/>
          </w:tcPr>
          <w:p>
            <w:pPr>
              <w:jc w:val="left"/>
            </w:pPr>
            <w:r>
              <w:rPr>
                <w:sz w:val="15"/>
              </w:rPr>
              <w:t>s_j</w:t>
            </w:r>
          </w:p>
        </w:tc>
        <w:tc>
          <w:tcPr>
            <w:tcW w:type="dxa" w:w="7632"/>
            <w:vAlign w:val="center"/>
            <w:shd w:fill="F4F8FB"/>
          </w:tcPr>
          <w:p>
            <w:pPr>
              <w:jc w:val="center"/>
            </w:pPr>
            <w:r>
              <w:rPr>
                <w:sz w:val="15"/>
              </w:rPr>
              <w:t>Processing speed of node j</w:t>
            </w:r>
          </w:p>
        </w:tc>
      </w:tr>
      <w:tr>
        <w:tc>
          <w:tcPr>
            <w:tcW w:type="dxa" w:w="1872"/>
            <w:vAlign w:val="center"/>
          </w:tcPr>
          <w:p>
            <w:pPr>
              <w:jc w:val="left"/>
            </w:pPr>
            <w:r>
              <w:rPr>
                <w:sz w:val="15"/>
              </w:rPr>
              <w:t>Q_j(t)</w:t>
            </w:r>
          </w:p>
        </w:tc>
        <w:tc>
          <w:tcPr>
            <w:tcW w:type="dxa" w:w="7632"/>
            <w:vAlign w:val="center"/>
          </w:tcPr>
          <w:p>
            <w:pPr>
              <w:jc w:val="center"/>
            </w:pPr>
            <w:r>
              <w:rPr>
                <w:sz w:val="15"/>
              </w:rPr>
              <w:t>Queue workload assigned to node j at time t</w:t>
            </w:r>
          </w:p>
        </w:tc>
      </w:tr>
      <w:tr>
        <w:tc>
          <w:tcPr>
            <w:tcW w:type="dxa" w:w="1872"/>
            <w:vAlign w:val="center"/>
            <w:shd w:fill="F4F8FB"/>
          </w:tcPr>
          <w:p>
            <w:pPr>
              <w:jc w:val="left"/>
            </w:pPr>
            <w:r>
              <w:rPr>
                <w:sz w:val="15"/>
              </w:rPr>
              <w:t>L_j</w:t>
            </w:r>
          </w:p>
        </w:tc>
        <w:tc>
          <w:tcPr>
            <w:tcW w:type="dxa" w:w="7632"/>
            <w:vAlign w:val="center"/>
            <w:shd w:fill="F4F8FB"/>
          </w:tcPr>
          <w:p>
            <w:pPr>
              <w:jc w:val="center"/>
            </w:pPr>
            <w:r>
              <w:rPr>
                <w:sz w:val="15"/>
              </w:rPr>
              <w:t>Communication latency of node j in milliseconds</w:t>
            </w:r>
          </w:p>
        </w:tc>
      </w:tr>
      <w:tr>
        <w:tc>
          <w:tcPr>
            <w:tcW w:type="dxa" w:w="1872"/>
            <w:vAlign w:val="center"/>
          </w:tcPr>
          <w:p>
            <w:pPr>
              <w:jc w:val="left"/>
            </w:pPr>
            <w:r>
              <w:rPr>
                <w:sz w:val="15"/>
              </w:rPr>
              <w:t>p_j</w:t>
            </w:r>
          </w:p>
        </w:tc>
        <w:tc>
          <w:tcPr>
            <w:tcW w:type="dxa" w:w="7632"/>
            <w:vAlign w:val="center"/>
          </w:tcPr>
          <w:p>
            <w:pPr>
              <w:jc w:val="center"/>
            </w:pPr>
            <w:r>
              <w:rPr>
                <w:sz w:val="15"/>
              </w:rPr>
              <w:t>Failure probability of node j</w:t>
            </w:r>
          </w:p>
        </w:tc>
      </w:tr>
      <w:tr>
        <w:tc>
          <w:tcPr>
            <w:tcW w:type="dxa" w:w="1872"/>
            <w:vAlign w:val="center"/>
            <w:shd w:fill="F4F8FB"/>
          </w:tcPr>
          <w:p>
            <w:pPr>
              <w:jc w:val="left"/>
            </w:pPr>
            <w:r>
              <w:rPr>
                <w:sz w:val="15"/>
              </w:rPr>
              <w:t>C_j</w:t>
            </w:r>
          </w:p>
        </w:tc>
        <w:tc>
          <w:tcPr>
            <w:tcW w:type="dxa" w:w="7632"/>
            <w:vAlign w:val="center"/>
            <w:shd w:fill="F4F8FB"/>
          </w:tcPr>
          <w:p>
            <w:pPr>
              <w:jc w:val="center"/>
            </w:pPr>
            <w:r>
              <w:rPr>
                <w:sz w:val="15"/>
              </w:rPr>
              <w:t>Execution cost feature of node j</w:t>
            </w:r>
          </w:p>
        </w:tc>
      </w:tr>
      <w:tr>
        <w:tc>
          <w:tcPr>
            <w:tcW w:type="dxa" w:w="1872"/>
            <w:vAlign w:val="center"/>
          </w:tcPr>
          <w:p>
            <w:pPr>
              <w:jc w:val="left"/>
            </w:pPr>
            <w:r>
              <w:rPr>
                <w:sz w:val="15"/>
              </w:rPr>
              <w:t>A_i</w:t>
            </w:r>
          </w:p>
        </w:tc>
        <w:tc>
          <w:tcPr>
            <w:tcW w:type="dxa" w:w="7632"/>
            <w:vAlign w:val="center"/>
          </w:tcPr>
          <w:p>
            <w:pPr>
              <w:jc w:val="center"/>
            </w:pPr>
            <w:r>
              <w:rPr>
                <w:sz w:val="15"/>
              </w:rPr>
              <w:t>Arrival time of task i</w:t>
            </w:r>
          </w:p>
        </w:tc>
      </w:tr>
      <w:tr>
        <w:tc>
          <w:tcPr>
            <w:tcW w:type="dxa" w:w="1872"/>
            <w:vAlign w:val="center"/>
            <w:shd w:fill="F4F8FB"/>
          </w:tcPr>
          <w:p>
            <w:pPr>
              <w:jc w:val="left"/>
            </w:pPr>
            <w:r>
              <w:rPr>
                <w:sz w:val="15"/>
              </w:rPr>
              <w:t>X_i</w:t>
            </w:r>
          </w:p>
        </w:tc>
        <w:tc>
          <w:tcPr>
            <w:tcW w:type="dxa" w:w="7632"/>
            <w:vAlign w:val="center"/>
            <w:shd w:fill="F4F8FB"/>
          </w:tcPr>
          <w:p>
            <w:pPr>
              <w:jc w:val="center"/>
            </w:pPr>
            <w:r>
              <w:rPr>
                <w:sz w:val="15"/>
              </w:rPr>
              <w:t>Workload of task i</w:t>
            </w:r>
          </w:p>
        </w:tc>
      </w:tr>
      <w:tr>
        <w:tc>
          <w:tcPr>
            <w:tcW w:type="dxa" w:w="1872"/>
            <w:vAlign w:val="center"/>
          </w:tcPr>
          <w:p>
            <w:pPr>
              <w:jc w:val="left"/>
            </w:pPr>
            <w:r>
              <w:rPr>
                <w:sz w:val="15"/>
              </w:rPr>
              <w:t>CT_ij</w:t>
            </w:r>
          </w:p>
        </w:tc>
        <w:tc>
          <w:tcPr>
            <w:tcW w:type="dxa" w:w="7632"/>
            <w:vAlign w:val="center"/>
          </w:tcPr>
          <w:p>
            <w:pPr>
              <w:jc w:val="center"/>
            </w:pPr>
            <w:r>
              <w:rPr>
                <w:sz w:val="15"/>
              </w:rPr>
              <w:t>Completion time if task i is assigned to node j</w:t>
            </w:r>
          </w:p>
        </w:tc>
      </w:tr>
      <w:tr>
        <w:tc>
          <w:tcPr>
            <w:tcW w:type="dxa" w:w="1872"/>
            <w:vAlign w:val="center"/>
            <w:shd w:fill="F4F8FB"/>
          </w:tcPr>
          <w:p>
            <w:pPr>
              <w:jc w:val="left"/>
            </w:pPr>
            <w:r>
              <w:rPr>
                <w:sz w:val="15"/>
              </w:rPr>
              <w:t>P95</w:t>
            </w:r>
          </w:p>
        </w:tc>
        <w:tc>
          <w:tcPr>
            <w:tcW w:type="dxa" w:w="7632"/>
            <w:vAlign w:val="center"/>
            <w:shd w:fill="F4F8FB"/>
          </w:tcPr>
          <w:p>
            <w:pPr>
              <w:jc w:val="center"/>
            </w:pPr>
            <w:r>
              <w:rPr>
                <w:sz w:val="15"/>
              </w:rPr>
              <w:t>Ninety fifth percentile task completion latency</w:t>
            </w:r>
          </w:p>
        </w:tc>
      </w:tr>
      <w:tr>
        <w:tc>
          <w:tcPr>
            <w:tcW w:type="dxa" w:w="1872"/>
            <w:vAlign w:val="center"/>
          </w:tcPr>
          <w:p>
            <w:pPr>
              <w:jc w:val="left"/>
            </w:pPr>
            <w:r>
              <w:rPr>
                <w:sz w:val="15"/>
              </w:rPr>
              <w:t>M</w:t>
            </w:r>
          </w:p>
        </w:tc>
        <w:tc>
          <w:tcPr>
            <w:tcW w:type="dxa" w:w="7632"/>
            <w:vAlign w:val="center"/>
          </w:tcPr>
          <w:p>
            <w:pPr>
              <w:jc w:val="center"/>
            </w:pPr>
            <w:r>
              <w:rPr>
                <w:sz w:val="15"/>
              </w:rPr>
              <w:t>Observed makespan from first task arrival to final task finish</w:t>
            </w:r>
          </w:p>
        </w:tc>
      </w:tr>
      <w:tr>
        <w:tc>
          <w:tcPr>
            <w:tcW w:type="dxa" w:w="1872"/>
            <w:vAlign w:val="center"/>
            <w:shd w:fill="F4F8FB"/>
          </w:tcPr>
          <w:p>
            <w:pPr>
              <w:jc w:val="left"/>
            </w:pPr>
            <w:r>
              <w:rPr>
                <w:sz w:val="15"/>
              </w:rPr>
              <w:t>LB_parallel</w:t>
            </w:r>
          </w:p>
        </w:tc>
        <w:tc>
          <w:tcPr>
            <w:tcW w:type="dxa" w:w="7632"/>
            <w:vAlign w:val="center"/>
            <w:shd w:fill="F4F8FB"/>
          </w:tcPr>
          <w:p>
            <w:pPr>
              <w:jc w:val="center"/>
            </w:pPr>
            <w:r>
              <w:rPr>
                <w:sz w:val="15"/>
              </w:rPr>
              <w:t>Parallel lower bound used for SLR</w:t>
            </w:r>
          </w:p>
        </w:tc>
      </w:tr>
      <w:tr>
        <w:tc>
          <w:tcPr>
            <w:tcW w:type="dxa" w:w="1872"/>
            <w:vAlign w:val="center"/>
          </w:tcPr>
          <w:p>
            <w:pPr>
              <w:jc w:val="left"/>
            </w:pPr>
            <w:r>
              <w:rPr>
                <w:sz w:val="15"/>
              </w:rPr>
              <w:t>SLR</w:t>
            </w:r>
          </w:p>
        </w:tc>
        <w:tc>
          <w:tcPr>
            <w:tcW w:type="dxa" w:w="7632"/>
            <w:vAlign w:val="center"/>
          </w:tcPr>
          <w:p>
            <w:pPr>
              <w:jc w:val="center"/>
            </w:pPr>
            <w:r>
              <w:rPr>
                <w:sz w:val="15"/>
              </w:rPr>
              <w:t>Schedule Length Ratio, calculated as M divided by LB_parallel</w:t>
            </w:r>
          </w:p>
        </w:tc>
      </w:tr>
      <w:tr>
        <w:tc>
          <w:tcPr>
            <w:tcW w:type="dxa" w:w="1872"/>
            <w:vAlign w:val="center"/>
            <w:shd w:fill="F4F8FB"/>
          </w:tcPr>
          <w:p>
            <w:pPr>
              <w:jc w:val="left"/>
            </w:pPr>
            <w:r>
              <w:rPr>
                <w:sz w:val="15"/>
              </w:rPr>
              <w:t>r_k</w:t>
            </w:r>
          </w:p>
        </w:tc>
        <w:tc>
          <w:tcPr>
            <w:tcW w:type="dxa" w:w="7632"/>
            <w:vAlign w:val="center"/>
            <w:shd w:fill="F4F8FB"/>
          </w:tcPr>
          <w:p>
            <w:pPr>
              <w:jc w:val="center"/>
            </w:pPr>
            <w:r>
              <w:rPr>
                <w:sz w:val="15"/>
              </w:rPr>
              <w:t>Metric k normalized by the MECT value from the same workload and node realization</w:t>
            </w:r>
          </w:p>
        </w:tc>
      </w:tr>
      <w:tr>
        <w:tc>
          <w:tcPr>
            <w:tcW w:type="dxa" w:w="1872"/>
            <w:vAlign w:val="center"/>
          </w:tcPr>
          <w:p>
            <w:pPr>
              <w:jc w:val="left"/>
            </w:pPr>
            <w:r>
              <w:rPr>
                <w:sz w:val="15"/>
              </w:rPr>
              <w:t>F</w:t>
            </w:r>
          </w:p>
        </w:tc>
        <w:tc>
          <w:tcPr>
            <w:tcW w:type="dxa" w:w="7632"/>
            <w:vAlign w:val="center"/>
          </w:tcPr>
          <w:p>
            <w:pPr>
              <w:jc w:val="center"/>
            </w:pPr>
            <w:r>
              <w:rPr>
                <w:sz w:val="15"/>
              </w:rPr>
              <w:t>Overall six objective fitness value minimized by the optimizers</w:t>
            </w:r>
          </w:p>
        </w:tc>
      </w:tr>
      <w:tr>
        <w:tc>
          <w:tcPr>
            <w:tcW w:type="dxa" w:w="1872"/>
            <w:vAlign w:val="center"/>
            <w:shd w:fill="F4F8FB"/>
          </w:tcPr>
          <w:p>
            <w:pPr>
              <w:jc w:val="left"/>
            </w:pPr>
            <w:r>
              <w:rPr>
                <w:sz w:val="15"/>
              </w:rPr>
              <w:t>N</w:t>
            </w:r>
          </w:p>
        </w:tc>
        <w:tc>
          <w:tcPr>
            <w:tcW w:type="dxa" w:w="7632"/>
            <w:vAlign w:val="center"/>
            <w:shd w:fill="F4F8FB"/>
          </w:tcPr>
          <w:p>
            <w:pPr>
              <w:jc w:val="center"/>
            </w:pPr>
            <w:r>
              <w:rPr>
                <w:sz w:val="15"/>
              </w:rPr>
              <w:t>Number of tasks in an experiment</w:t>
            </w:r>
          </w:p>
        </w:tc>
      </w:tr>
      <w:tr>
        <w:tc>
          <w:tcPr>
            <w:tcW w:type="dxa" w:w="1872"/>
            <w:vAlign w:val="center"/>
          </w:tcPr>
          <w:p>
            <w:pPr>
              <w:jc w:val="left"/>
            </w:pPr>
            <w:r>
              <w:rPr>
                <w:sz w:val="15"/>
              </w:rPr>
              <w:t>T_window</w:t>
            </w:r>
          </w:p>
        </w:tc>
        <w:tc>
          <w:tcPr>
            <w:tcW w:type="dxa" w:w="7632"/>
            <w:vAlign w:val="center"/>
          </w:tcPr>
          <w:p>
            <w:pPr>
              <w:jc w:val="center"/>
            </w:pPr>
            <w:r>
              <w:rPr>
                <w:sz w:val="15"/>
              </w:rPr>
              <w:t>Arrival window used to rescale sampled trace arrivals</w:t>
            </w:r>
          </w:p>
        </w:tc>
      </w:tr>
      <w:tr>
        <w:tc>
          <w:tcPr>
            <w:tcW w:type="dxa" w:w="1872"/>
            <w:vAlign w:val="center"/>
            <w:shd w:fill="F4F8FB"/>
          </w:tcPr>
          <w:p>
            <w:pPr>
              <w:jc w:val="left"/>
            </w:pPr>
            <w:r>
              <w:rPr>
                <w:sz w:val="15"/>
              </w:rPr>
              <w:t>alpha</w:t>
            </w:r>
          </w:p>
        </w:tc>
        <w:tc>
          <w:tcPr>
            <w:tcW w:type="dxa" w:w="7632"/>
            <w:vAlign w:val="center"/>
            <w:shd w:fill="F4F8FB"/>
          </w:tcPr>
          <w:p>
            <w:pPr>
              <w:jc w:val="center"/>
            </w:pPr>
            <w:r>
              <w:rPr>
                <w:sz w:val="15"/>
              </w:rPr>
              <w:t>Workload scale multiplier used in robustness testing</w:t>
            </w:r>
          </w:p>
        </w:tc>
      </w:tr>
    </w:tbl>
    <w:p/>
    <w:p>
      <w:pPr>
        <w:pStyle w:val="Heading1"/>
        <w:spacing w:before="160" w:after="80"/>
      </w:pPr>
      <w:r>
        <w:t>4 Fitness Function</w:t>
      </w:r>
    </w:p>
    <w:p>
      <w:pPr>
        <w:spacing w:after="120" w:line="252" w:lineRule="auto"/>
      </w:pPr>
      <w:r>
        <w:t>The final fitness function optimizes all six stated objectives. Each objective is normalized by the MECT baseline from the same workload and node realization.</w:t>
      </w:r>
    </w:p>
    <w:p>
      <w:pPr>
        <w:spacing w:after="120" w:line="252" w:lineRule="auto"/>
      </w:pPr>
      <w:r>
        <w:t>F = 0.25 r_AvgCT + 0.20 r_P95 + 0.20 r_Makespan + 0.10 r_LoadVariance + 0.15 r_FailureRate + 0.10 r_SLR</w:t>
      </w:r>
    </w:p>
    <w:p>
      <w:pPr>
        <w:spacing w:after="120" w:line="252" w:lineRule="auto"/>
      </w:pPr>
      <w:r>
        <w:t>A soft failure guard adds 0.05(r_FailureRate - 1) when the normalized failure rate exceeds 1.0. This structure gives priority to mean latency, tail latency, and makespan while retaining reliability, load balance, and schedule length efficiency.</w:t>
      </w:r>
    </w:p>
    <w:p>
      <w:pPr>
        <w:spacing w:after="120" w:line="252" w:lineRule="auto"/>
      </w:pPr>
      <w:r>
        <w:t>SLR is computed as observed makespan divided by a parallel lower bound. The lower bound is the maximum of the aggregate work capacity bound, the release time bound based on fastest feasible task durations, and the longest single task bound. This avoids the invalid serial denominator used in the previous manuscript.</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3360"/>
        <w:gridCol w:w="3360"/>
        <w:gridCol w:w="3360"/>
      </w:tblGrid>
      <w:tr>
        <w:trPr>
          <w:tblHeader w:val="true"/>
        </w:trPr>
        <w:tc>
          <w:tcPr>
            <w:tcW w:type="dxa" w:w="3456"/>
            <w:shd w:fill="1F4E79"/>
            <w:vAlign w:val="center"/>
          </w:tcPr>
          <w:p>
            <w:pPr>
              <w:jc w:val="center"/>
            </w:pPr>
            <w:r>
              <w:rPr>
                <w:b/>
                <w:color w:val="FFFFFF"/>
                <w:sz w:val="17"/>
              </w:rPr>
              <w:t>Objective</w:t>
            </w:r>
          </w:p>
        </w:tc>
        <w:tc>
          <w:tcPr>
            <w:tcW w:type="dxa" w:w="1584"/>
            <w:shd w:fill="1F4E79"/>
            <w:vAlign w:val="center"/>
          </w:tcPr>
          <w:p>
            <w:pPr>
              <w:jc w:val="center"/>
            </w:pPr>
            <w:r>
              <w:rPr>
                <w:b/>
                <w:color w:val="FFFFFF"/>
                <w:sz w:val="17"/>
              </w:rPr>
              <w:t>Coefficient</w:t>
            </w:r>
          </w:p>
        </w:tc>
        <w:tc>
          <w:tcPr>
            <w:tcW w:type="dxa" w:w="4320"/>
            <w:shd w:fill="1F4E79"/>
            <w:vAlign w:val="center"/>
          </w:tcPr>
          <w:p>
            <w:pPr>
              <w:jc w:val="center"/>
            </w:pPr>
            <w:r>
              <w:rPr>
                <w:b/>
                <w:color w:val="FFFFFF"/>
                <w:sz w:val="17"/>
              </w:rPr>
              <w:t>Meaning</w:t>
            </w:r>
          </w:p>
        </w:tc>
      </w:tr>
      <w:tr>
        <w:tc>
          <w:tcPr>
            <w:tcW w:type="dxa" w:w="3456"/>
            <w:vAlign w:val="center"/>
          </w:tcPr>
          <w:p>
            <w:pPr>
              <w:jc w:val="left"/>
            </w:pPr>
            <w:r>
              <w:rPr>
                <w:sz w:val="17"/>
              </w:rPr>
              <w:t>Average completion time</w:t>
            </w:r>
          </w:p>
        </w:tc>
        <w:tc>
          <w:tcPr>
            <w:tcW w:type="dxa" w:w="1584"/>
            <w:vAlign w:val="center"/>
          </w:tcPr>
          <w:p>
            <w:pPr>
              <w:jc w:val="center"/>
            </w:pPr>
            <w:r>
              <w:rPr>
                <w:sz w:val="17"/>
              </w:rPr>
              <w:t>0.25</w:t>
            </w:r>
          </w:p>
        </w:tc>
        <w:tc>
          <w:tcPr>
            <w:tcW w:type="dxa" w:w="4320"/>
            <w:vAlign w:val="center"/>
          </w:tcPr>
          <w:p>
            <w:pPr>
              <w:jc w:val="center"/>
            </w:pPr>
            <w:r>
              <w:rPr>
                <w:sz w:val="17"/>
              </w:rPr>
              <w:t>Primary mean latency objective</w:t>
            </w:r>
          </w:p>
        </w:tc>
      </w:tr>
      <w:tr>
        <w:tc>
          <w:tcPr>
            <w:tcW w:type="dxa" w:w="3456"/>
            <w:vAlign w:val="center"/>
            <w:shd w:fill="F4F8FB"/>
          </w:tcPr>
          <w:p>
            <w:pPr>
              <w:jc w:val="left"/>
            </w:pPr>
            <w:r>
              <w:rPr>
                <w:sz w:val="17"/>
              </w:rPr>
              <w:t>P95 latency</w:t>
            </w:r>
          </w:p>
        </w:tc>
        <w:tc>
          <w:tcPr>
            <w:tcW w:type="dxa" w:w="1584"/>
            <w:vAlign w:val="center"/>
            <w:shd w:fill="F4F8FB"/>
          </w:tcPr>
          <w:p>
            <w:pPr>
              <w:jc w:val="center"/>
            </w:pPr>
            <w:r>
              <w:rPr>
                <w:sz w:val="17"/>
              </w:rPr>
              <w:t>0.20</w:t>
            </w:r>
          </w:p>
        </w:tc>
        <w:tc>
          <w:tcPr>
            <w:tcW w:type="dxa" w:w="4320"/>
            <w:vAlign w:val="center"/>
            <w:shd w:fill="F4F8FB"/>
          </w:tcPr>
          <w:p>
            <w:pPr>
              <w:jc w:val="center"/>
            </w:pPr>
            <w:r>
              <w:rPr>
                <w:sz w:val="17"/>
              </w:rPr>
              <w:t>Tail latency objective</w:t>
            </w:r>
          </w:p>
        </w:tc>
      </w:tr>
      <w:tr>
        <w:tc>
          <w:tcPr>
            <w:tcW w:type="dxa" w:w="3456"/>
            <w:vAlign w:val="center"/>
          </w:tcPr>
          <w:p>
            <w:pPr>
              <w:jc w:val="left"/>
            </w:pPr>
            <w:r>
              <w:rPr>
                <w:sz w:val="17"/>
              </w:rPr>
              <w:t>Makespan</w:t>
            </w:r>
          </w:p>
        </w:tc>
        <w:tc>
          <w:tcPr>
            <w:tcW w:type="dxa" w:w="1584"/>
            <w:vAlign w:val="center"/>
          </w:tcPr>
          <w:p>
            <w:pPr>
              <w:jc w:val="center"/>
            </w:pPr>
            <w:r>
              <w:rPr>
                <w:sz w:val="17"/>
              </w:rPr>
              <w:t>0.20</w:t>
            </w:r>
          </w:p>
        </w:tc>
        <w:tc>
          <w:tcPr>
            <w:tcW w:type="dxa" w:w="4320"/>
            <w:vAlign w:val="center"/>
          </w:tcPr>
          <w:p>
            <w:pPr>
              <w:jc w:val="center"/>
            </w:pPr>
            <w:r>
              <w:rPr>
                <w:sz w:val="17"/>
              </w:rPr>
              <w:t>Total schedule length</w:t>
            </w:r>
          </w:p>
        </w:tc>
      </w:tr>
      <w:tr>
        <w:tc>
          <w:tcPr>
            <w:tcW w:type="dxa" w:w="3456"/>
            <w:vAlign w:val="center"/>
            <w:shd w:fill="F4F8FB"/>
          </w:tcPr>
          <w:p>
            <w:pPr>
              <w:jc w:val="left"/>
            </w:pPr>
            <w:r>
              <w:rPr>
                <w:sz w:val="17"/>
              </w:rPr>
              <w:t>Load variance</w:t>
            </w:r>
          </w:p>
        </w:tc>
        <w:tc>
          <w:tcPr>
            <w:tcW w:type="dxa" w:w="1584"/>
            <w:vAlign w:val="center"/>
            <w:shd w:fill="F4F8FB"/>
          </w:tcPr>
          <w:p>
            <w:pPr>
              <w:jc w:val="center"/>
            </w:pPr>
            <w:r>
              <w:rPr>
                <w:sz w:val="17"/>
              </w:rPr>
              <w:t>0.10</w:t>
            </w:r>
          </w:p>
        </w:tc>
        <w:tc>
          <w:tcPr>
            <w:tcW w:type="dxa" w:w="4320"/>
            <w:vAlign w:val="center"/>
            <w:shd w:fill="F4F8FB"/>
          </w:tcPr>
          <w:p>
            <w:pPr>
              <w:jc w:val="center"/>
            </w:pPr>
            <w:r>
              <w:rPr>
                <w:sz w:val="17"/>
              </w:rPr>
              <w:t>Load balance pressure</w:t>
            </w:r>
          </w:p>
        </w:tc>
      </w:tr>
      <w:tr>
        <w:tc>
          <w:tcPr>
            <w:tcW w:type="dxa" w:w="3456"/>
            <w:vAlign w:val="center"/>
          </w:tcPr>
          <w:p>
            <w:pPr>
              <w:jc w:val="left"/>
            </w:pPr>
            <w:r>
              <w:rPr>
                <w:sz w:val="17"/>
              </w:rPr>
              <w:t>Failure rate</w:t>
            </w:r>
          </w:p>
        </w:tc>
        <w:tc>
          <w:tcPr>
            <w:tcW w:type="dxa" w:w="1584"/>
            <w:vAlign w:val="center"/>
          </w:tcPr>
          <w:p>
            <w:pPr>
              <w:jc w:val="center"/>
            </w:pPr>
            <w:r>
              <w:rPr>
                <w:sz w:val="17"/>
              </w:rPr>
              <w:t>0.15</w:t>
            </w:r>
          </w:p>
        </w:tc>
        <w:tc>
          <w:tcPr>
            <w:tcW w:type="dxa" w:w="4320"/>
            <w:vAlign w:val="center"/>
          </w:tcPr>
          <w:p>
            <w:pPr>
              <w:jc w:val="center"/>
            </w:pPr>
            <w:r>
              <w:rPr>
                <w:sz w:val="17"/>
              </w:rPr>
              <w:t>Reliability objective</w:t>
            </w:r>
          </w:p>
        </w:tc>
      </w:tr>
      <w:tr>
        <w:tc>
          <w:tcPr>
            <w:tcW w:type="dxa" w:w="3456"/>
            <w:vAlign w:val="center"/>
            <w:shd w:fill="F4F8FB"/>
          </w:tcPr>
          <w:p>
            <w:pPr>
              <w:jc w:val="left"/>
            </w:pPr>
            <w:r>
              <w:rPr>
                <w:sz w:val="17"/>
              </w:rPr>
              <w:t>SLR</w:t>
            </w:r>
          </w:p>
        </w:tc>
        <w:tc>
          <w:tcPr>
            <w:tcW w:type="dxa" w:w="1584"/>
            <w:vAlign w:val="center"/>
            <w:shd w:fill="F4F8FB"/>
          </w:tcPr>
          <w:p>
            <w:pPr>
              <w:jc w:val="center"/>
            </w:pPr>
            <w:r>
              <w:rPr>
                <w:sz w:val="17"/>
              </w:rPr>
              <w:t>0.10</w:t>
            </w:r>
          </w:p>
        </w:tc>
        <w:tc>
          <w:tcPr>
            <w:tcW w:type="dxa" w:w="4320"/>
            <w:vAlign w:val="center"/>
            <w:shd w:fill="F4F8FB"/>
          </w:tcPr>
          <w:p>
            <w:pPr>
              <w:jc w:val="center"/>
            </w:pPr>
            <w:r>
              <w:rPr>
                <w:sz w:val="17"/>
              </w:rPr>
              <w:t>Normalized schedule efficiency</w:t>
            </w:r>
          </w:p>
        </w:tc>
      </w:tr>
    </w:tbl>
    <w:p/>
    <w:p>
      <w:pPr>
        <w:pStyle w:val="Heading1"/>
        <w:spacing w:before="160" w:after="80"/>
      </w:pPr>
      <w:r>
        <w:t>5 Optimizers</w:t>
      </w:r>
    </w:p>
    <w:p>
      <w:pPr>
        <w:spacing w:after="120" w:line="252" w:lineRule="auto"/>
      </w:pPr>
      <w:r>
        <w:t>GA, PSO, and DE search the complete six dimensional policy vector. GA uses tournament selection, uniform crossover, Gaussian mutation, and elitism. PSO uses inertia, cognitive, and social terms with bounded velocities. DE uses the DE/rand/1 strategy with binomial crossover.</w:t>
      </w:r>
    </w:p>
    <w:p>
      <w:pPr>
        <w:spacing w:after="120" w:line="252" w:lineRule="auto"/>
      </w:pPr>
      <w:r>
        <w:t>The Cooperative Co Evolution Hybrid decomposes the vector into three two dimensional groups: throughput weights (w1, w5) assigned to DE, overhead weights (w2, w3) assigned to PSO, and reliability weights (w4, w6) assigned to GA. A shared global best vector coordinates the sub optimizers, and the global best is injected every ten iterations.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2016"/>
        <w:gridCol w:w="2016"/>
        <w:gridCol w:w="2016"/>
        <w:gridCol w:w="2016"/>
        <w:gridCol w:w="2016"/>
      </w:tblGrid>
      <w:tr>
        <w:trPr>
          <w:tblHeader w:val="true"/>
        </w:trPr>
        <w:tc>
          <w:tcPr>
            <w:tcW w:type="dxa" w:w="2304"/>
            <w:shd w:fill="1F4E79"/>
            <w:vAlign w:val="center"/>
          </w:tcPr>
          <w:p>
            <w:pPr>
              <w:jc w:val="center"/>
            </w:pPr>
            <w:r>
              <w:rPr>
                <w:b/>
                <w:color w:val="FFFFFF"/>
                <w:sz w:val="15"/>
              </w:rPr>
              <w:t>Parameter</w:t>
            </w:r>
          </w:p>
        </w:tc>
        <w:tc>
          <w:tcPr>
            <w:tcW w:type="dxa" w:w="1440"/>
            <w:shd w:fill="1F4E79"/>
            <w:vAlign w:val="center"/>
          </w:tcPr>
          <w:p>
            <w:pPr>
              <w:jc w:val="center"/>
            </w:pPr>
            <w:r>
              <w:rPr>
                <w:b/>
                <w:color w:val="FFFFFF"/>
                <w:sz w:val="15"/>
              </w:rPr>
              <w:t>GA</w:t>
            </w:r>
          </w:p>
        </w:tc>
        <w:tc>
          <w:tcPr>
            <w:tcW w:type="dxa" w:w="2448"/>
            <w:shd w:fill="1F4E79"/>
            <w:vAlign w:val="center"/>
          </w:tcPr>
          <w:p>
            <w:pPr>
              <w:jc w:val="center"/>
            </w:pPr>
            <w:r>
              <w:rPr>
                <w:b/>
                <w:color w:val="FFFFFF"/>
                <w:sz w:val="15"/>
              </w:rPr>
              <w:t>PSO</w:t>
            </w:r>
          </w:p>
        </w:tc>
        <w:tc>
          <w:tcPr>
            <w:tcW w:type="dxa" w:w="1440"/>
            <w:shd w:fill="1F4E79"/>
            <w:vAlign w:val="center"/>
          </w:tcPr>
          <w:p>
            <w:pPr>
              <w:jc w:val="center"/>
            </w:pPr>
            <w:r>
              <w:rPr>
                <w:b/>
                <w:color w:val="FFFFFF"/>
                <w:sz w:val="15"/>
              </w:rPr>
              <w:t>DE</w:t>
            </w:r>
          </w:p>
        </w:tc>
        <w:tc>
          <w:tcPr>
            <w:tcW w:type="dxa" w:w="2592"/>
            <w:shd w:fill="1F4E79"/>
            <w:vAlign w:val="center"/>
          </w:tcPr>
          <w:p>
            <w:pPr>
              <w:jc w:val="center"/>
            </w:pPr>
            <w:r>
              <w:rPr>
                <w:b/>
                <w:color w:val="FFFFFF"/>
                <w:sz w:val="15"/>
              </w:rPr>
              <w:t>Hybrid CCE</w:t>
            </w:r>
          </w:p>
        </w:tc>
      </w:tr>
      <w:tr>
        <w:tc>
          <w:tcPr>
            <w:tcW w:type="dxa" w:w="2304"/>
            <w:vAlign w:val="center"/>
          </w:tcPr>
          <w:p>
            <w:pPr>
              <w:jc w:val="left"/>
            </w:pPr>
            <w:r>
              <w:rPr>
                <w:sz w:val="15"/>
              </w:rPr>
              <w:t>Population or swarm</w:t>
            </w:r>
          </w:p>
        </w:tc>
        <w:tc>
          <w:tcPr>
            <w:tcW w:type="dxa" w:w="1440"/>
            <w:vAlign w:val="center"/>
          </w:tcPr>
          <w:p>
            <w:pPr>
              <w:jc w:val="center"/>
            </w:pPr>
            <w:r>
              <w:rPr>
                <w:sz w:val="15"/>
              </w:rPr>
              <w:t>20</w:t>
            </w:r>
          </w:p>
        </w:tc>
        <w:tc>
          <w:tcPr>
            <w:tcW w:type="dxa" w:w="2448"/>
            <w:vAlign w:val="center"/>
          </w:tcPr>
          <w:p>
            <w:pPr>
              <w:jc w:val="center"/>
            </w:pPr>
            <w:r>
              <w:rPr>
                <w:sz w:val="15"/>
              </w:rPr>
              <w:t>20</w:t>
            </w:r>
          </w:p>
        </w:tc>
        <w:tc>
          <w:tcPr>
            <w:tcW w:type="dxa" w:w="1440"/>
            <w:vAlign w:val="center"/>
          </w:tcPr>
          <w:p>
            <w:pPr>
              <w:jc w:val="center"/>
            </w:pPr>
            <w:r>
              <w:rPr>
                <w:sz w:val="15"/>
              </w:rPr>
              <w:t>20</w:t>
            </w:r>
          </w:p>
        </w:tc>
        <w:tc>
          <w:tcPr>
            <w:tcW w:type="dxa" w:w="2592"/>
            <w:vAlign w:val="center"/>
          </w:tcPr>
          <w:p>
            <w:pPr>
              <w:jc w:val="center"/>
            </w:pPr>
            <w:r>
              <w:rPr>
                <w:sz w:val="15"/>
              </w:rPr>
              <w:t>20 per subgroup</w:t>
            </w:r>
          </w:p>
        </w:tc>
      </w:tr>
      <w:tr>
        <w:tc>
          <w:tcPr>
            <w:tcW w:type="dxa" w:w="2304"/>
            <w:vAlign w:val="center"/>
            <w:shd w:fill="F4F8FB"/>
          </w:tcPr>
          <w:p>
            <w:pPr>
              <w:jc w:val="left"/>
            </w:pPr>
            <w:r>
              <w:rPr>
                <w:sz w:val="15"/>
              </w:rPr>
              <w:t>Iterations</w:t>
            </w:r>
          </w:p>
        </w:tc>
        <w:tc>
          <w:tcPr>
            <w:tcW w:type="dxa" w:w="1440"/>
            <w:vAlign w:val="center"/>
            <w:shd w:fill="F4F8FB"/>
          </w:tcPr>
          <w:p>
            <w:pPr>
              <w:jc w:val="center"/>
            </w:pPr>
            <w:r>
              <w:rPr>
                <w:sz w:val="15"/>
              </w:rPr>
              <w:t>50</w:t>
            </w:r>
          </w:p>
        </w:tc>
        <w:tc>
          <w:tcPr>
            <w:tcW w:type="dxa" w:w="2448"/>
            <w:vAlign w:val="center"/>
            <w:shd w:fill="F4F8FB"/>
          </w:tcPr>
          <w:p>
            <w:pPr>
              <w:jc w:val="center"/>
            </w:pPr>
            <w:r>
              <w:rPr>
                <w:sz w:val="15"/>
              </w:rPr>
              <w:t>50</w:t>
            </w:r>
          </w:p>
        </w:tc>
        <w:tc>
          <w:tcPr>
            <w:tcW w:type="dxa" w:w="1440"/>
            <w:vAlign w:val="center"/>
            <w:shd w:fill="F4F8FB"/>
          </w:tcPr>
          <w:p>
            <w:pPr>
              <w:jc w:val="center"/>
            </w:pPr>
            <w:r>
              <w:rPr>
                <w:sz w:val="15"/>
              </w:rPr>
              <w:t>50</w:t>
            </w:r>
          </w:p>
        </w:tc>
        <w:tc>
          <w:tcPr>
            <w:tcW w:type="dxa" w:w="2592"/>
            <w:vAlign w:val="center"/>
            <w:shd w:fill="F4F8FB"/>
          </w:tcPr>
          <w:p>
            <w:pPr>
              <w:jc w:val="center"/>
            </w:pPr>
            <w:r>
              <w:rPr>
                <w:sz w:val="15"/>
              </w:rPr>
              <w:t>50</w:t>
            </w:r>
          </w:p>
        </w:tc>
      </w:tr>
      <w:tr>
        <w:tc>
          <w:tcPr>
            <w:tcW w:type="dxa" w:w="2304"/>
            <w:vAlign w:val="center"/>
          </w:tcPr>
          <w:p>
            <w:pPr>
              <w:jc w:val="left"/>
            </w:pPr>
            <w:r>
              <w:rPr>
                <w:sz w:val="15"/>
              </w:rPr>
              <w:t>Crossover rate</w:t>
            </w:r>
          </w:p>
        </w:tc>
        <w:tc>
          <w:tcPr>
            <w:tcW w:type="dxa" w:w="1440"/>
            <w:vAlign w:val="center"/>
          </w:tcPr>
          <w:p>
            <w:pPr>
              <w:jc w:val="center"/>
            </w:pPr>
            <w:r>
              <w:rPr>
                <w:sz w:val="15"/>
              </w:rPr>
              <w:t>0.8</w:t>
            </w:r>
          </w:p>
        </w:tc>
        <w:tc>
          <w:tcPr>
            <w:tcW w:type="dxa" w:w="2448"/>
            <w:vAlign w:val="center"/>
          </w:tcPr>
          <w:p>
            <w:pPr>
              <w:jc w:val="center"/>
            </w:pPr>
            <w:r>
              <w:rPr>
                <w:sz w:val="15"/>
              </w:rPr>
              <w:t>-</w:t>
            </w:r>
          </w:p>
        </w:tc>
        <w:tc>
          <w:tcPr>
            <w:tcW w:type="dxa" w:w="1440"/>
            <w:vAlign w:val="center"/>
          </w:tcPr>
          <w:p>
            <w:pPr>
              <w:jc w:val="center"/>
            </w:pPr>
            <w:r>
              <w:rPr>
                <w:sz w:val="15"/>
              </w:rPr>
              <w:t>0.9</w:t>
            </w:r>
          </w:p>
        </w:tc>
        <w:tc>
          <w:tcPr>
            <w:tcW w:type="dxa" w:w="2592"/>
            <w:vAlign w:val="center"/>
          </w:tcPr>
          <w:p>
            <w:pPr>
              <w:jc w:val="center"/>
            </w:pPr>
            <w:r>
              <w:rPr>
                <w:sz w:val="15"/>
              </w:rPr>
              <w:t>GA 0.8, DE 0.9</w:t>
            </w:r>
          </w:p>
        </w:tc>
      </w:tr>
      <w:tr>
        <w:tc>
          <w:tcPr>
            <w:tcW w:type="dxa" w:w="2304"/>
            <w:vAlign w:val="center"/>
            <w:shd w:fill="F4F8FB"/>
          </w:tcPr>
          <w:p>
            <w:pPr>
              <w:jc w:val="left"/>
            </w:pPr>
            <w:r>
              <w:rPr>
                <w:sz w:val="15"/>
              </w:rPr>
              <w:t>Mutation</w:t>
            </w:r>
          </w:p>
        </w:tc>
        <w:tc>
          <w:tcPr>
            <w:tcW w:type="dxa" w:w="1440"/>
            <w:vAlign w:val="center"/>
            <w:shd w:fill="F4F8FB"/>
          </w:tcPr>
          <w:p>
            <w:pPr>
              <w:jc w:val="center"/>
            </w:pPr>
            <w:r>
              <w:rPr>
                <w:sz w:val="15"/>
              </w:rPr>
              <w:t>0.1</w:t>
            </w:r>
          </w:p>
        </w:tc>
        <w:tc>
          <w:tcPr>
            <w:tcW w:type="dxa" w:w="2448"/>
            <w:vAlign w:val="center"/>
            <w:shd w:fill="F4F8FB"/>
          </w:tcPr>
          <w:p>
            <w:pPr>
              <w:jc w:val="center"/>
            </w:pPr>
            <w:r>
              <w:rPr>
                <w:sz w:val="15"/>
              </w:rPr>
              <w:t>-</w:t>
            </w:r>
          </w:p>
        </w:tc>
        <w:tc>
          <w:tcPr>
            <w:tcW w:type="dxa" w:w="1440"/>
            <w:vAlign w:val="center"/>
            <w:shd w:fill="F4F8FB"/>
          </w:tcPr>
          <w:p>
            <w:pPr>
              <w:jc w:val="center"/>
            </w:pPr>
            <w:r>
              <w:rPr>
                <w:sz w:val="15"/>
              </w:rPr>
              <w:t>F = 0.5</w:t>
            </w:r>
          </w:p>
        </w:tc>
        <w:tc>
          <w:tcPr>
            <w:tcW w:type="dxa" w:w="2592"/>
            <w:vAlign w:val="center"/>
            <w:shd w:fill="F4F8FB"/>
          </w:tcPr>
          <w:p>
            <w:pPr>
              <w:jc w:val="center"/>
            </w:pPr>
            <w:r>
              <w:rPr>
                <w:sz w:val="15"/>
              </w:rPr>
              <w:t>GA 0.15, DE F = 0.5</w:t>
            </w:r>
          </w:p>
        </w:tc>
      </w:tr>
      <w:tr>
        <w:tc>
          <w:tcPr>
            <w:tcW w:type="dxa" w:w="2304"/>
            <w:vAlign w:val="center"/>
          </w:tcPr>
          <w:p>
            <w:pPr>
              <w:jc w:val="left"/>
            </w:pPr>
            <w:r>
              <w:rPr>
                <w:sz w:val="15"/>
              </w:rPr>
              <w:t>PSO parameters</w:t>
            </w:r>
          </w:p>
        </w:tc>
        <w:tc>
          <w:tcPr>
            <w:tcW w:type="dxa" w:w="1440"/>
            <w:vAlign w:val="center"/>
          </w:tcPr>
          <w:p>
            <w:pPr>
              <w:jc w:val="center"/>
            </w:pPr>
            <w:r>
              <w:rPr>
                <w:sz w:val="15"/>
              </w:rPr>
              <w:t>-</w:t>
            </w:r>
          </w:p>
        </w:tc>
        <w:tc>
          <w:tcPr>
            <w:tcW w:type="dxa" w:w="2448"/>
            <w:vAlign w:val="center"/>
          </w:tcPr>
          <w:p>
            <w:pPr>
              <w:jc w:val="center"/>
            </w:pPr>
            <w:r>
              <w:rPr>
                <w:sz w:val="15"/>
              </w:rPr>
              <w:t>w = 0.7, c1 = 1.5, c2 = 1.5</w:t>
            </w:r>
          </w:p>
        </w:tc>
        <w:tc>
          <w:tcPr>
            <w:tcW w:type="dxa" w:w="1440"/>
            <w:vAlign w:val="center"/>
          </w:tcPr>
          <w:p>
            <w:pPr>
              <w:jc w:val="center"/>
            </w:pPr>
            <w:r>
              <w:rPr>
                <w:sz w:val="15"/>
              </w:rPr>
              <w:t>-</w:t>
            </w:r>
          </w:p>
        </w:tc>
        <w:tc>
          <w:tcPr>
            <w:tcW w:type="dxa" w:w="2592"/>
            <w:vAlign w:val="center"/>
          </w:tcPr>
          <w:p>
            <w:pPr>
              <w:jc w:val="center"/>
            </w:pPr>
            <w:r>
              <w:rPr>
                <w:sz w:val="15"/>
              </w:rPr>
              <w:t>same</w:t>
            </w:r>
          </w:p>
        </w:tc>
      </w:tr>
    </w:tbl>
    <w:p/>
    <w:p>
      <w:pPr>
        <w:pStyle w:val="Heading1"/>
        <w:spacing w:before="160" w:after="80"/>
      </w:pPr>
      <w:r>
        <w:t>6 Experimental Setup</w:t>
      </w:r>
    </w:p>
    <w:p>
      <w:pPr>
        <w:spacing w:after="120" w:line="252" w:lineRule="auto"/>
      </w:pPr>
      <w:r>
        <w:t>The experiments were implemented in Python using NumPy, Pandas, and Matplotlib. The main result uses 1000 tasks sampled from the official Alibaba trace and a 15 node heterogeneous cluster. Random seeds are fixed for reproducibility. Baseline constants are generated from MECT and passed directly to the optimizer through a shared metrics object.</w:t>
      </w:r>
    </w:p>
    <w:p>
      <w:pPr>
        <w:spacing w:after="120" w:line="252" w:lineRule="auto"/>
      </w:pPr>
      <w:r>
        <w:t>The evaluation reports average completion time, P95 latency, load variance, failure rate, throughput, makespan, SLR lower bound, and SLR. Additional analyses include coefficient sensitivity and robustness across repeated samples, 300, 600, and 1200 second arrival windows, light and heavy workload scales, and 10 and 25 node clusters.</w:t>
      </w:r>
    </w:p>
    <w:p>
      <w:pPr>
        <w:pStyle w:val="Heading1"/>
        <w:spacing w:before="160" w:after="80"/>
      </w:pPr>
      <w:r>
        <w:t>7 Results</w:t>
      </w:r>
    </w:p>
    <w:p>
      <w:pPr>
        <w:pStyle w:val="Heading2"/>
        <w:spacing w:before="120" w:after="80"/>
      </w:pPr>
      <w:r>
        <w:t>7.1 Baseline Performance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1260"/>
        <w:gridCol w:w="1260"/>
        <w:gridCol w:w="1260"/>
        <w:gridCol w:w="1260"/>
        <w:gridCol w:w="1260"/>
        <w:gridCol w:w="1260"/>
        <w:gridCol w:w="1260"/>
        <w:gridCol w:w="1260"/>
      </w:tblGrid>
      <w:tr>
        <w:trPr>
          <w:tblHeader w:val="true"/>
        </w:trPr>
        <w:tc>
          <w:tcPr>
            <w:tcW w:type="dxa" w:w="1260"/>
            <w:shd w:fill="1F4E79"/>
            <w:vAlign w:val="center"/>
          </w:tcPr>
          <w:p>
            <w:pPr>
              <w:jc w:val="center"/>
            </w:pPr>
            <w:r>
              <w:rPr>
                <w:b/>
                <w:color w:val="FFFFFF"/>
                <w:sz w:val="15"/>
              </w:rPr>
              <w:t>Scheduler</w:t>
            </w:r>
          </w:p>
        </w:tc>
        <w:tc>
          <w:tcPr>
            <w:tcW w:type="dxa" w:w="1260"/>
            <w:shd w:fill="1F4E79"/>
            <w:vAlign w:val="center"/>
          </w:tcPr>
          <w:p>
            <w:pPr>
              <w:jc w:val="center"/>
            </w:pPr>
            <w:r>
              <w:rPr>
                <w:b/>
                <w:color w:val="FFFFFF"/>
                <w:sz w:val="15"/>
              </w:rPr>
              <w:t>AvgCT</w:t>
            </w:r>
          </w:p>
        </w:tc>
        <w:tc>
          <w:tcPr>
            <w:tcW w:type="dxa" w:w="1260"/>
            <w:shd w:fill="1F4E79"/>
            <w:vAlign w:val="center"/>
          </w:tcPr>
          <w:p>
            <w:pPr>
              <w:jc w:val="center"/>
            </w:pPr>
            <w:r>
              <w:rPr>
                <w:b/>
                <w:color w:val="FFFFFF"/>
                <w:sz w:val="15"/>
              </w:rPr>
              <w:t>P95</w:t>
            </w:r>
          </w:p>
        </w:tc>
        <w:tc>
          <w:tcPr>
            <w:tcW w:type="dxa" w:w="1260"/>
            <w:shd w:fill="1F4E79"/>
            <w:vAlign w:val="center"/>
          </w:tcPr>
          <w:p>
            <w:pPr>
              <w:jc w:val="center"/>
            </w:pPr>
            <w:r>
              <w:rPr>
                <w:b/>
                <w:color w:val="FFFFFF"/>
                <w:sz w:val="15"/>
              </w:rPr>
              <w:t>LoadVar</w:t>
            </w:r>
          </w:p>
        </w:tc>
        <w:tc>
          <w:tcPr>
            <w:tcW w:type="dxa" w:w="1260"/>
            <w:shd w:fill="1F4E79"/>
            <w:vAlign w:val="center"/>
          </w:tcPr>
          <w:p>
            <w:pPr>
              <w:jc w:val="center"/>
            </w:pPr>
            <w:r>
              <w:rPr>
                <w:b/>
                <w:color w:val="FFFFFF"/>
                <w:sz w:val="15"/>
              </w:rPr>
              <w:t>FailRate</w:t>
            </w:r>
          </w:p>
        </w:tc>
        <w:tc>
          <w:tcPr>
            <w:tcW w:type="dxa" w:w="1260"/>
            <w:shd w:fill="1F4E79"/>
            <w:vAlign w:val="center"/>
          </w:tcPr>
          <w:p>
            <w:pPr>
              <w:jc w:val="center"/>
            </w:pPr>
            <w:r>
              <w:rPr>
                <w:b/>
                <w:color w:val="FFFFFF"/>
                <w:sz w:val="15"/>
              </w:rPr>
              <w:t>Throughput</w:t>
            </w:r>
          </w:p>
        </w:tc>
        <w:tc>
          <w:tcPr>
            <w:tcW w:type="dxa" w:w="1260"/>
            <w:shd w:fill="1F4E79"/>
            <w:vAlign w:val="center"/>
          </w:tcPr>
          <w:p>
            <w:pPr>
              <w:jc w:val="center"/>
            </w:pPr>
            <w:r>
              <w:rPr>
                <w:b/>
                <w:color w:val="FFFFFF"/>
                <w:sz w:val="15"/>
              </w:rPr>
              <w:t>Makespan</w:t>
            </w:r>
          </w:p>
        </w:tc>
        <w:tc>
          <w:tcPr>
            <w:tcW w:type="dxa" w:w="1260"/>
            <w:shd w:fill="1F4E79"/>
            <w:vAlign w:val="center"/>
          </w:tcPr>
          <w:p>
            <w:pPr>
              <w:jc w:val="center"/>
            </w:pPr>
            <w:r>
              <w:rPr>
                <w:b/>
                <w:color w:val="FFFFFF"/>
                <w:sz w:val="15"/>
              </w:rPr>
              <w:t>SLR</w:t>
            </w:r>
          </w:p>
        </w:tc>
      </w:tr>
      <w:tr>
        <w:tc>
          <w:tcPr>
            <w:tcW w:type="dxa" w:w="1260"/>
            <w:vAlign w:val="center"/>
          </w:tcPr>
          <w:p>
            <w:pPr>
              <w:jc w:val="left"/>
            </w:pPr>
            <w:r>
              <w:rPr>
                <w:sz w:val="15"/>
              </w:rPr>
              <w:t>Round Robin</w:t>
            </w:r>
          </w:p>
        </w:tc>
        <w:tc>
          <w:tcPr>
            <w:tcW w:type="dxa" w:w="1260"/>
            <w:vAlign w:val="center"/>
          </w:tcPr>
          <w:p>
            <w:pPr>
              <w:jc w:val="center"/>
            </w:pPr>
            <w:r>
              <w:rPr>
                <w:sz w:val="15"/>
              </w:rPr>
              <w:t>82.6471</w:t>
            </w:r>
          </w:p>
        </w:tc>
        <w:tc>
          <w:tcPr>
            <w:tcW w:type="dxa" w:w="1260"/>
            <w:vAlign w:val="center"/>
          </w:tcPr>
          <w:p>
            <w:pPr>
              <w:jc w:val="center"/>
            </w:pPr>
            <w:r>
              <w:rPr>
                <w:sz w:val="15"/>
              </w:rPr>
              <w:t>464.3882</w:t>
            </w:r>
          </w:p>
        </w:tc>
        <w:tc>
          <w:tcPr>
            <w:tcW w:type="dxa" w:w="1260"/>
            <w:vAlign w:val="center"/>
          </w:tcPr>
          <w:p>
            <w:pPr>
              <w:jc w:val="center"/>
            </w:pPr>
            <w:r>
              <w:rPr>
                <w:sz w:val="15"/>
              </w:rPr>
              <w:t>3.8222</w:t>
            </w:r>
          </w:p>
        </w:tc>
        <w:tc>
          <w:tcPr>
            <w:tcW w:type="dxa" w:w="1260"/>
            <w:vAlign w:val="center"/>
          </w:tcPr>
          <w:p>
            <w:pPr>
              <w:jc w:val="center"/>
            </w:pPr>
            <w:r>
              <w:rPr>
                <w:sz w:val="15"/>
              </w:rPr>
              <w:t>0.0240</w:t>
            </w:r>
          </w:p>
        </w:tc>
        <w:tc>
          <w:tcPr>
            <w:tcW w:type="dxa" w:w="1260"/>
            <w:vAlign w:val="center"/>
          </w:tcPr>
          <w:p>
            <w:pPr>
              <w:jc w:val="center"/>
            </w:pPr>
            <w:r>
              <w:rPr>
                <w:sz w:val="15"/>
              </w:rPr>
              <w:t>0.7845</w:t>
            </w:r>
          </w:p>
        </w:tc>
        <w:tc>
          <w:tcPr>
            <w:tcW w:type="dxa" w:w="1260"/>
            <w:vAlign w:val="center"/>
          </w:tcPr>
          <w:p>
            <w:pPr>
              <w:jc w:val="center"/>
            </w:pPr>
            <w:r>
              <w:rPr>
                <w:sz w:val="15"/>
              </w:rPr>
              <w:t>1274.7433</w:t>
            </w:r>
          </w:p>
        </w:tc>
        <w:tc>
          <w:tcPr>
            <w:tcW w:type="dxa" w:w="1260"/>
            <w:vAlign w:val="center"/>
          </w:tcPr>
          <w:p>
            <w:pPr>
              <w:jc w:val="center"/>
            </w:pPr>
            <w:r>
              <w:rPr>
                <w:sz w:val="15"/>
              </w:rPr>
              <w:t>2.1075</w:t>
            </w:r>
          </w:p>
        </w:tc>
      </w:tr>
      <w:tr>
        <w:tc>
          <w:tcPr>
            <w:tcW w:type="dxa" w:w="1260"/>
            <w:vAlign w:val="center"/>
            <w:shd w:fill="F4F8FB"/>
          </w:tcPr>
          <w:p>
            <w:pPr>
              <w:jc w:val="left"/>
            </w:pPr>
            <w:r>
              <w:rPr>
                <w:sz w:val="15"/>
              </w:rPr>
              <w:t>Least Loaded</w:t>
            </w:r>
          </w:p>
        </w:tc>
        <w:tc>
          <w:tcPr>
            <w:tcW w:type="dxa" w:w="1260"/>
            <w:vAlign w:val="center"/>
            <w:shd w:fill="F4F8FB"/>
          </w:tcPr>
          <w:p>
            <w:pPr>
              <w:jc w:val="center"/>
            </w:pPr>
            <w:r>
              <w:rPr>
                <w:sz w:val="15"/>
              </w:rPr>
              <w:t>9.6450</w:t>
            </w:r>
          </w:p>
        </w:tc>
        <w:tc>
          <w:tcPr>
            <w:tcW w:type="dxa" w:w="1260"/>
            <w:vAlign w:val="center"/>
            <w:shd w:fill="F4F8FB"/>
          </w:tcPr>
          <w:p>
            <w:pPr>
              <w:jc w:val="center"/>
            </w:pPr>
            <w:r>
              <w:rPr>
                <w:sz w:val="15"/>
              </w:rPr>
              <w:t>21.5953</w:t>
            </w:r>
          </w:p>
        </w:tc>
        <w:tc>
          <w:tcPr>
            <w:tcW w:type="dxa" w:w="1260"/>
            <w:vAlign w:val="center"/>
            <w:shd w:fill="F4F8FB"/>
          </w:tcPr>
          <w:p>
            <w:pPr>
              <w:jc w:val="center"/>
            </w:pPr>
            <w:r>
              <w:rPr>
                <w:sz w:val="15"/>
              </w:rPr>
              <w:t>838.0889</w:t>
            </w:r>
          </w:p>
        </w:tc>
        <w:tc>
          <w:tcPr>
            <w:tcW w:type="dxa" w:w="1260"/>
            <w:vAlign w:val="center"/>
            <w:shd w:fill="F4F8FB"/>
          </w:tcPr>
          <w:p>
            <w:pPr>
              <w:jc w:val="center"/>
            </w:pPr>
            <w:r>
              <w:rPr>
                <w:sz w:val="15"/>
              </w:rPr>
              <w:t>0.0140</w:t>
            </w:r>
          </w:p>
        </w:tc>
        <w:tc>
          <w:tcPr>
            <w:tcW w:type="dxa" w:w="1260"/>
            <w:vAlign w:val="center"/>
            <w:shd w:fill="F4F8FB"/>
          </w:tcPr>
          <w:p>
            <w:pPr>
              <w:jc w:val="center"/>
            </w:pPr>
            <w:r>
              <w:rPr>
                <w:sz w:val="15"/>
              </w:rPr>
              <w:t>1.5787</w:t>
            </w:r>
          </w:p>
        </w:tc>
        <w:tc>
          <w:tcPr>
            <w:tcW w:type="dxa" w:w="1260"/>
            <w:vAlign w:val="center"/>
            <w:shd w:fill="F4F8FB"/>
          </w:tcPr>
          <w:p>
            <w:pPr>
              <w:jc w:val="center"/>
            </w:pPr>
            <w:r>
              <w:rPr>
                <w:sz w:val="15"/>
              </w:rPr>
              <w:t>633.4151</w:t>
            </w:r>
          </w:p>
        </w:tc>
        <w:tc>
          <w:tcPr>
            <w:tcW w:type="dxa" w:w="1260"/>
            <w:vAlign w:val="center"/>
            <w:shd w:fill="F4F8FB"/>
          </w:tcPr>
          <w:p>
            <w:pPr>
              <w:jc w:val="center"/>
            </w:pPr>
            <w:r>
              <w:rPr>
                <w:sz w:val="15"/>
              </w:rPr>
              <w:t>1.0472</w:t>
            </w:r>
          </w:p>
        </w:tc>
      </w:tr>
      <w:tr>
        <w:tc>
          <w:tcPr>
            <w:tcW w:type="dxa" w:w="1260"/>
            <w:vAlign w:val="center"/>
          </w:tcPr>
          <w:p>
            <w:pPr>
              <w:jc w:val="left"/>
            </w:pPr>
            <w:r>
              <w:rPr>
                <w:sz w:val="15"/>
              </w:rPr>
              <w:t>MECT</w:t>
            </w:r>
          </w:p>
        </w:tc>
        <w:tc>
          <w:tcPr>
            <w:tcW w:type="dxa" w:w="1260"/>
            <w:vAlign w:val="center"/>
          </w:tcPr>
          <w:p>
            <w:pPr>
              <w:jc w:val="center"/>
            </w:pPr>
            <w:r>
              <w:rPr>
                <w:sz w:val="15"/>
              </w:rPr>
              <w:t>12.0373</w:t>
            </w:r>
          </w:p>
        </w:tc>
        <w:tc>
          <w:tcPr>
            <w:tcW w:type="dxa" w:w="1260"/>
            <w:vAlign w:val="center"/>
          </w:tcPr>
          <w:p>
            <w:pPr>
              <w:jc w:val="center"/>
            </w:pPr>
            <w:r>
              <w:rPr>
                <w:sz w:val="15"/>
              </w:rPr>
              <w:t>18.7934</w:t>
            </w:r>
          </w:p>
        </w:tc>
        <w:tc>
          <w:tcPr>
            <w:tcW w:type="dxa" w:w="1260"/>
            <w:vAlign w:val="center"/>
          </w:tcPr>
          <w:p>
            <w:pPr>
              <w:jc w:val="center"/>
            </w:pPr>
            <w:r>
              <w:rPr>
                <w:sz w:val="15"/>
              </w:rPr>
              <w:t>1273.0222</w:t>
            </w:r>
          </w:p>
        </w:tc>
        <w:tc>
          <w:tcPr>
            <w:tcW w:type="dxa" w:w="1260"/>
            <w:vAlign w:val="center"/>
          </w:tcPr>
          <w:p>
            <w:pPr>
              <w:jc w:val="center"/>
            </w:pPr>
            <w:r>
              <w:rPr>
                <w:sz w:val="15"/>
              </w:rPr>
              <w:t>0.0140</w:t>
            </w:r>
          </w:p>
        </w:tc>
        <w:tc>
          <w:tcPr>
            <w:tcW w:type="dxa" w:w="1260"/>
            <w:vAlign w:val="center"/>
          </w:tcPr>
          <w:p>
            <w:pPr>
              <w:jc w:val="center"/>
            </w:pPr>
            <w:r>
              <w:rPr>
                <w:sz w:val="15"/>
              </w:rPr>
              <w:t>1.6139</w:t>
            </w:r>
          </w:p>
        </w:tc>
        <w:tc>
          <w:tcPr>
            <w:tcW w:type="dxa" w:w="1260"/>
            <w:vAlign w:val="center"/>
          </w:tcPr>
          <w:p>
            <w:pPr>
              <w:jc w:val="center"/>
            </w:pPr>
            <w:r>
              <w:rPr>
                <w:sz w:val="15"/>
              </w:rPr>
              <w:t>619.6140</w:t>
            </w:r>
          </w:p>
        </w:tc>
        <w:tc>
          <w:tcPr>
            <w:tcW w:type="dxa" w:w="1260"/>
            <w:vAlign w:val="center"/>
          </w:tcPr>
          <w:p>
            <w:pPr>
              <w:jc w:val="center"/>
            </w:pPr>
            <w:r>
              <w:rPr>
                <w:sz w:val="15"/>
              </w:rPr>
              <w:t>1.0244</w:t>
            </w:r>
          </w:p>
        </w:tc>
      </w:tr>
    </w:tbl>
    <w:p/>
    <w:p>
      <w:pPr>
        <w:spacing w:after="120" w:line="252" w:lineRule="auto"/>
      </w:pPr>
      <w:r>
        <w:t>Round Robin produces the lowest load variance because it distributes tasks cyclically without regard to node state, but it performs poorly on completion time, P95, makespan, throughput, and SLR. MECT provides the strongest heuristic baseline for tail latency and schedule length, while Least Loaded reduces average completion time but has worse P95 and makespan than MECT.</w:t>
      </w:r>
    </w:p>
    <w:p>
      <w:pPr>
        <w:spacing w:after="120" w:line="252" w:lineRule="auto"/>
      </w:pPr>
      <w:r>
        <w:t>Figure 1 visualizes these baseline trade offs and shows why MECT is used as the normalization reference for the optimizer fitness values.</w:t>
      </w:r>
    </w:p>
    <w:p>
      <w:pPr>
        <w:jc w:val="center"/>
      </w:pPr>
      <w:r>
        <w:drawing>
          <wp:inline xmlns:a="http://schemas.openxmlformats.org/drawingml/2006/main" xmlns:pic="http://schemas.openxmlformats.org/drawingml/2006/picture">
            <wp:extent cx="5669280" cy="4894691"/>
            <wp:docPr id="1" name="Picture 1"/>
            <wp:cNvGraphicFramePr>
              <a:graphicFrameLocks noChangeAspect="1"/>
            </wp:cNvGraphicFramePr>
            <a:graphic>
              <a:graphicData uri="http://schemas.openxmlformats.org/drawingml/2006/picture">
                <pic:pic>
                  <pic:nvPicPr>
                    <pic:cNvPr id="0" name="baseline_results.png"/>
                    <pic:cNvPicPr/>
                  </pic:nvPicPr>
                  <pic:blipFill>
                    <a:blip r:embed="rId9"/>
                    <a:stretch>
                      <a:fillRect/>
                    </a:stretch>
                  </pic:blipFill>
                  <pic:spPr>
                    <a:xfrm>
                      <a:off x="0" y="0"/>
                      <a:ext cx="5669280" cy="4894691"/>
                    </a:xfrm>
                    <a:prstGeom prst="rect"/>
                  </pic:spPr>
                </pic:pic>
              </a:graphicData>
            </a:graphic>
          </wp:inline>
        </w:drawing>
      </w:r>
    </w:p>
    <w:p>
      <w:pPr>
        <w:spacing w:after="160"/>
        <w:jc w:val="center"/>
      </w:pPr>
      <w:r>
        <w:rPr>
          <w:i/>
          <w:sz w:val="18"/>
        </w:rPr>
        <w:t>Figure 1. Baseline heuristic scheduler comparison.</w:t>
      </w:r>
    </w:p>
    <w:p>
      <w:pPr>
        <w:pStyle w:val="Heading2"/>
        <w:spacing w:before="120" w:after="80"/>
      </w:pPr>
      <w:r>
        <w:t>7.2 Optimizer Performance</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1260"/>
        <w:gridCol w:w="1260"/>
        <w:gridCol w:w="1260"/>
        <w:gridCol w:w="1260"/>
        <w:gridCol w:w="1260"/>
        <w:gridCol w:w="1260"/>
        <w:gridCol w:w="1260"/>
        <w:gridCol w:w="1260"/>
      </w:tblGrid>
      <w:tr>
        <w:trPr>
          <w:tblHeader w:val="true"/>
        </w:trPr>
        <w:tc>
          <w:tcPr>
            <w:tcW w:type="dxa" w:w="1260"/>
            <w:shd w:fill="1F4E79"/>
            <w:vAlign w:val="center"/>
          </w:tcPr>
          <w:p>
            <w:pPr>
              <w:jc w:val="center"/>
            </w:pPr>
            <w:r>
              <w:rPr>
                <w:b/>
                <w:color w:val="FFFFFF"/>
                <w:sz w:val="14"/>
              </w:rPr>
              <w:t>Scheduler</w:t>
            </w:r>
          </w:p>
        </w:tc>
        <w:tc>
          <w:tcPr>
            <w:tcW w:type="dxa" w:w="1260"/>
            <w:shd w:fill="1F4E79"/>
            <w:vAlign w:val="center"/>
          </w:tcPr>
          <w:p>
            <w:pPr>
              <w:jc w:val="center"/>
            </w:pPr>
            <w:r>
              <w:rPr>
                <w:b/>
                <w:color w:val="FFFFFF"/>
                <w:sz w:val="14"/>
              </w:rPr>
              <w:t>AvgCT</w:t>
            </w:r>
          </w:p>
        </w:tc>
        <w:tc>
          <w:tcPr>
            <w:tcW w:type="dxa" w:w="1260"/>
            <w:shd w:fill="1F4E79"/>
            <w:vAlign w:val="center"/>
          </w:tcPr>
          <w:p>
            <w:pPr>
              <w:jc w:val="center"/>
            </w:pPr>
            <w:r>
              <w:rPr>
                <w:b/>
                <w:color w:val="FFFFFF"/>
                <w:sz w:val="14"/>
              </w:rPr>
              <w:t>P95</w:t>
            </w:r>
          </w:p>
        </w:tc>
        <w:tc>
          <w:tcPr>
            <w:tcW w:type="dxa" w:w="1260"/>
            <w:shd w:fill="1F4E79"/>
            <w:vAlign w:val="center"/>
          </w:tcPr>
          <w:p>
            <w:pPr>
              <w:jc w:val="center"/>
            </w:pPr>
            <w:r>
              <w:rPr>
                <w:b/>
                <w:color w:val="FFFFFF"/>
                <w:sz w:val="14"/>
              </w:rPr>
              <w:t>LoadVar</w:t>
            </w:r>
          </w:p>
        </w:tc>
        <w:tc>
          <w:tcPr>
            <w:tcW w:type="dxa" w:w="1260"/>
            <w:shd w:fill="1F4E79"/>
            <w:vAlign w:val="center"/>
          </w:tcPr>
          <w:p>
            <w:pPr>
              <w:jc w:val="center"/>
            </w:pPr>
            <w:r>
              <w:rPr>
                <w:b/>
                <w:color w:val="FFFFFF"/>
                <w:sz w:val="14"/>
              </w:rPr>
              <w:t>FailRate</w:t>
            </w:r>
          </w:p>
        </w:tc>
        <w:tc>
          <w:tcPr>
            <w:tcW w:type="dxa" w:w="1260"/>
            <w:shd w:fill="1F4E79"/>
            <w:vAlign w:val="center"/>
          </w:tcPr>
          <w:p>
            <w:pPr>
              <w:jc w:val="center"/>
            </w:pPr>
            <w:r>
              <w:rPr>
                <w:b/>
                <w:color w:val="FFFFFF"/>
                <w:sz w:val="14"/>
              </w:rPr>
              <w:t>Throughput</w:t>
            </w:r>
          </w:p>
        </w:tc>
        <w:tc>
          <w:tcPr>
            <w:tcW w:type="dxa" w:w="1260"/>
            <w:shd w:fill="1F4E79"/>
            <w:vAlign w:val="center"/>
          </w:tcPr>
          <w:p>
            <w:pPr>
              <w:jc w:val="center"/>
            </w:pPr>
            <w:r>
              <w:rPr>
                <w:b/>
                <w:color w:val="FFFFFF"/>
                <w:sz w:val="14"/>
              </w:rPr>
              <w:t>Makespan</w:t>
            </w:r>
          </w:p>
        </w:tc>
        <w:tc>
          <w:tcPr>
            <w:tcW w:type="dxa" w:w="1260"/>
            <w:shd w:fill="1F4E79"/>
            <w:vAlign w:val="center"/>
          </w:tcPr>
          <w:p>
            <w:pPr>
              <w:jc w:val="center"/>
            </w:pPr>
            <w:r>
              <w:rPr>
                <w:b/>
                <w:color w:val="FFFFFF"/>
                <w:sz w:val="14"/>
              </w:rPr>
              <w:t>SLR</w:t>
            </w:r>
          </w:p>
        </w:tc>
      </w:tr>
      <w:tr>
        <w:tc>
          <w:tcPr>
            <w:tcW w:type="dxa" w:w="1260"/>
            <w:vAlign w:val="center"/>
          </w:tcPr>
          <w:p>
            <w:pPr>
              <w:jc w:val="left"/>
            </w:pPr>
            <w:r>
              <w:rPr>
                <w:sz w:val="14"/>
              </w:rPr>
              <w:t>Round Robin</w:t>
            </w:r>
          </w:p>
        </w:tc>
        <w:tc>
          <w:tcPr>
            <w:tcW w:type="dxa" w:w="1260"/>
            <w:vAlign w:val="center"/>
          </w:tcPr>
          <w:p>
            <w:pPr>
              <w:jc w:val="center"/>
            </w:pPr>
            <w:r>
              <w:rPr>
                <w:sz w:val="14"/>
              </w:rPr>
              <w:t>82.6471</w:t>
            </w:r>
          </w:p>
        </w:tc>
        <w:tc>
          <w:tcPr>
            <w:tcW w:type="dxa" w:w="1260"/>
            <w:vAlign w:val="center"/>
          </w:tcPr>
          <w:p>
            <w:pPr>
              <w:jc w:val="center"/>
            </w:pPr>
            <w:r>
              <w:rPr>
                <w:sz w:val="14"/>
              </w:rPr>
              <w:t>464.3882</w:t>
            </w:r>
          </w:p>
        </w:tc>
        <w:tc>
          <w:tcPr>
            <w:tcW w:type="dxa" w:w="1260"/>
            <w:vAlign w:val="center"/>
          </w:tcPr>
          <w:p>
            <w:pPr>
              <w:jc w:val="center"/>
            </w:pPr>
            <w:r>
              <w:rPr>
                <w:sz w:val="14"/>
              </w:rPr>
              <w:t>3.8222</w:t>
            </w:r>
          </w:p>
        </w:tc>
        <w:tc>
          <w:tcPr>
            <w:tcW w:type="dxa" w:w="1260"/>
            <w:vAlign w:val="center"/>
          </w:tcPr>
          <w:p>
            <w:pPr>
              <w:jc w:val="center"/>
            </w:pPr>
            <w:r>
              <w:rPr>
                <w:sz w:val="14"/>
              </w:rPr>
              <w:t>0.0240</w:t>
            </w:r>
          </w:p>
        </w:tc>
        <w:tc>
          <w:tcPr>
            <w:tcW w:type="dxa" w:w="1260"/>
            <w:vAlign w:val="center"/>
          </w:tcPr>
          <w:p>
            <w:pPr>
              <w:jc w:val="center"/>
            </w:pPr>
            <w:r>
              <w:rPr>
                <w:sz w:val="14"/>
              </w:rPr>
              <w:t>0.7845</w:t>
            </w:r>
          </w:p>
        </w:tc>
        <w:tc>
          <w:tcPr>
            <w:tcW w:type="dxa" w:w="1260"/>
            <w:vAlign w:val="center"/>
          </w:tcPr>
          <w:p>
            <w:pPr>
              <w:jc w:val="center"/>
            </w:pPr>
            <w:r>
              <w:rPr>
                <w:sz w:val="14"/>
              </w:rPr>
              <w:t>1274.7433</w:t>
            </w:r>
          </w:p>
        </w:tc>
        <w:tc>
          <w:tcPr>
            <w:tcW w:type="dxa" w:w="1260"/>
            <w:vAlign w:val="center"/>
          </w:tcPr>
          <w:p>
            <w:pPr>
              <w:jc w:val="center"/>
            </w:pPr>
            <w:r>
              <w:rPr>
                <w:sz w:val="14"/>
              </w:rPr>
              <w:t>2.1075</w:t>
            </w:r>
          </w:p>
        </w:tc>
      </w:tr>
      <w:tr>
        <w:tc>
          <w:tcPr>
            <w:tcW w:type="dxa" w:w="1260"/>
            <w:vAlign w:val="center"/>
            <w:shd w:fill="F4F8FB"/>
          </w:tcPr>
          <w:p>
            <w:pPr>
              <w:jc w:val="left"/>
            </w:pPr>
            <w:r>
              <w:rPr>
                <w:sz w:val="14"/>
              </w:rPr>
              <w:t>Least Loaded</w:t>
            </w:r>
          </w:p>
        </w:tc>
        <w:tc>
          <w:tcPr>
            <w:tcW w:type="dxa" w:w="1260"/>
            <w:vAlign w:val="center"/>
            <w:shd w:fill="F4F8FB"/>
          </w:tcPr>
          <w:p>
            <w:pPr>
              <w:jc w:val="center"/>
            </w:pPr>
            <w:r>
              <w:rPr>
                <w:sz w:val="14"/>
              </w:rPr>
              <w:t>9.6450</w:t>
            </w:r>
          </w:p>
        </w:tc>
        <w:tc>
          <w:tcPr>
            <w:tcW w:type="dxa" w:w="1260"/>
            <w:vAlign w:val="center"/>
            <w:shd w:fill="F4F8FB"/>
          </w:tcPr>
          <w:p>
            <w:pPr>
              <w:jc w:val="center"/>
            </w:pPr>
            <w:r>
              <w:rPr>
                <w:sz w:val="14"/>
              </w:rPr>
              <w:t>21.5953</w:t>
            </w:r>
          </w:p>
        </w:tc>
        <w:tc>
          <w:tcPr>
            <w:tcW w:type="dxa" w:w="1260"/>
            <w:vAlign w:val="center"/>
            <w:shd w:fill="F4F8FB"/>
          </w:tcPr>
          <w:p>
            <w:pPr>
              <w:jc w:val="center"/>
            </w:pPr>
            <w:r>
              <w:rPr>
                <w:sz w:val="14"/>
              </w:rPr>
              <w:t>838.0889</w:t>
            </w:r>
          </w:p>
        </w:tc>
        <w:tc>
          <w:tcPr>
            <w:tcW w:type="dxa" w:w="1260"/>
            <w:vAlign w:val="center"/>
            <w:shd w:fill="F4F8FB"/>
          </w:tcPr>
          <w:p>
            <w:pPr>
              <w:jc w:val="center"/>
            </w:pPr>
            <w:r>
              <w:rPr>
                <w:sz w:val="14"/>
              </w:rPr>
              <w:t>0.0140</w:t>
            </w:r>
          </w:p>
        </w:tc>
        <w:tc>
          <w:tcPr>
            <w:tcW w:type="dxa" w:w="1260"/>
            <w:vAlign w:val="center"/>
            <w:shd w:fill="F4F8FB"/>
          </w:tcPr>
          <w:p>
            <w:pPr>
              <w:jc w:val="center"/>
            </w:pPr>
            <w:r>
              <w:rPr>
                <w:sz w:val="14"/>
              </w:rPr>
              <w:t>1.5787</w:t>
            </w:r>
          </w:p>
        </w:tc>
        <w:tc>
          <w:tcPr>
            <w:tcW w:type="dxa" w:w="1260"/>
            <w:vAlign w:val="center"/>
            <w:shd w:fill="F4F8FB"/>
          </w:tcPr>
          <w:p>
            <w:pPr>
              <w:jc w:val="center"/>
            </w:pPr>
            <w:r>
              <w:rPr>
                <w:sz w:val="14"/>
              </w:rPr>
              <w:t>633.4151</w:t>
            </w:r>
          </w:p>
        </w:tc>
        <w:tc>
          <w:tcPr>
            <w:tcW w:type="dxa" w:w="1260"/>
            <w:vAlign w:val="center"/>
            <w:shd w:fill="F4F8FB"/>
          </w:tcPr>
          <w:p>
            <w:pPr>
              <w:jc w:val="center"/>
            </w:pPr>
            <w:r>
              <w:rPr>
                <w:sz w:val="14"/>
              </w:rPr>
              <w:t>1.0472</w:t>
            </w:r>
          </w:p>
        </w:tc>
      </w:tr>
      <w:tr>
        <w:tc>
          <w:tcPr>
            <w:tcW w:type="dxa" w:w="1260"/>
            <w:vAlign w:val="center"/>
          </w:tcPr>
          <w:p>
            <w:pPr>
              <w:jc w:val="left"/>
            </w:pPr>
            <w:r>
              <w:rPr>
                <w:sz w:val="14"/>
              </w:rPr>
              <w:t>MECT</w:t>
            </w:r>
          </w:p>
        </w:tc>
        <w:tc>
          <w:tcPr>
            <w:tcW w:type="dxa" w:w="1260"/>
            <w:vAlign w:val="center"/>
          </w:tcPr>
          <w:p>
            <w:pPr>
              <w:jc w:val="center"/>
            </w:pPr>
            <w:r>
              <w:rPr>
                <w:sz w:val="14"/>
              </w:rPr>
              <w:t>12.0373</w:t>
            </w:r>
          </w:p>
        </w:tc>
        <w:tc>
          <w:tcPr>
            <w:tcW w:type="dxa" w:w="1260"/>
            <w:vAlign w:val="center"/>
          </w:tcPr>
          <w:p>
            <w:pPr>
              <w:jc w:val="center"/>
            </w:pPr>
            <w:r>
              <w:rPr>
                <w:sz w:val="14"/>
              </w:rPr>
              <w:t>18.7934</w:t>
            </w:r>
          </w:p>
        </w:tc>
        <w:tc>
          <w:tcPr>
            <w:tcW w:type="dxa" w:w="1260"/>
            <w:vAlign w:val="center"/>
          </w:tcPr>
          <w:p>
            <w:pPr>
              <w:jc w:val="center"/>
            </w:pPr>
            <w:r>
              <w:rPr>
                <w:sz w:val="14"/>
              </w:rPr>
              <w:t>1273.0222</w:t>
            </w:r>
          </w:p>
        </w:tc>
        <w:tc>
          <w:tcPr>
            <w:tcW w:type="dxa" w:w="1260"/>
            <w:vAlign w:val="center"/>
          </w:tcPr>
          <w:p>
            <w:pPr>
              <w:jc w:val="center"/>
            </w:pPr>
            <w:r>
              <w:rPr>
                <w:sz w:val="14"/>
              </w:rPr>
              <w:t>0.0140</w:t>
            </w:r>
          </w:p>
        </w:tc>
        <w:tc>
          <w:tcPr>
            <w:tcW w:type="dxa" w:w="1260"/>
            <w:vAlign w:val="center"/>
          </w:tcPr>
          <w:p>
            <w:pPr>
              <w:jc w:val="center"/>
            </w:pPr>
            <w:r>
              <w:rPr>
                <w:sz w:val="14"/>
              </w:rPr>
              <w:t>1.6139</w:t>
            </w:r>
          </w:p>
        </w:tc>
        <w:tc>
          <w:tcPr>
            <w:tcW w:type="dxa" w:w="1260"/>
            <w:vAlign w:val="center"/>
          </w:tcPr>
          <w:p>
            <w:pPr>
              <w:jc w:val="center"/>
            </w:pPr>
            <w:r>
              <w:rPr>
                <w:sz w:val="14"/>
              </w:rPr>
              <w:t>619.6140</w:t>
            </w:r>
          </w:p>
        </w:tc>
        <w:tc>
          <w:tcPr>
            <w:tcW w:type="dxa" w:w="1260"/>
            <w:vAlign w:val="center"/>
          </w:tcPr>
          <w:p>
            <w:pPr>
              <w:jc w:val="center"/>
            </w:pPr>
            <w:r>
              <w:rPr>
                <w:sz w:val="14"/>
              </w:rPr>
              <w:t>1.0244</w:t>
            </w:r>
          </w:p>
        </w:tc>
      </w:tr>
      <w:tr>
        <w:tc>
          <w:tcPr>
            <w:tcW w:type="dxa" w:w="1260"/>
            <w:vAlign w:val="center"/>
            <w:shd w:fill="F4F8FB"/>
          </w:tcPr>
          <w:p>
            <w:pPr>
              <w:jc w:val="left"/>
            </w:pPr>
            <w:r>
              <w:rPr>
                <w:sz w:val="14"/>
              </w:rPr>
              <w:t>Policy-GA</w:t>
            </w:r>
          </w:p>
        </w:tc>
        <w:tc>
          <w:tcPr>
            <w:tcW w:type="dxa" w:w="1260"/>
            <w:vAlign w:val="center"/>
            <w:shd w:fill="F4F8FB"/>
          </w:tcPr>
          <w:p>
            <w:pPr>
              <w:jc w:val="center"/>
            </w:pPr>
            <w:r>
              <w:rPr>
                <w:sz w:val="14"/>
              </w:rPr>
              <w:t>9.8497</w:t>
            </w:r>
          </w:p>
        </w:tc>
        <w:tc>
          <w:tcPr>
            <w:tcW w:type="dxa" w:w="1260"/>
            <w:vAlign w:val="center"/>
            <w:shd w:fill="F4F8FB"/>
          </w:tcPr>
          <w:p>
            <w:pPr>
              <w:jc w:val="center"/>
            </w:pPr>
            <w:r>
              <w:rPr>
                <w:sz w:val="14"/>
              </w:rPr>
              <w:t>16.6843</w:t>
            </w:r>
          </w:p>
        </w:tc>
        <w:tc>
          <w:tcPr>
            <w:tcW w:type="dxa" w:w="1260"/>
            <w:vAlign w:val="center"/>
            <w:shd w:fill="F4F8FB"/>
          </w:tcPr>
          <w:p>
            <w:pPr>
              <w:jc w:val="center"/>
            </w:pPr>
            <w:r>
              <w:rPr>
                <w:sz w:val="14"/>
              </w:rPr>
              <w:t>1391.6889</w:t>
            </w:r>
          </w:p>
        </w:tc>
        <w:tc>
          <w:tcPr>
            <w:tcW w:type="dxa" w:w="1260"/>
            <w:vAlign w:val="center"/>
            <w:shd w:fill="F4F8FB"/>
          </w:tcPr>
          <w:p>
            <w:pPr>
              <w:jc w:val="center"/>
            </w:pPr>
            <w:r>
              <w:rPr>
                <w:sz w:val="14"/>
              </w:rPr>
              <w:t>0.0100</w:t>
            </w:r>
          </w:p>
        </w:tc>
        <w:tc>
          <w:tcPr>
            <w:tcW w:type="dxa" w:w="1260"/>
            <w:vAlign w:val="center"/>
            <w:shd w:fill="F4F8FB"/>
          </w:tcPr>
          <w:p>
            <w:pPr>
              <w:jc w:val="center"/>
            </w:pPr>
            <w:r>
              <w:rPr>
                <w:sz w:val="14"/>
              </w:rPr>
              <w:t>1.6124</w:t>
            </w:r>
          </w:p>
        </w:tc>
        <w:tc>
          <w:tcPr>
            <w:tcW w:type="dxa" w:w="1260"/>
            <w:vAlign w:val="center"/>
            <w:shd w:fill="F4F8FB"/>
          </w:tcPr>
          <w:p>
            <w:pPr>
              <w:jc w:val="center"/>
            </w:pPr>
            <w:r>
              <w:rPr>
                <w:sz w:val="14"/>
              </w:rPr>
              <w:t>620.1830</w:t>
            </w:r>
          </w:p>
        </w:tc>
        <w:tc>
          <w:tcPr>
            <w:tcW w:type="dxa" w:w="1260"/>
            <w:vAlign w:val="center"/>
            <w:shd w:fill="F4F8FB"/>
          </w:tcPr>
          <w:p>
            <w:pPr>
              <w:jc w:val="center"/>
            </w:pPr>
            <w:r>
              <w:rPr>
                <w:sz w:val="14"/>
              </w:rPr>
              <w:t>1.0253</w:t>
            </w:r>
          </w:p>
        </w:tc>
      </w:tr>
      <w:tr>
        <w:tc>
          <w:tcPr>
            <w:tcW w:type="dxa" w:w="1260"/>
            <w:vAlign w:val="center"/>
          </w:tcPr>
          <w:p>
            <w:pPr>
              <w:jc w:val="left"/>
            </w:pPr>
            <w:r>
              <w:rPr>
                <w:sz w:val="14"/>
              </w:rPr>
              <w:t>Policy-PSO</w:t>
            </w:r>
          </w:p>
        </w:tc>
        <w:tc>
          <w:tcPr>
            <w:tcW w:type="dxa" w:w="1260"/>
            <w:vAlign w:val="center"/>
          </w:tcPr>
          <w:p>
            <w:pPr>
              <w:jc w:val="center"/>
            </w:pPr>
            <w:r>
              <w:rPr>
                <w:sz w:val="14"/>
              </w:rPr>
              <w:t>9.4771</w:t>
            </w:r>
          </w:p>
        </w:tc>
        <w:tc>
          <w:tcPr>
            <w:tcW w:type="dxa" w:w="1260"/>
            <w:vAlign w:val="center"/>
          </w:tcPr>
          <w:p>
            <w:pPr>
              <w:jc w:val="center"/>
            </w:pPr>
            <w:r>
              <w:rPr>
                <w:sz w:val="14"/>
              </w:rPr>
              <w:t>18.0310</w:t>
            </w:r>
          </w:p>
        </w:tc>
        <w:tc>
          <w:tcPr>
            <w:tcW w:type="dxa" w:w="1260"/>
            <w:vAlign w:val="center"/>
          </w:tcPr>
          <w:p>
            <w:pPr>
              <w:jc w:val="center"/>
            </w:pPr>
            <w:r>
              <w:rPr>
                <w:sz w:val="14"/>
              </w:rPr>
              <w:t>1272.6222</w:t>
            </w:r>
          </w:p>
        </w:tc>
        <w:tc>
          <w:tcPr>
            <w:tcW w:type="dxa" w:w="1260"/>
            <w:vAlign w:val="center"/>
          </w:tcPr>
          <w:p>
            <w:pPr>
              <w:jc w:val="center"/>
            </w:pPr>
            <w:r>
              <w:rPr>
                <w:sz w:val="14"/>
              </w:rPr>
              <w:t>0.0100</w:t>
            </w:r>
          </w:p>
        </w:tc>
        <w:tc>
          <w:tcPr>
            <w:tcW w:type="dxa" w:w="1260"/>
            <w:vAlign w:val="center"/>
          </w:tcPr>
          <w:p>
            <w:pPr>
              <w:jc w:val="center"/>
            </w:pPr>
            <w:r>
              <w:rPr>
                <w:sz w:val="14"/>
              </w:rPr>
              <w:t>1.6152</w:t>
            </w:r>
          </w:p>
        </w:tc>
        <w:tc>
          <w:tcPr>
            <w:tcW w:type="dxa" w:w="1260"/>
            <w:vAlign w:val="center"/>
          </w:tcPr>
          <w:p>
            <w:pPr>
              <w:jc w:val="center"/>
            </w:pPr>
            <w:r>
              <w:rPr>
                <w:sz w:val="14"/>
              </w:rPr>
              <w:t>619.1322</w:t>
            </w:r>
          </w:p>
        </w:tc>
        <w:tc>
          <w:tcPr>
            <w:tcW w:type="dxa" w:w="1260"/>
            <w:vAlign w:val="center"/>
          </w:tcPr>
          <w:p>
            <w:pPr>
              <w:jc w:val="center"/>
            </w:pPr>
            <w:r>
              <w:rPr>
                <w:sz w:val="14"/>
              </w:rPr>
              <w:t>1.0236</w:t>
            </w:r>
          </w:p>
        </w:tc>
      </w:tr>
      <w:tr>
        <w:tc>
          <w:tcPr>
            <w:tcW w:type="dxa" w:w="1260"/>
            <w:vAlign w:val="center"/>
            <w:shd w:fill="F4F8FB"/>
          </w:tcPr>
          <w:p>
            <w:pPr>
              <w:jc w:val="left"/>
            </w:pPr>
            <w:r>
              <w:rPr>
                <w:sz w:val="14"/>
              </w:rPr>
              <w:t>Policy-DE</w:t>
            </w:r>
          </w:p>
        </w:tc>
        <w:tc>
          <w:tcPr>
            <w:tcW w:type="dxa" w:w="1260"/>
            <w:vAlign w:val="center"/>
            <w:shd w:fill="F4F8FB"/>
          </w:tcPr>
          <w:p>
            <w:pPr>
              <w:jc w:val="center"/>
            </w:pPr>
            <w:r>
              <w:rPr>
                <w:sz w:val="14"/>
              </w:rPr>
              <w:t>10.1367</w:t>
            </w:r>
          </w:p>
        </w:tc>
        <w:tc>
          <w:tcPr>
            <w:tcW w:type="dxa" w:w="1260"/>
            <w:vAlign w:val="center"/>
            <w:shd w:fill="F4F8FB"/>
          </w:tcPr>
          <w:p>
            <w:pPr>
              <w:jc w:val="center"/>
            </w:pPr>
            <w:r>
              <w:rPr>
                <w:sz w:val="14"/>
              </w:rPr>
              <w:t>16.2014</w:t>
            </w:r>
          </w:p>
        </w:tc>
        <w:tc>
          <w:tcPr>
            <w:tcW w:type="dxa" w:w="1260"/>
            <w:vAlign w:val="center"/>
            <w:shd w:fill="F4F8FB"/>
          </w:tcPr>
          <w:p>
            <w:pPr>
              <w:jc w:val="center"/>
            </w:pPr>
            <w:r>
              <w:rPr>
                <w:sz w:val="14"/>
              </w:rPr>
              <w:t>1490.6222</w:t>
            </w:r>
          </w:p>
        </w:tc>
        <w:tc>
          <w:tcPr>
            <w:tcW w:type="dxa" w:w="1260"/>
            <w:vAlign w:val="center"/>
            <w:shd w:fill="F4F8FB"/>
          </w:tcPr>
          <w:p>
            <w:pPr>
              <w:jc w:val="center"/>
            </w:pPr>
            <w:r>
              <w:rPr>
                <w:sz w:val="14"/>
              </w:rPr>
              <w:t>0.0110</w:t>
            </w:r>
          </w:p>
        </w:tc>
        <w:tc>
          <w:tcPr>
            <w:tcW w:type="dxa" w:w="1260"/>
            <w:vAlign w:val="center"/>
            <w:shd w:fill="F4F8FB"/>
          </w:tcPr>
          <w:p>
            <w:pPr>
              <w:jc w:val="center"/>
            </w:pPr>
            <w:r>
              <w:rPr>
                <w:sz w:val="14"/>
              </w:rPr>
              <w:t>1.6193</w:t>
            </w:r>
          </w:p>
        </w:tc>
        <w:tc>
          <w:tcPr>
            <w:tcW w:type="dxa" w:w="1260"/>
            <w:vAlign w:val="center"/>
            <w:shd w:fill="F4F8FB"/>
          </w:tcPr>
          <w:p>
            <w:pPr>
              <w:jc w:val="center"/>
            </w:pPr>
            <w:r>
              <w:rPr>
                <w:sz w:val="14"/>
              </w:rPr>
              <w:t>617.5510</w:t>
            </w:r>
          </w:p>
        </w:tc>
        <w:tc>
          <w:tcPr>
            <w:tcW w:type="dxa" w:w="1260"/>
            <w:vAlign w:val="center"/>
            <w:shd w:fill="F4F8FB"/>
          </w:tcPr>
          <w:p>
            <w:pPr>
              <w:jc w:val="center"/>
            </w:pPr>
            <w:r>
              <w:rPr>
                <w:sz w:val="14"/>
              </w:rPr>
              <w:t>1.0210</w:t>
            </w:r>
          </w:p>
        </w:tc>
      </w:tr>
      <w:tr>
        <w:tc>
          <w:tcPr>
            <w:tcW w:type="dxa" w:w="1260"/>
            <w:vAlign w:val="center"/>
          </w:tcPr>
          <w:p>
            <w:pPr>
              <w:jc w:val="left"/>
            </w:pPr>
            <w:r>
              <w:rPr>
                <w:sz w:val="14"/>
              </w:rPr>
              <w:t>Policy-Hybrid CCE</w:t>
            </w:r>
          </w:p>
        </w:tc>
        <w:tc>
          <w:tcPr>
            <w:tcW w:type="dxa" w:w="1260"/>
            <w:vAlign w:val="center"/>
          </w:tcPr>
          <w:p>
            <w:pPr>
              <w:jc w:val="center"/>
            </w:pPr>
            <w:r>
              <w:rPr>
                <w:sz w:val="14"/>
              </w:rPr>
              <w:t>10.2805</w:t>
            </w:r>
          </w:p>
        </w:tc>
        <w:tc>
          <w:tcPr>
            <w:tcW w:type="dxa" w:w="1260"/>
            <w:vAlign w:val="center"/>
          </w:tcPr>
          <w:p>
            <w:pPr>
              <w:jc w:val="center"/>
            </w:pPr>
            <w:r>
              <w:rPr>
                <w:sz w:val="14"/>
              </w:rPr>
              <w:t>16.5822</w:t>
            </w:r>
          </w:p>
        </w:tc>
        <w:tc>
          <w:tcPr>
            <w:tcW w:type="dxa" w:w="1260"/>
            <w:vAlign w:val="center"/>
          </w:tcPr>
          <w:p>
            <w:pPr>
              <w:jc w:val="center"/>
            </w:pPr>
            <w:r>
              <w:rPr>
                <w:sz w:val="14"/>
              </w:rPr>
              <w:t>1428.4889</w:t>
            </w:r>
          </w:p>
        </w:tc>
        <w:tc>
          <w:tcPr>
            <w:tcW w:type="dxa" w:w="1260"/>
            <w:vAlign w:val="center"/>
          </w:tcPr>
          <w:p>
            <w:pPr>
              <w:jc w:val="center"/>
            </w:pPr>
            <w:r>
              <w:rPr>
                <w:sz w:val="14"/>
              </w:rPr>
              <w:t>0.0170</w:t>
            </w:r>
          </w:p>
        </w:tc>
        <w:tc>
          <w:tcPr>
            <w:tcW w:type="dxa" w:w="1260"/>
            <w:vAlign w:val="center"/>
          </w:tcPr>
          <w:p>
            <w:pPr>
              <w:jc w:val="center"/>
            </w:pPr>
            <w:r>
              <w:rPr>
                <w:sz w:val="14"/>
              </w:rPr>
              <w:t>1.6094</w:t>
            </w:r>
          </w:p>
        </w:tc>
        <w:tc>
          <w:tcPr>
            <w:tcW w:type="dxa" w:w="1260"/>
            <w:vAlign w:val="center"/>
          </w:tcPr>
          <w:p>
            <w:pPr>
              <w:jc w:val="center"/>
            </w:pPr>
            <w:r>
              <w:rPr>
                <w:sz w:val="14"/>
              </w:rPr>
              <w:t>621.3535</w:t>
            </w:r>
          </w:p>
        </w:tc>
        <w:tc>
          <w:tcPr>
            <w:tcW w:type="dxa" w:w="1260"/>
            <w:vAlign w:val="center"/>
          </w:tcPr>
          <w:p>
            <w:pPr>
              <w:jc w:val="center"/>
            </w:pPr>
            <w:r>
              <w:rPr>
                <w:sz w:val="14"/>
              </w:rPr>
              <w:t>1.0273</w:t>
            </w:r>
          </w:p>
        </w:tc>
      </w:tr>
    </w:tbl>
    <w:p/>
    <w:p>
      <w:pPr>
        <w:spacing w:after="120" w:line="252" w:lineRule="auto"/>
      </w:pPr>
      <w:r>
        <w:t>On the main Alibaba trace sample, optimized policies reduce average completion time by 14.59 to 21.27 percent and P95 latency by 4.06 to 13.79 percent relative to MECT. PSO provides the best average completion time at 9.4771 s and ties GA for the best failure rate at 0.010. DE provides the best P95 latency at 16.2014 s, best makespan at 617.5510 s, best SLR at 1.0210, and best throughput at 1.6193.</w:t>
      </w:r>
    </w:p>
    <w:p>
      <w:pPr>
        <w:spacing w:after="120" w:line="252" w:lineRule="auto"/>
      </w:pPr>
      <w:r>
        <w:t>The results do not support a universal dominance claim. Hybrid CCE remains competitive on mean and tail latency, but it regresses on failure rate, makespan, SLR, and throughput compared with MECT in this run. This is a key revision from the earlier manuscript and is reported transparently.</w:t>
      </w:r>
    </w:p>
    <w:p>
      <w:pPr>
        <w:spacing w:after="120" w:line="252" w:lineRule="auto"/>
      </w:pPr>
      <w:r>
        <w:t>Figure 2 compares the main metrics across all schedulers, while Figure 3 reports convergence and Figure 4 shows the subgroup behavior inside the Cooperative Co Evolution Hybrid optimizer.</w:t>
      </w:r>
    </w:p>
    <w:p>
      <w:pPr>
        <w:jc w:val="center"/>
      </w:pPr>
      <w:r>
        <w:drawing>
          <wp:inline xmlns:a="http://schemas.openxmlformats.org/drawingml/2006/main" xmlns:pic="http://schemas.openxmlformats.org/drawingml/2006/picture">
            <wp:extent cx="5669280" cy="4138956"/>
            <wp:docPr id="2" name="Picture 2"/>
            <wp:cNvGraphicFramePr>
              <a:graphicFrameLocks noChangeAspect="1"/>
            </wp:cNvGraphicFramePr>
            <a:graphic>
              <a:graphicData uri="http://schemas.openxmlformats.org/drawingml/2006/picture">
                <pic:pic>
                  <pic:nvPicPr>
                    <pic:cNvPr id="0" name="scheduler_comparison.png"/>
                    <pic:cNvPicPr/>
                  </pic:nvPicPr>
                  <pic:blipFill>
                    <a:blip r:embed="rId10"/>
                    <a:stretch>
                      <a:fillRect/>
                    </a:stretch>
                  </pic:blipFill>
                  <pic:spPr>
                    <a:xfrm>
                      <a:off x="0" y="0"/>
                      <a:ext cx="5669280" cy="4138956"/>
                    </a:xfrm>
                    <a:prstGeom prst="rect"/>
                  </pic:spPr>
                </pic:pic>
              </a:graphicData>
            </a:graphic>
          </wp:inline>
        </w:drawing>
      </w:r>
    </w:p>
    <w:p>
      <w:pPr>
        <w:spacing w:after="160"/>
        <w:jc w:val="center"/>
      </w:pPr>
      <w:r>
        <w:rPr>
          <w:i/>
          <w:sz w:val="18"/>
        </w:rPr>
        <w:t>Figure 2. Scheduler performance comparison across AvgCT, P95, makespan, and failure rate.</w:t>
      </w:r>
    </w:p>
    <w:p>
      <w:pPr>
        <w:jc w:val="center"/>
      </w:pPr>
      <w:r>
        <w:drawing>
          <wp:inline xmlns:a="http://schemas.openxmlformats.org/drawingml/2006/main" xmlns:pic="http://schemas.openxmlformats.org/drawingml/2006/picture">
            <wp:extent cx="5394960" cy="3215876"/>
            <wp:docPr id="3" name="Picture 3"/>
            <wp:cNvGraphicFramePr>
              <a:graphicFrameLocks noChangeAspect="1"/>
            </wp:cNvGraphicFramePr>
            <a:graphic>
              <a:graphicData uri="http://schemas.openxmlformats.org/drawingml/2006/picture">
                <pic:pic>
                  <pic:nvPicPr>
                    <pic:cNvPr id="0" name="convergence_curves.png"/>
                    <pic:cNvPicPr/>
                  </pic:nvPicPr>
                  <pic:blipFill>
                    <a:blip r:embed="rId11"/>
                    <a:stretch>
                      <a:fillRect/>
                    </a:stretch>
                  </pic:blipFill>
                  <pic:spPr>
                    <a:xfrm>
                      <a:off x="0" y="0"/>
                      <a:ext cx="5394960" cy="3215876"/>
                    </a:xfrm>
                    <a:prstGeom prst="rect"/>
                  </pic:spPr>
                </pic:pic>
              </a:graphicData>
            </a:graphic>
          </wp:inline>
        </w:drawing>
      </w:r>
    </w:p>
    <w:p>
      <w:pPr>
        <w:spacing w:after="160"/>
        <w:jc w:val="center"/>
      </w:pPr>
      <w:r>
        <w:rPr>
          <w:i/>
          <w:sz w:val="18"/>
        </w:rPr>
        <w:t>Figure 3. Convergence curves for all optimizers.</w:t>
      </w:r>
    </w:p>
    <w:p>
      <w:pPr>
        <w:jc w:val="center"/>
      </w:pPr>
      <w:r>
        <w:drawing>
          <wp:inline xmlns:a="http://schemas.openxmlformats.org/drawingml/2006/main" xmlns:pic="http://schemas.openxmlformats.org/drawingml/2006/picture">
            <wp:extent cx="5394960" cy="3213709"/>
            <wp:docPr id="4" name="Picture 4"/>
            <wp:cNvGraphicFramePr>
              <a:graphicFrameLocks noChangeAspect="1"/>
            </wp:cNvGraphicFramePr>
            <a:graphic>
              <a:graphicData uri="http://schemas.openxmlformats.org/drawingml/2006/picture">
                <pic:pic>
                  <pic:nvPicPr>
                    <pic:cNvPr id="0" name="cce_subgroup_convergence.png"/>
                    <pic:cNvPicPr/>
                  </pic:nvPicPr>
                  <pic:blipFill>
                    <a:blip r:embed="rId12"/>
                    <a:stretch>
                      <a:fillRect/>
                    </a:stretch>
                  </pic:blipFill>
                  <pic:spPr>
                    <a:xfrm>
                      <a:off x="0" y="0"/>
                      <a:ext cx="5394960" cy="3213709"/>
                    </a:xfrm>
                    <a:prstGeom prst="rect"/>
                  </pic:spPr>
                </pic:pic>
              </a:graphicData>
            </a:graphic>
          </wp:inline>
        </w:drawing>
      </w:r>
    </w:p>
    <w:p>
      <w:pPr>
        <w:spacing w:after="160"/>
        <w:jc w:val="center"/>
      </w:pPr>
      <w:r>
        <w:rPr>
          <w:i/>
          <w:sz w:val="18"/>
        </w:rPr>
        <w:t>Figure 4. Cooperative Co Evolution subgroup convergence.</w:t>
      </w:r>
    </w:p>
    <w:p>
      <w:pPr>
        <w:spacing w:after="120" w:line="252" w:lineRule="auto"/>
      </w:pPr>
      <w:r>
        <w:t>Figure 5 summarizes percentage improvement against MECT and makes the metric specific gains and regressions explicit.</w:t>
      </w:r>
    </w:p>
    <w:p>
      <w:pPr>
        <w:jc w:val="center"/>
      </w:pPr>
      <w:r>
        <w:drawing>
          <wp:inline xmlns:a="http://schemas.openxmlformats.org/drawingml/2006/main" xmlns:pic="http://schemas.openxmlformats.org/drawingml/2006/picture">
            <wp:extent cx="5577840" cy="3017632"/>
            <wp:docPr id="5" name="Picture 5"/>
            <wp:cNvGraphicFramePr>
              <a:graphicFrameLocks noChangeAspect="1"/>
            </wp:cNvGraphicFramePr>
            <a:graphic>
              <a:graphicData uri="http://schemas.openxmlformats.org/drawingml/2006/picture">
                <pic:pic>
                  <pic:nvPicPr>
                    <pic:cNvPr id="0" name="improvement_over_mect.png"/>
                    <pic:cNvPicPr/>
                  </pic:nvPicPr>
                  <pic:blipFill>
                    <a:blip r:embed="rId13"/>
                    <a:stretch>
                      <a:fillRect/>
                    </a:stretch>
                  </pic:blipFill>
                  <pic:spPr>
                    <a:xfrm>
                      <a:off x="0" y="0"/>
                      <a:ext cx="5577840" cy="3017632"/>
                    </a:xfrm>
                    <a:prstGeom prst="rect"/>
                  </pic:spPr>
                </pic:pic>
              </a:graphicData>
            </a:graphic>
          </wp:inline>
        </w:drawing>
      </w:r>
    </w:p>
    <w:p>
      <w:pPr>
        <w:spacing w:after="160"/>
        <w:jc w:val="center"/>
      </w:pPr>
      <w:r>
        <w:rPr>
          <w:i/>
          <w:sz w:val="18"/>
        </w:rPr>
        <w:t>Figure 5. Percentage improvement over MECT. Positive values indicate improvement.</w:t>
      </w:r>
    </w:p>
    <w:p>
      <w:pPr>
        <w:pStyle w:val="Heading2"/>
        <w:spacing w:before="120" w:after="80"/>
      </w:pPr>
      <w:r>
        <w:t>7.3 Weight Interpretation</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1260"/>
        <w:gridCol w:w="1260"/>
        <w:gridCol w:w="1260"/>
        <w:gridCol w:w="1260"/>
        <w:gridCol w:w="1260"/>
        <w:gridCol w:w="1260"/>
        <w:gridCol w:w="1260"/>
        <w:gridCol w:w="1260"/>
      </w:tblGrid>
      <w:tr>
        <w:trPr>
          <w:tblHeader w:val="true"/>
        </w:trPr>
        <w:tc>
          <w:tcPr>
            <w:tcW w:type="dxa" w:w="1260"/>
            <w:shd w:fill="1F4E79"/>
            <w:vAlign w:val="center"/>
          </w:tcPr>
          <w:p>
            <w:pPr>
              <w:jc w:val="center"/>
            </w:pPr>
            <w:r>
              <w:rPr>
                <w:b/>
                <w:color w:val="FFFFFF"/>
                <w:sz w:val="15"/>
              </w:rPr>
              <w:t>Optimizer</w:t>
            </w:r>
          </w:p>
        </w:tc>
        <w:tc>
          <w:tcPr>
            <w:tcW w:type="dxa" w:w="1260"/>
            <w:shd w:fill="1F4E79"/>
            <w:vAlign w:val="center"/>
          </w:tcPr>
          <w:p>
            <w:pPr>
              <w:jc w:val="center"/>
            </w:pPr>
            <w:r>
              <w:rPr>
                <w:b/>
                <w:color w:val="FFFFFF"/>
                <w:sz w:val="15"/>
              </w:rPr>
              <w:t>Fitness</w:t>
            </w:r>
          </w:p>
        </w:tc>
        <w:tc>
          <w:tcPr>
            <w:tcW w:type="dxa" w:w="1260"/>
            <w:shd w:fill="1F4E79"/>
            <w:vAlign w:val="center"/>
          </w:tcPr>
          <w:p>
            <w:pPr>
              <w:jc w:val="center"/>
            </w:pPr>
            <w:r>
              <w:rPr>
                <w:b/>
                <w:color w:val="FFFFFF"/>
                <w:sz w:val="15"/>
              </w:rPr>
              <w:t>w1</w:t>
            </w:r>
          </w:p>
        </w:tc>
        <w:tc>
          <w:tcPr>
            <w:tcW w:type="dxa" w:w="1260"/>
            <w:shd w:fill="1F4E79"/>
            <w:vAlign w:val="center"/>
          </w:tcPr>
          <w:p>
            <w:pPr>
              <w:jc w:val="center"/>
            </w:pPr>
            <w:r>
              <w:rPr>
                <w:b/>
                <w:color w:val="FFFFFF"/>
                <w:sz w:val="15"/>
              </w:rPr>
              <w:t>w2</w:t>
            </w:r>
          </w:p>
        </w:tc>
        <w:tc>
          <w:tcPr>
            <w:tcW w:type="dxa" w:w="1260"/>
            <w:shd w:fill="1F4E79"/>
            <w:vAlign w:val="center"/>
          </w:tcPr>
          <w:p>
            <w:pPr>
              <w:jc w:val="center"/>
            </w:pPr>
            <w:r>
              <w:rPr>
                <w:b/>
                <w:color w:val="FFFFFF"/>
                <w:sz w:val="15"/>
              </w:rPr>
              <w:t>w3</w:t>
            </w:r>
          </w:p>
        </w:tc>
        <w:tc>
          <w:tcPr>
            <w:tcW w:type="dxa" w:w="1260"/>
            <w:shd w:fill="1F4E79"/>
            <w:vAlign w:val="center"/>
          </w:tcPr>
          <w:p>
            <w:pPr>
              <w:jc w:val="center"/>
            </w:pPr>
            <w:r>
              <w:rPr>
                <w:b/>
                <w:color w:val="FFFFFF"/>
                <w:sz w:val="15"/>
              </w:rPr>
              <w:t>w4</w:t>
            </w:r>
          </w:p>
        </w:tc>
        <w:tc>
          <w:tcPr>
            <w:tcW w:type="dxa" w:w="1260"/>
            <w:shd w:fill="1F4E79"/>
            <w:vAlign w:val="center"/>
          </w:tcPr>
          <w:p>
            <w:pPr>
              <w:jc w:val="center"/>
            </w:pPr>
            <w:r>
              <w:rPr>
                <w:b/>
                <w:color w:val="FFFFFF"/>
                <w:sz w:val="15"/>
              </w:rPr>
              <w:t>w5</w:t>
            </w:r>
          </w:p>
        </w:tc>
        <w:tc>
          <w:tcPr>
            <w:tcW w:type="dxa" w:w="1260"/>
            <w:shd w:fill="1F4E79"/>
            <w:vAlign w:val="center"/>
          </w:tcPr>
          <w:p>
            <w:pPr>
              <w:jc w:val="center"/>
            </w:pPr>
            <w:r>
              <w:rPr>
                <w:b/>
                <w:color w:val="FFFFFF"/>
                <w:sz w:val="15"/>
              </w:rPr>
              <w:t>w6</w:t>
            </w:r>
          </w:p>
        </w:tc>
      </w:tr>
      <w:tr>
        <w:tc>
          <w:tcPr>
            <w:tcW w:type="dxa" w:w="1260"/>
            <w:vAlign w:val="center"/>
          </w:tcPr>
          <w:p>
            <w:pPr>
              <w:jc w:val="left"/>
            </w:pPr>
            <w:r>
              <w:rPr>
                <w:sz w:val="15"/>
              </w:rPr>
              <w:t>GA</w:t>
            </w:r>
          </w:p>
        </w:tc>
        <w:tc>
          <w:tcPr>
            <w:tcW w:type="dxa" w:w="1260"/>
            <w:vAlign w:val="center"/>
          </w:tcPr>
          <w:p>
            <w:pPr>
              <w:jc w:val="center"/>
            </w:pPr>
            <w:r>
              <w:rPr>
                <w:sz w:val="15"/>
              </w:rPr>
              <w:t>0.8498</w:t>
            </w:r>
          </w:p>
        </w:tc>
        <w:tc>
          <w:tcPr>
            <w:tcW w:type="dxa" w:w="1260"/>
            <w:vAlign w:val="center"/>
          </w:tcPr>
          <w:p>
            <w:pPr>
              <w:jc w:val="center"/>
            </w:pPr>
            <w:r>
              <w:rPr>
                <w:sz w:val="15"/>
              </w:rPr>
              <w:t>0.4820</w:t>
            </w:r>
          </w:p>
        </w:tc>
        <w:tc>
          <w:tcPr>
            <w:tcW w:type="dxa" w:w="1260"/>
            <w:vAlign w:val="center"/>
          </w:tcPr>
          <w:p>
            <w:pPr>
              <w:jc w:val="center"/>
            </w:pPr>
            <w:r>
              <w:rPr>
                <w:sz w:val="15"/>
              </w:rPr>
              <w:t>4.4855</w:t>
            </w:r>
          </w:p>
        </w:tc>
        <w:tc>
          <w:tcPr>
            <w:tcW w:type="dxa" w:w="1260"/>
            <w:vAlign w:val="center"/>
          </w:tcPr>
          <w:p>
            <w:pPr>
              <w:jc w:val="center"/>
            </w:pPr>
            <w:r>
              <w:rPr>
                <w:sz w:val="15"/>
              </w:rPr>
              <w:t>0.1907</w:t>
            </w:r>
          </w:p>
        </w:tc>
        <w:tc>
          <w:tcPr>
            <w:tcW w:type="dxa" w:w="1260"/>
            <w:vAlign w:val="center"/>
          </w:tcPr>
          <w:p>
            <w:pPr>
              <w:jc w:val="center"/>
            </w:pPr>
            <w:r>
              <w:rPr>
                <w:sz w:val="15"/>
              </w:rPr>
              <w:t>0.8895</w:t>
            </w:r>
          </w:p>
        </w:tc>
        <w:tc>
          <w:tcPr>
            <w:tcW w:type="dxa" w:w="1260"/>
            <w:vAlign w:val="center"/>
          </w:tcPr>
          <w:p>
            <w:pPr>
              <w:jc w:val="center"/>
            </w:pPr>
            <w:r>
              <w:rPr>
                <w:sz w:val="15"/>
              </w:rPr>
              <w:t>2.3926</w:t>
            </w:r>
          </w:p>
        </w:tc>
        <w:tc>
          <w:tcPr>
            <w:tcW w:type="dxa" w:w="1260"/>
            <w:vAlign w:val="center"/>
          </w:tcPr>
          <w:p>
            <w:pPr>
              <w:jc w:val="center"/>
            </w:pPr>
            <w:r>
              <w:rPr>
                <w:sz w:val="15"/>
              </w:rPr>
              <w:t>0.3586</w:t>
            </w:r>
          </w:p>
        </w:tc>
      </w:tr>
      <w:tr>
        <w:tc>
          <w:tcPr>
            <w:tcW w:type="dxa" w:w="1260"/>
            <w:vAlign w:val="center"/>
            <w:shd w:fill="F4F8FB"/>
          </w:tcPr>
          <w:p>
            <w:pPr>
              <w:jc w:val="left"/>
            </w:pPr>
            <w:r>
              <w:rPr>
                <w:sz w:val="15"/>
              </w:rPr>
              <w:t>PSO</w:t>
            </w:r>
          </w:p>
        </w:tc>
        <w:tc>
          <w:tcPr>
            <w:tcW w:type="dxa" w:w="1260"/>
            <w:vAlign w:val="center"/>
            <w:shd w:fill="F4F8FB"/>
          </w:tcPr>
          <w:p>
            <w:pPr>
              <w:jc w:val="center"/>
            </w:pPr>
            <w:r>
              <w:rPr>
                <w:sz w:val="15"/>
              </w:rPr>
              <w:t>0.8631</w:t>
            </w:r>
          </w:p>
        </w:tc>
        <w:tc>
          <w:tcPr>
            <w:tcW w:type="dxa" w:w="1260"/>
            <w:vAlign w:val="center"/>
            <w:shd w:fill="F4F8FB"/>
          </w:tcPr>
          <w:p>
            <w:pPr>
              <w:jc w:val="center"/>
            </w:pPr>
            <w:r>
              <w:rPr>
                <w:sz w:val="15"/>
              </w:rPr>
              <w:t>0.0000</w:t>
            </w:r>
          </w:p>
        </w:tc>
        <w:tc>
          <w:tcPr>
            <w:tcW w:type="dxa" w:w="1260"/>
            <w:vAlign w:val="center"/>
            <w:shd w:fill="F4F8FB"/>
          </w:tcPr>
          <w:p>
            <w:pPr>
              <w:jc w:val="center"/>
            </w:pPr>
            <w:r>
              <w:rPr>
                <w:sz w:val="15"/>
              </w:rPr>
              <w:t>5.0000</w:t>
            </w:r>
          </w:p>
        </w:tc>
        <w:tc>
          <w:tcPr>
            <w:tcW w:type="dxa" w:w="1260"/>
            <w:vAlign w:val="center"/>
            <w:shd w:fill="F4F8FB"/>
          </w:tcPr>
          <w:p>
            <w:pPr>
              <w:jc w:val="center"/>
            </w:pPr>
            <w:r>
              <w:rPr>
                <w:sz w:val="15"/>
              </w:rPr>
              <w:t>0.0000</w:t>
            </w:r>
          </w:p>
        </w:tc>
        <w:tc>
          <w:tcPr>
            <w:tcW w:type="dxa" w:w="1260"/>
            <w:vAlign w:val="center"/>
            <w:shd w:fill="F4F8FB"/>
          </w:tcPr>
          <w:p>
            <w:pPr>
              <w:jc w:val="center"/>
            </w:pPr>
            <w:r>
              <w:rPr>
                <w:sz w:val="15"/>
              </w:rPr>
              <w:t>0.4905</w:t>
            </w:r>
          </w:p>
        </w:tc>
        <w:tc>
          <w:tcPr>
            <w:tcW w:type="dxa" w:w="1260"/>
            <w:vAlign w:val="center"/>
            <w:shd w:fill="F4F8FB"/>
          </w:tcPr>
          <w:p>
            <w:pPr>
              <w:jc w:val="center"/>
            </w:pPr>
            <w:r>
              <w:rPr>
                <w:sz w:val="15"/>
              </w:rPr>
              <w:t>2.9432</w:t>
            </w:r>
          </w:p>
        </w:tc>
        <w:tc>
          <w:tcPr>
            <w:tcW w:type="dxa" w:w="1260"/>
            <w:vAlign w:val="center"/>
            <w:shd w:fill="F4F8FB"/>
          </w:tcPr>
          <w:p>
            <w:pPr>
              <w:jc w:val="center"/>
            </w:pPr>
            <w:r>
              <w:rPr>
                <w:sz w:val="15"/>
              </w:rPr>
              <w:t>0.0000</w:t>
            </w:r>
          </w:p>
        </w:tc>
      </w:tr>
      <w:tr>
        <w:tc>
          <w:tcPr>
            <w:tcW w:type="dxa" w:w="1260"/>
            <w:vAlign w:val="center"/>
          </w:tcPr>
          <w:p>
            <w:pPr>
              <w:jc w:val="left"/>
            </w:pPr>
            <w:r>
              <w:rPr>
                <w:sz w:val="15"/>
              </w:rPr>
              <w:t>DE</w:t>
            </w:r>
          </w:p>
        </w:tc>
        <w:tc>
          <w:tcPr>
            <w:tcW w:type="dxa" w:w="1260"/>
            <w:vAlign w:val="center"/>
          </w:tcPr>
          <w:p>
            <w:pPr>
              <w:jc w:val="center"/>
            </w:pPr>
            <w:r>
              <w:rPr>
                <w:sz w:val="15"/>
              </w:rPr>
              <w:t>0.8495</w:t>
            </w:r>
          </w:p>
        </w:tc>
        <w:tc>
          <w:tcPr>
            <w:tcW w:type="dxa" w:w="1260"/>
            <w:vAlign w:val="center"/>
          </w:tcPr>
          <w:p>
            <w:pPr>
              <w:jc w:val="center"/>
            </w:pPr>
            <w:r>
              <w:rPr>
                <w:sz w:val="15"/>
              </w:rPr>
              <w:t>0.0446</w:t>
            </w:r>
          </w:p>
        </w:tc>
        <w:tc>
          <w:tcPr>
            <w:tcW w:type="dxa" w:w="1260"/>
            <w:vAlign w:val="center"/>
          </w:tcPr>
          <w:p>
            <w:pPr>
              <w:jc w:val="center"/>
            </w:pPr>
            <w:r>
              <w:rPr>
                <w:sz w:val="15"/>
              </w:rPr>
              <w:t>5.0000</w:t>
            </w:r>
          </w:p>
        </w:tc>
        <w:tc>
          <w:tcPr>
            <w:tcW w:type="dxa" w:w="1260"/>
            <w:vAlign w:val="center"/>
          </w:tcPr>
          <w:p>
            <w:pPr>
              <w:jc w:val="center"/>
            </w:pPr>
            <w:r>
              <w:rPr>
                <w:sz w:val="15"/>
              </w:rPr>
              <w:t>2.9970</w:t>
            </w:r>
          </w:p>
        </w:tc>
        <w:tc>
          <w:tcPr>
            <w:tcW w:type="dxa" w:w="1260"/>
            <w:vAlign w:val="center"/>
          </w:tcPr>
          <w:p>
            <w:pPr>
              <w:jc w:val="center"/>
            </w:pPr>
            <w:r>
              <w:rPr>
                <w:sz w:val="15"/>
              </w:rPr>
              <w:t>0.0000</w:t>
            </w:r>
          </w:p>
        </w:tc>
        <w:tc>
          <w:tcPr>
            <w:tcW w:type="dxa" w:w="1260"/>
            <w:vAlign w:val="center"/>
          </w:tcPr>
          <w:p>
            <w:pPr>
              <w:jc w:val="center"/>
            </w:pPr>
            <w:r>
              <w:rPr>
                <w:sz w:val="15"/>
              </w:rPr>
              <w:t>3.2708</w:t>
            </w:r>
          </w:p>
        </w:tc>
        <w:tc>
          <w:tcPr>
            <w:tcW w:type="dxa" w:w="1260"/>
            <w:vAlign w:val="center"/>
          </w:tcPr>
          <w:p>
            <w:pPr>
              <w:jc w:val="center"/>
            </w:pPr>
            <w:r>
              <w:rPr>
                <w:sz w:val="15"/>
              </w:rPr>
              <w:t>0.2685</w:t>
            </w:r>
          </w:p>
        </w:tc>
      </w:tr>
      <w:tr>
        <w:tc>
          <w:tcPr>
            <w:tcW w:type="dxa" w:w="1260"/>
            <w:vAlign w:val="center"/>
            <w:shd w:fill="F4F8FB"/>
          </w:tcPr>
          <w:p>
            <w:pPr>
              <w:jc w:val="left"/>
            </w:pPr>
            <w:r>
              <w:rPr>
                <w:sz w:val="15"/>
              </w:rPr>
              <w:t>Hybrid CCE</w:t>
            </w:r>
          </w:p>
        </w:tc>
        <w:tc>
          <w:tcPr>
            <w:tcW w:type="dxa" w:w="1260"/>
            <w:vAlign w:val="center"/>
            <w:shd w:fill="F4F8FB"/>
          </w:tcPr>
          <w:p>
            <w:pPr>
              <w:jc w:val="center"/>
            </w:pPr>
            <w:r>
              <w:rPr>
                <w:sz w:val="15"/>
              </w:rPr>
              <w:t>0.8618</w:t>
            </w:r>
          </w:p>
        </w:tc>
        <w:tc>
          <w:tcPr>
            <w:tcW w:type="dxa" w:w="1260"/>
            <w:vAlign w:val="center"/>
            <w:shd w:fill="F4F8FB"/>
          </w:tcPr>
          <w:p>
            <w:pPr>
              <w:jc w:val="center"/>
            </w:pPr>
            <w:r>
              <w:rPr>
                <w:sz w:val="15"/>
              </w:rPr>
              <w:t>0.6010</w:t>
            </w:r>
          </w:p>
        </w:tc>
        <w:tc>
          <w:tcPr>
            <w:tcW w:type="dxa" w:w="1260"/>
            <w:vAlign w:val="center"/>
            <w:shd w:fill="F4F8FB"/>
          </w:tcPr>
          <w:p>
            <w:pPr>
              <w:jc w:val="center"/>
            </w:pPr>
            <w:r>
              <w:rPr>
                <w:sz w:val="15"/>
              </w:rPr>
              <w:t>5.0000</w:t>
            </w:r>
          </w:p>
        </w:tc>
        <w:tc>
          <w:tcPr>
            <w:tcW w:type="dxa" w:w="1260"/>
            <w:vAlign w:val="center"/>
            <w:shd w:fill="F4F8FB"/>
          </w:tcPr>
          <w:p>
            <w:pPr>
              <w:jc w:val="center"/>
            </w:pPr>
            <w:r>
              <w:rPr>
                <w:sz w:val="15"/>
              </w:rPr>
              <w:t>1.6360</w:t>
            </w:r>
          </w:p>
        </w:tc>
        <w:tc>
          <w:tcPr>
            <w:tcW w:type="dxa" w:w="1260"/>
            <w:vAlign w:val="center"/>
            <w:shd w:fill="F4F8FB"/>
          </w:tcPr>
          <w:p>
            <w:pPr>
              <w:jc w:val="center"/>
            </w:pPr>
            <w:r>
              <w:rPr>
                <w:sz w:val="15"/>
              </w:rPr>
              <w:t>1.0816</w:t>
            </w:r>
          </w:p>
        </w:tc>
        <w:tc>
          <w:tcPr>
            <w:tcW w:type="dxa" w:w="1260"/>
            <w:vAlign w:val="center"/>
            <w:shd w:fill="F4F8FB"/>
          </w:tcPr>
          <w:p>
            <w:pPr>
              <w:jc w:val="center"/>
            </w:pPr>
            <w:r>
              <w:rPr>
                <w:sz w:val="15"/>
              </w:rPr>
              <w:t>2.2203</w:t>
            </w:r>
          </w:p>
        </w:tc>
        <w:tc>
          <w:tcPr>
            <w:tcW w:type="dxa" w:w="1260"/>
            <w:vAlign w:val="center"/>
            <w:shd w:fill="F4F8FB"/>
          </w:tcPr>
          <w:p>
            <w:pPr>
              <w:jc w:val="center"/>
            </w:pPr>
            <w:r>
              <w:rPr>
                <w:sz w:val="15"/>
              </w:rPr>
              <w:t>0.8351</w:t>
            </w:r>
          </w:p>
        </w:tc>
      </w:tr>
    </w:tbl>
    <w:p/>
    <w:p>
      <w:pPr>
        <w:spacing w:after="120" w:line="252" w:lineRule="auto"/>
      </w:pPr>
      <w:r>
        <w:t>All optimized policies assign high importance to the queue penalty w2. PSO, DE, and CCE drive w2 to the upper bound of 5.0, and GA reaches 4.4855. The available capacity reward w5 also receives substantial weight in all methods. This supports the interpretation that queue avoidance and capacity preference are central for dynamic trace based scheduling.</w:t>
      </w:r>
    </w:p>
    <w:p>
      <w:pPr>
        <w:spacing w:after="120" w:line="252" w:lineRule="auto"/>
      </w:pPr>
      <w:r>
        <w:t>Figure 6 displays the learned nonnegative weights and confirms that no penalty feature receives a sign reversing coefficient.</w:t>
      </w:r>
    </w:p>
    <w:p>
      <w:pPr>
        <w:jc w:val="center"/>
      </w:pPr>
      <w:r>
        <w:drawing>
          <wp:inline xmlns:a="http://schemas.openxmlformats.org/drawingml/2006/main" xmlns:pic="http://schemas.openxmlformats.org/drawingml/2006/picture">
            <wp:extent cx="5303520" cy="2827003"/>
            <wp:docPr id="6" name="Picture 6"/>
            <wp:cNvGraphicFramePr>
              <a:graphicFrameLocks noChangeAspect="1"/>
            </wp:cNvGraphicFramePr>
            <a:graphic>
              <a:graphicData uri="http://schemas.openxmlformats.org/drawingml/2006/picture">
                <pic:pic>
                  <pic:nvPicPr>
                    <pic:cNvPr id="0" name="weight_vectors_heatmap.png"/>
                    <pic:cNvPicPr/>
                  </pic:nvPicPr>
                  <pic:blipFill>
                    <a:blip r:embed="rId14"/>
                    <a:stretch>
                      <a:fillRect/>
                    </a:stretch>
                  </pic:blipFill>
                  <pic:spPr>
                    <a:xfrm>
                      <a:off x="0" y="0"/>
                      <a:ext cx="5303520" cy="2827003"/>
                    </a:xfrm>
                    <a:prstGeom prst="rect"/>
                  </pic:spPr>
                </pic:pic>
              </a:graphicData>
            </a:graphic>
          </wp:inline>
        </w:drawing>
      </w:r>
    </w:p>
    <w:p>
      <w:pPr>
        <w:spacing w:after="160"/>
        <w:jc w:val="center"/>
      </w:pPr>
      <w:r>
        <w:rPr>
          <w:i/>
          <w:sz w:val="18"/>
        </w:rPr>
        <w:t>Figure 6. Learned nonnegative policy weights for all optimizers.</w:t>
      </w:r>
    </w:p>
    <w:p>
      <w:pPr>
        <w:pStyle w:val="Heading1"/>
        <w:spacing w:before="160" w:after="80"/>
      </w:pPr>
      <w:r>
        <w:t>8 Sensitivity And Robustness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1440"/>
        <w:gridCol w:w="1440"/>
        <w:gridCol w:w="1440"/>
        <w:gridCol w:w="1440"/>
        <w:gridCol w:w="1440"/>
        <w:gridCol w:w="1440"/>
        <w:gridCol w:w="1440"/>
      </w:tblGrid>
      <w:tr>
        <w:trPr>
          <w:tblHeader w:val="true"/>
        </w:trPr>
        <w:tc>
          <w:tcPr>
            <w:tcW w:type="dxa" w:w="1440"/>
            <w:shd w:fill="1F4E79"/>
            <w:vAlign w:val="center"/>
          </w:tcPr>
          <w:p>
            <w:pPr>
              <w:jc w:val="center"/>
            </w:pPr>
            <w:r>
              <w:rPr>
                <w:b/>
                <w:color w:val="FFFFFF"/>
                <w:sz w:val="13"/>
              </w:rPr>
              <w:t>Profile</w:t>
            </w:r>
          </w:p>
        </w:tc>
        <w:tc>
          <w:tcPr>
            <w:tcW w:type="dxa" w:w="1440"/>
            <w:shd w:fill="1F4E79"/>
            <w:vAlign w:val="center"/>
          </w:tcPr>
          <w:p>
            <w:pPr>
              <w:jc w:val="center"/>
            </w:pPr>
            <w:r>
              <w:rPr>
                <w:b/>
                <w:color w:val="FFFFFF"/>
                <w:sz w:val="13"/>
              </w:rPr>
              <w:t>AvgCT</w:t>
            </w:r>
          </w:p>
        </w:tc>
        <w:tc>
          <w:tcPr>
            <w:tcW w:type="dxa" w:w="1440"/>
            <w:shd w:fill="1F4E79"/>
            <w:vAlign w:val="center"/>
          </w:tcPr>
          <w:p>
            <w:pPr>
              <w:jc w:val="center"/>
            </w:pPr>
            <w:r>
              <w:rPr>
                <w:b/>
                <w:color w:val="FFFFFF"/>
                <w:sz w:val="13"/>
              </w:rPr>
              <w:t>P95</w:t>
            </w:r>
          </w:p>
        </w:tc>
        <w:tc>
          <w:tcPr>
            <w:tcW w:type="dxa" w:w="1440"/>
            <w:shd w:fill="1F4E79"/>
            <w:vAlign w:val="center"/>
          </w:tcPr>
          <w:p>
            <w:pPr>
              <w:jc w:val="center"/>
            </w:pPr>
            <w:r>
              <w:rPr>
                <w:b/>
                <w:color w:val="FFFFFF"/>
                <w:sz w:val="13"/>
              </w:rPr>
              <w:t>Makespan</w:t>
            </w:r>
          </w:p>
        </w:tc>
        <w:tc>
          <w:tcPr>
            <w:tcW w:type="dxa" w:w="1440"/>
            <w:shd w:fill="1F4E79"/>
            <w:vAlign w:val="center"/>
          </w:tcPr>
          <w:p>
            <w:pPr>
              <w:jc w:val="center"/>
            </w:pPr>
            <w:r>
              <w:rPr>
                <w:b/>
                <w:color w:val="FFFFFF"/>
                <w:sz w:val="13"/>
              </w:rPr>
              <w:t>SLR</w:t>
            </w:r>
          </w:p>
        </w:tc>
        <w:tc>
          <w:tcPr>
            <w:tcW w:type="dxa" w:w="1440"/>
            <w:shd w:fill="1F4E79"/>
            <w:vAlign w:val="center"/>
          </w:tcPr>
          <w:p>
            <w:pPr>
              <w:jc w:val="center"/>
            </w:pPr>
            <w:r>
              <w:rPr>
                <w:b/>
                <w:color w:val="FFFFFF"/>
                <w:sz w:val="13"/>
              </w:rPr>
              <w:t>LoadVar</w:t>
            </w:r>
          </w:p>
        </w:tc>
        <w:tc>
          <w:tcPr>
            <w:tcW w:type="dxa" w:w="1440"/>
            <w:shd w:fill="1F4E79"/>
            <w:vAlign w:val="center"/>
          </w:tcPr>
          <w:p>
            <w:pPr>
              <w:jc w:val="center"/>
            </w:pPr>
            <w:r>
              <w:rPr>
                <w:b/>
                <w:color w:val="FFFFFF"/>
                <w:sz w:val="13"/>
              </w:rPr>
              <w:t>FailRate</w:t>
            </w:r>
          </w:p>
        </w:tc>
      </w:tr>
      <w:tr>
        <w:tc>
          <w:tcPr>
            <w:tcW w:type="dxa" w:w="1440"/>
            <w:vAlign w:val="center"/>
          </w:tcPr>
          <w:p>
            <w:pPr>
              <w:jc w:val="left"/>
            </w:pPr>
            <w:r>
              <w:rPr>
                <w:sz w:val="13"/>
              </w:rPr>
              <w:t>balanced_six_objective</w:t>
            </w:r>
          </w:p>
        </w:tc>
        <w:tc>
          <w:tcPr>
            <w:tcW w:type="dxa" w:w="1440"/>
            <w:vAlign w:val="center"/>
          </w:tcPr>
          <w:p>
            <w:pPr>
              <w:jc w:val="center"/>
            </w:pPr>
            <w:r>
              <w:rPr>
                <w:sz w:val="13"/>
              </w:rPr>
              <w:t>10.0599</w:t>
            </w:r>
          </w:p>
        </w:tc>
        <w:tc>
          <w:tcPr>
            <w:tcW w:type="dxa" w:w="1440"/>
            <w:vAlign w:val="center"/>
          </w:tcPr>
          <w:p>
            <w:pPr>
              <w:jc w:val="center"/>
            </w:pPr>
            <w:r>
              <w:rPr>
                <w:sz w:val="13"/>
              </w:rPr>
              <w:t>16.6096</w:t>
            </w:r>
          </w:p>
        </w:tc>
        <w:tc>
          <w:tcPr>
            <w:tcW w:type="dxa" w:w="1440"/>
            <w:vAlign w:val="center"/>
          </w:tcPr>
          <w:p>
            <w:pPr>
              <w:jc w:val="center"/>
            </w:pPr>
            <w:r>
              <w:rPr>
                <w:sz w:val="13"/>
              </w:rPr>
              <w:t>621.9211</w:t>
            </w:r>
          </w:p>
        </w:tc>
        <w:tc>
          <w:tcPr>
            <w:tcW w:type="dxa" w:w="1440"/>
            <w:vAlign w:val="center"/>
          </w:tcPr>
          <w:p>
            <w:pPr>
              <w:jc w:val="center"/>
            </w:pPr>
            <w:r>
              <w:rPr>
                <w:sz w:val="13"/>
              </w:rPr>
              <w:t>1.0282</w:t>
            </w:r>
          </w:p>
        </w:tc>
        <w:tc>
          <w:tcPr>
            <w:tcW w:type="dxa" w:w="1440"/>
            <w:vAlign w:val="center"/>
          </w:tcPr>
          <w:p>
            <w:pPr>
              <w:jc w:val="center"/>
            </w:pPr>
            <w:r>
              <w:rPr>
                <w:sz w:val="13"/>
              </w:rPr>
              <w:t>1420.6222</w:t>
            </w:r>
          </w:p>
        </w:tc>
        <w:tc>
          <w:tcPr>
            <w:tcW w:type="dxa" w:w="1440"/>
            <w:vAlign w:val="center"/>
          </w:tcPr>
          <w:p>
            <w:pPr>
              <w:jc w:val="center"/>
            </w:pPr>
            <w:r>
              <w:rPr>
                <w:sz w:val="13"/>
              </w:rPr>
              <w:t>0.0120</w:t>
            </w:r>
          </w:p>
        </w:tc>
      </w:tr>
      <w:tr>
        <w:tc>
          <w:tcPr>
            <w:tcW w:type="dxa" w:w="1440"/>
            <w:vAlign w:val="center"/>
            <w:shd w:fill="F4F8FB"/>
          </w:tcPr>
          <w:p>
            <w:pPr>
              <w:jc w:val="left"/>
            </w:pPr>
            <w:r>
              <w:rPr>
                <w:sz w:val="13"/>
              </w:rPr>
              <w:t>mean_latency_heavy</w:t>
            </w:r>
          </w:p>
        </w:tc>
        <w:tc>
          <w:tcPr>
            <w:tcW w:type="dxa" w:w="1440"/>
            <w:vAlign w:val="center"/>
            <w:shd w:fill="F4F8FB"/>
          </w:tcPr>
          <w:p>
            <w:pPr>
              <w:jc w:val="center"/>
            </w:pPr>
            <w:r>
              <w:rPr>
                <w:sz w:val="13"/>
              </w:rPr>
              <w:t>9.8894</w:t>
            </w:r>
          </w:p>
        </w:tc>
        <w:tc>
          <w:tcPr>
            <w:tcW w:type="dxa" w:w="1440"/>
            <w:vAlign w:val="center"/>
            <w:shd w:fill="F4F8FB"/>
          </w:tcPr>
          <w:p>
            <w:pPr>
              <w:jc w:val="center"/>
            </w:pPr>
            <w:r>
              <w:rPr>
                <w:sz w:val="13"/>
              </w:rPr>
              <w:t>17.1334</w:t>
            </w:r>
          </w:p>
        </w:tc>
        <w:tc>
          <w:tcPr>
            <w:tcW w:type="dxa" w:w="1440"/>
            <w:vAlign w:val="center"/>
            <w:shd w:fill="F4F8FB"/>
          </w:tcPr>
          <w:p>
            <w:pPr>
              <w:jc w:val="center"/>
            </w:pPr>
            <w:r>
              <w:rPr>
                <w:sz w:val="13"/>
              </w:rPr>
              <w:t>621.0170</w:t>
            </w:r>
          </w:p>
        </w:tc>
        <w:tc>
          <w:tcPr>
            <w:tcW w:type="dxa" w:w="1440"/>
            <w:vAlign w:val="center"/>
            <w:shd w:fill="F4F8FB"/>
          </w:tcPr>
          <w:p>
            <w:pPr>
              <w:jc w:val="center"/>
            </w:pPr>
            <w:r>
              <w:rPr>
                <w:sz w:val="13"/>
              </w:rPr>
              <w:t>1.0267</w:t>
            </w:r>
          </w:p>
        </w:tc>
        <w:tc>
          <w:tcPr>
            <w:tcW w:type="dxa" w:w="1440"/>
            <w:vAlign w:val="center"/>
            <w:shd w:fill="F4F8FB"/>
          </w:tcPr>
          <w:p>
            <w:pPr>
              <w:jc w:val="center"/>
            </w:pPr>
            <w:r>
              <w:rPr>
                <w:sz w:val="13"/>
              </w:rPr>
              <w:t>1391.2889</w:t>
            </w:r>
          </w:p>
        </w:tc>
        <w:tc>
          <w:tcPr>
            <w:tcW w:type="dxa" w:w="1440"/>
            <w:vAlign w:val="center"/>
            <w:shd w:fill="F4F8FB"/>
          </w:tcPr>
          <w:p>
            <w:pPr>
              <w:jc w:val="center"/>
            </w:pPr>
            <w:r>
              <w:rPr>
                <w:sz w:val="13"/>
              </w:rPr>
              <w:t>0.0150</w:t>
            </w:r>
          </w:p>
        </w:tc>
      </w:tr>
      <w:tr>
        <w:tc>
          <w:tcPr>
            <w:tcW w:type="dxa" w:w="1440"/>
            <w:vAlign w:val="center"/>
          </w:tcPr>
          <w:p>
            <w:pPr>
              <w:jc w:val="left"/>
            </w:pPr>
            <w:r>
              <w:rPr>
                <w:sz w:val="13"/>
              </w:rPr>
              <w:t>tail_latency_heavy</w:t>
            </w:r>
          </w:p>
        </w:tc>
        <w:tc>
          <w:tcPr>
            <w:tcW w:type="dxa" w:w="1440"/>
            <w:vAlign w:val="center"/>
          </w:tcPr>
          <w:p>
            <w:pPr>
              <w:jc w:val="center"/>
            </w:pPr>
            <w:r>
              <w:rPr>
                <w:sz w:val="13"/>
              </w:rPr>
              <w:t>10.0381</w:t>
            </w:r>
          </w:p>
        </w:tc>
        <w:tc>
          <w:tcPr>
            <w:tcW w:type="dxa" w:w="1440"/>
            <w:vAlign w:val="center"/>
          </w:tcPr>
          <w:p>
            <w:pPr>
              <w:jc w:val="center"/>
            </w:pPr>
            <w:r>
              <w:rPr>
                <w:sz w:val="13"/>
              </w:rPr>
              <w:t>16.6843</w:t>
            </w:r>
          </w:p>
        </w:tc>
        <w:tc>
          <w:tcPr>
            <w:tcW w:type="dxa" w:w="1440"/>
            <w:vAlign w:val="center"/>
          </w:tcPr>
          <w:p>
            <w:pPr>
              <w:jc w:val="center"/>
            </w:pPr>
            <w:r>
              <w:rPr>
                <w:sz w:val="13"/>
              </w:rPr>
              <w:t>621.5958</w:t>
            </w:r>
          </w:p>
        </w:tc>
        <w:tc>
          <w:tcPr>
            <w:tcW w:type="dxa" w:w="1440"/>
            <w:vAlign w:val="center"/>
          </w:tcPr>
          <w:p>
            <w:pPr>
              <w:jc w:val="center"/>
            </w:pPr>
            <w:r>
              <w:rPr>
                <w:sz w:val="13"/>
              </w:rPr>
              <w:t>1.0277</w:t>
            </w:r>
          </w:p>
        </w:tc>
        <w:tc>
          <w:tcPr>
            <w:tcW w:type="dxa" w:w="1440"/>
            <w:vAlign w:val="center"/>
          </w:tcPr>
          <w:p>
            <w:pPr>
              <w:jc w:val="center"/>
            </w:pPr>
            <w:r>
              <w:rPr>
                <w:sz w:val="13"/>
              </w:rPr>
              <w:t>1418.6222</w:t>
            </w:r>
          </w:p>
        </w:tc>
        <w:tc>
          <w:tcPr>
            <w:tcW w:type="dxa" w:w="1440"/>
            <w:vAlign w:val="center"/>
          </w:tcPr>
          <w:p>
            <w:pPr>
              <w:jc w:val="center"/>
            </w:pPr>
            <w:r>
              <w:rPr>
                <w:sz w:val="13"/>
              </w:rPr>
              <w:t>0.0090</w:t>
            </w:r>
          </w:p>
        </w:tc>
      </w:tr>
      <w:tr>
        <w:tc>
          <w:tcPr>
            <w:tcW w:type="dxa" w:w="1440"/>
            <w:vAlign w:val="center"/>
            <w:shd w:fill="F4F8FB"/>
          </w:tcPr>
          <w:p>
            <w:pPr>
              <w:jc w:val="left"/>
            </w:pPr>
            <w:r>
              <w:rPr>
                <w:sz w:val="13"/>
              </w:rPr>
              <w:t>makespan_slr_heavy</w:t>
            </w:r>
          </w:p>
        </w:tc>
        <w:tc>
          <w:tcPr>
            <w:tcW w:type="dxa" w:w="1440"/>
            <w:vAlign w:val="center"/>
            <w:shd w:fill="F4F8FB"/>
          </w:tcPr>
          <w:p>
            <w:pPr>
              <w:jc w:val="center"/>
            </w:pPr>
            <w:r>
              <w:rPr>
                <w:sz w:val="13"/>
              </w:rPr>
              <w:t>9.9685</w:t>
            </w:r>
          </w:p>
        </w:tc>
        <w:tc>
          <w:tcPr>
            <w:tcW w:type="dxa" w:w="1440"/>
            <w:vAlign w:val="center"/>
            <w:shd w:fill="F4F8FB"/>
          </w:tcPr>
          <w:p>
            <w:pPr>
              <w:jc w:val="center"/>
            </w:pPr>
            <w:r>
              <w:rPr>
                <w:sz w:val="13"/>
              </w:rPr>
              <w:t>16.1125</w:t>
            </w:r>
          </w:p>
        </w:tc>
        <w:tc>
          <w:tcPr>
            <w:tcW w:type="dxa" w:w="1440"/>
            <w:vAlign w:val="center"/>
            <w:shd w:fill="F4F8FB"/>
          </w:tcPr>
          <w:p>
            <w:pPr>
              <w:jc w:val="center"/>
            </w:pPr>
            <w:r>
              <w:rPr>
                <w:sz w:val="13"/>
              </w:rPr>
              <w:t>621.1170</w:t>
            </w:r>
          </w:p>
        </w:tc>
        <w:tc>
          <w:tcPr>
            <w:tcW w:type="dxa" w:w="1440"/>
            <w:vAlign w:val="center"/>
            <w:shd w:fill="F4F8FB"/>
          </w:tcPr>
          <w:p>
            <w:pPr>
              <w:jc w:val="center"/>
            </w:pPr>
            <w:r>
              <w:rPr>
                <w:sz w:val="13"/>
              </w:rPr>
              <w:t>1.0269</w:t>
            </w:r>
          </w:p>
        </w:tc>
        <w:tc>
          <w:tcPr>
            <w:tcW w:type="dxa" w:w="1440"/>
            <w:vAlign w:val="center"/>
            <w:shd w:fill="F4F8FB"/>
          </w:tcPr>
          <w:p>
            <w:pPr>
              <w:jc w:val="center"/>
            </w:pPr>
            <w:r>
              <w:rPr>
                <w:sz w:val="13"/>
              </w:rPr>
              <w:t>1373.4222</w:t>
            </w:r>
          </w:p>
        </w:tc>
        <w:tc>
          <w:tcPr>
            <w:tcW w:type="dxa" w:w="1440"/>
            <w:vAlign w:val="center"/>
            <w:shd w:fill="F4F8FB"/>
          </w:tcPr>
          <w:p>
            <w:pPr>
              <w:jc w:val="center"/>
            </w:pPr>
            <w:r>
              <w:rPr>
                <w:sz w:val="13"/>
              </w:rPr>
              <w:t>0.0130</w:t>
            </w:r>
          </w:p>
        </w:tc>
      </w:tr>
      <w:tr>
        <w:tc>
          <w:tcPr>
            <w:tcW w:type="dxa" w:w="1440"/>
            <w:vAlign w:val="center"/>
          </w:tcPr>
          <w:p>
            <w:pPr>
              <w:jc w:val="left"/>
            </w:pPr>
            <w:r>
              <w:rPr>
                <w:sz w:val="13"/>
              </w:rPr>
              <w:t>reliability_heavy</w:t>
            </w:r>
          </w:p>
        </w:tc>
        <w:tc>
          <w:tcPr>
            <w:tcW w:type="dxa" w:w="1440"/>
            <w:vAlign w:val="center"/>
          </w:tcPr>
          <w:p>
            <w:pPr>
              <w:jc w:val="center"/>
            </w:pPr>
            <w:r>
              <w:rPr>
                <w:sz w:val="13"/>
              </w:rPr>
              <w:t>10.5916</w:t>
            </w:r>
          </w:p>
        </w:tc>
        <w:tc>
          <w:tcPr>
            <w:tcW w:type="dxa" w:w="1440"/>
            <w:vAlign w:val="center"/>
          </w:tcPr>
          <w:p>
            <w:pPr>
              <w:jc w:val="center"/>
            </w:pPr>
            <w:r>
              <w:rPr>
                <w:sz w:val="13"/>
              </w:rPr>
              <w:t>16.8022</w:t>
            </w:r>
          </w:p>
        </w:tc>
        <w:tc>
          <w:tcPr>
            <w:tcW w:type="dxa" w:w="1440"/>
            <w:vAlign w:val="center"/>
          </w:tcPr>
          <w:p>
            <w:pPr>
              <w:jc w:val="center"/>
            </w:pPr>
            <w:r>
              <w:rPr>
                <w:sz w:val="13"/>
              </w:rPr>
              <w:t>621.2942</w:t>
            </w:r>
          </w:p>
        </w:tc>
        <w:tc>
          <w:tcPr>
            <w:tcW w:type="dxa" w:w="1440"/>
            <w:vAlign w:val="center"/>
          </w:tcPr>
          <w:p>
            <w:pPr>
              <w:jc w:val="center"/>
            </w:pPr>
            <w:r>
              <w:rPr>
                <w:sz w:val="13"/>
              </w:rPr>
              <w:t>1.0272</w:t>
            </w:r>
          </w:p>
        </w:tc>
        <w:tc>
          <w:tcPr>
            <w:tcW w:type="dxa" w:w="1440"/>
            <w:vAlign w:val="center"/>
          </w:tcPr>
          <w:p>
            <w:pPr>
              <w:jc w:val="center"/>
            </w:pPr>
            <w:r>
              <w:rPr>
                <w:sz w:val="13"/>
              </w:rPr>
              <w:t>1492.0889</w:t>
            </w:r>
          </w:p>
        </w:tc>
        <w:tc>
          <w:tcPr>
            <w:tcW w:type="dxa" w:w="1440"/>
            <w:vAlign w:val="center"/>
          </w:tcPr>
          <w:p>
            <w:pPr>
              <w:jc w:val="center"/>
            </w:pPr>
            <w:r>
              <w:rPr>
                <w:sz w:val="13"/>
              </w:rPr>
              <w:t>0.0150</w:t>
            </w:r>
          </w:p>
        </w:tc>
      </w:tr>
      <w:tr>
        <w:tc>
          <w:tcPr>
            <w:tcW w:type="dxa" w:w="1440"/>
            <w:vAlign w:val="center"/>
            <w:shd w:fill="F4F8FB"/>
          </w:tcPr>
          <w:p>
            <w:pPr>
              <w:jc w:val="left"/>
            </w:pPr>
            <w:r>
              <w:rPr>
                <w:sz w:val="13"/>
              </w:rPr>
              <w:t>fairness_heavy</w:t>
            </w:r>
          </w:p>
        </w:tc>
        <w:tc>
          <w:tcPr>
            <w:tcW w:type="dxa" w:w="1440"/>
            <w:vAlign w:val="center"/>
            <w:shd w:fill="F4F8FB"/>
          </w:tcPr>
          <w:p>
            <w:pPr>
              <w:jc w:val="center"/>
            </w:pPr>
            <w:r>
              <w:rPr>
                <w:sz w:val="13"/>
              </w:rPr>
              <w:t>9.4130</w:t>
            </w:r>
          </w:p>
        </w:tc>
        <w:tc>
          <w:tcPr>
            <w:tcW w:type="dxa" w:w="1440"/>
            <w:vAlign w:val="center"/>
            <w:shd w:fill="F4F8FB"/>
          </w:tcPr>
          <w:p>
            <w:pPr>
              <w:jc w:val="center"/>
            </w:pPr>
            <w:r>
              <w:rPr>
                <w:sz w:val="13"/>
              </w:rPr>
              <w:t>21.2710</w:t>
            </w:r>
          </w:p>
        </w:tc>
        <w:tc>
          <w:tcPr>
            <w:tcW w:type="dxa" w:w="1440"/>
            <w:vAlign w:val="center"/>
            <w:shd w:fill="F4F8FB"/>
          </w:tcPr>
          <w:p>
            <w:pPr>
              <w:jc w:val="center"/>
            </w:pPr>
            <w:r>
              <w:rPr>
                <w:sz w:val="13"/>
              </w:rPr>
              <w:t>627.6816</w:t>
            </w:r>
          </w:p>
        </w:tc>
        <w:tc>
          <w:tcPr>
            <w:tcW w:type="dxa" w:w="1440"/>
            <w:vAlign w:val="center"/>
            <w:shd w:fill="F4F8FB"/>
          </w:tcPr>
          <w:p>
            <w:pPr>
              <w:jc w:val="center"/>
            </w:pPr>
            <w:r>
              <w:rPr>
                <w:sz w:val="13"/>
              </w:rPr>
              <w:t>1.0377</w:t>
            </w:r>
          </w:p>
        </w:tc>
        <w:tc>
          <w:tcPr>
            <w:tcW w:type="dxa" w:w="1440"/>
            <w:vAlign w:val="center"/>
            <w:shd w:fill="F4F8FB"/>
          </w:tcPr>
          <w:p>
            <w:pPr>
              <w:jc w:val="center"/>
            </w:pPr>
            <w:r>
              <w:rPr>
                <w:sz w:val="13"/>
              </w:rPr>
              <w:t>984.3556</w:t>
            </w:r>
          </w:p>
        </w:tc>
        <w:tc>
          <w:tcPr>
            <w:tcW w:type="dxa" w:w="1440"/>
            <w:vAlign w:val="center"/>
            <w:shd w:fill="F4F8FB"/>
          </w:tcPr>
          <w:p>
            <w:pPr>
              <w:jc w:val="center"/>
            </w:pPr>
            <w:r>
              <w:rPr>
                <w:sz w:val="13"/>
              </w:rPr>
              <w:t>0.0170</w:t>
            </w:r>
          </w:p>
        </w:tc>
      </w:tr>
    </w:tbl>
    <w:p/>
    <w:p>
      <w:pPr>
        <w:spacing w:after="120" w:line="252" w:lineRule="auto"/>
      </w:pPr>
      <w:r>
        <w:t>The coefficient sensitivity study indicates that changing the weights can improve one target at the expense of another. The fairness heavy setting lowers load variance but worsens P95, makespan, SLR, and failure rate. Tail and makespan profiles improve specific objectives but do not dominate the balanced six objective configuration. The balanced profile is therefore retained because it avoids the strongest single metric regressions.</w:t>
      </w:r>
    </w:p>
    <w:tbl>
      <w:tblPr>
        <w:tblStyle w:val="TableGrid"/>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80" w:type="dxa"/>
          <w:start w:w="80" w:type="dxa"/>
          <w:bottom w:w="80" w:type="dxa"/>
          <w:end w:w="80" w:type="dxa"/>
        </w:tblCellMar>
      </w:tblPr>
      <w:tblGrid>
        <w:gridCol w:w="1680"/>
        <w:gridCol w:w="1680"/>
        <w:gridCol w:w="1680"/>
        <w:gridCol w:w="1680"/>
        <w:gridCol w:w="1680"/>
        <w:gridCol w:w="1680"/>
      </w:tblGrid>
      <w:tr>
        <w:trPr>
          <w:tblHeader w:val="true"/>
        </w:trPr>
        <w:tc>
          <w:tcPr>
            <w:tcW w:type="dxa" w:w="2448"/>
            <w:shd w:fill="1F4E79"/>
            <w:vAlign w:val="center"/>
          </w:tcPr>
          <w:p>
            <w:pPr>
              <w:jc w:val="center"/>
            </w:pPr>
            <w:r>
              <w:rPr>
                <w:b/>
                <w:color w:val="FFFFFF"/>
                <w:sz w:val="13"/>
              </w:rPr>
              <w:t>Scenario</w:t>
            </w:r>
          </w:p>
        </w:tc>
        <w:tc>
          <w:tcPr>
            <w:tcW w:type="dxa" w:w="1296"/>
            <w:shd w:fill="1F4E79"/>
            <w:vAlign w:val="center"/>
          </w:tcPr>
          <w:p>
            <w:pPr>
              <w:jc w:val="center"/>
            </w:pPr>
            <w:r>
              <w:rPr>
                <w:b/>
                <w:color w:val="FFFFFF"/>
                <w:sz w:val="13"/>
              </w:rPr>
              <w:t>AvgCT</w:t>
            </w:r>
          </w:p>
        </w:tc>
        <w:tc>
          <w:tcPr>
            <w:tcW w:type="dxa" w:w="1296"/>
            <w:shd w:fill="1F4E79"/>
            <w:vAlign w:val="center"/>
          </w:tcPr>
          <w:p>
            <w:pPr>
              <w:jc w:val="center"/>
            </w:pPr>
            <w:r>
              <w:rPr>
                <w:b/>
                <w:color w:val="FFFFFF"/>
                <w:sz w:val="13"/>
              </w:rPr>
              <w:t>P95</w:t>
            </w:r>
          </w:p>
        </w:tc>
        <w:tc>
          <w:tcPr>
            <w:tcW w:type="dxa" w:w="1440"/>
            <w:shd w:fill="1F4E79"/>
            <w:vAlign w:val="center"/>
          </w:tcPr>
          <w:p>
            <w:pPr>
              <w:jc w:val="center"/>
            </w:pPr>
            <w:r>
              <w:rPr>
                <w:b/>
                <w:color w:val="FFFFFF"/>
                <w:sz w:val="13"/>
              </w:rPr>
              <w:t>Makespan</w:t>
            </w:r>
          </w:p>
        </w:tc>
        <w:tc>
          <w:tcPr>
            <w:tcW w:type="dxa" w:w="1296"/>
            <w:shd w:fill="1F4E79"/>
            <w:vAlign w:val="center"/>
          </w:tcPr>
          <w:p>
            <w:pPr>
              <w:jc w:val="center"/>
            </w:pPr>
            <w:r>
              <w:rPr>
                <w:b/>
                <w:color w:val="FFFFFF"/>
                <w:sz w:val="13"/>
              </w:rPr>
              <w:t>SLR</w:t>
            </w:r>
          </w:p>
        </w:tc>
        <w:tc>
          <w:tcPr>
            <w:tcW w:type="dxa" w:w="1440"/>
            <w:shd w:fill="1F4E79"/>
            <w:vAlign w:val="center"/>
          </w:tcPr>
          <w:p>
            <w:pPr>
              <w:jc w:val="center"/>
            </w:pPr>
            <w:r>
              <w:rPr>
                <w:b/>
                <w:color w:val="FFFFFF"/>
                <w:sz w:val="13"/>
              </w:rPr>
              <w:t>FailRate</w:t>
            </w:r>
          </w:p>
        </w:tc>
      </w:tr>
      <w:tr>
        <w:tc>
          <w:tcPr>
            <w:tcW w:type="dxa" w:w="2448"/>
            <w:vAlign w:val="center"/>
          </w:tcPr>
          <w:p>
            <w:pPr>
              <w:jc w:val="left"/>
            </w:pPr>
            <w:r>
              <w:rPr>
                <w:sz w:val="13"/>
              </w:rPr>
              <w:t>baseline</w:t>
            </w:r>
          </w:p>
        </w:tc>
        <w:tc>
          <w:tcPr>
            <w:tcW w:type="dxa" w:w="1296"/>
            <w:vAlign w:val="center"/>
          </w:tcPr>
          <w:p>
            <w:pPr>
              <w:jc w:val="center"/>
            </w:pPr>
            <w:r>
              <w:rPr>
                <w:sz w:val="13"/>
              </w:rPr>
              <w:t>16.41%</w:t>
            </w:r>
          </w:p>
        </w:tc>
        <w:tc>
          <w:tcPr>
            <w:tcW w:type="dxa" w:w="1296"/>
            <w:vAlign w:val="center"/>
          </w:tcPr>
          <w:p>
            <w:pPr>
              <w:jc w:val="center"/>
            </w:pPr>
            <w:r>
              <w:rPr>
                <w:sz w:val="13"/>
              </w:rPr>
              <w:t>11.05%</w:t>
            </w:r>
          </w:p>
        </w:tc>
        <w:tc>
          <w:tcPr>
            <w:tcW w:type="dxa" w:w="1440"/>
            <w:vAlign w:val="center"/>
          </w:tcPr>
          <w:p>
            <w:pPr>
              <w:jc w:val="center"/>
            </w:pPr>
            <w:r>
              <w:rPr>
                <w:sz w:val="13"/>
              </w:rPr>
              <w:t>0.50%</w:t>
            </w:r>
          </w:p>
        </w:tc>
        <w:tc>
          <w:tcPr>
            <w:tcW w:type="dxa" w:w="1296"/>
            <w:vAlign w:val="center"/>
          </w:tcPr>
          <w:p>
            <w:pPr>
              <w:jc w:val="center"/>
            </w:pPr>
            <w:r>
              <w:rPr>
                <w:sz w:val="13"/>
              </w:rPr>
              <w:t>0.50%</w:t>
            </w:r>
          </w:p>
        </w:tc>
        <w:tc>
          <w:tcPr>
            <w:tcW w:type="dxa" w:w="1440"/>
            <w:vAlign w:val="center"/>
          </w:tcPr>
          <w:p>
            <w:pPr>
              <w:jc w:val="center"/>
            </w:pPr>
            <w:r>
              <w:rPr>
                <w:sz w:val="13"/>
              </w:rPr>
              <w:t>11.11%</w:t>
            </w:r>
          </w:p>
        </w:tc>
      </w:tr>
      <w:tr>
        <w:tc>
          <w:tcPr>
            <w:tcW w:type="dxa" w:w="2448"/>
            <w:vAlign w:val="center"/>
            <w:shd w:fill="F4F8FB"/>
          </w:tcPr>
          <w:p>
            <w:pPr>
              <w:jc w:val="left"/>
            </w:pPr>
            <w:r>
              <w:rPr>
                <w:sz w:val="13"/>
              </w:rPr>
              <w:t>sample_seed_101</w:t>
            </w:r>
          </w:p>
        </w:tc>
        <w:tc>
          <w:tcPr>
            <w:tcW w:type="dxa" w:w="1296"/>
            <w:vAlign w:val="center"/>
            <w:shd w:fill="F4F8FB"/>
          </w:tcPr>
          <w:p>
            <w:pPr>
              <w:jc w:val="center"/>
            </w:pPr>
            <w:r>
              <w:rPr>
                <w:sz w:val="13"/>
              </w:rPr>
              <w:t>13.20%</w:t>
            </w:r>
          </w:p>
        </w:tc>
        <w:tc>
          <w:tcPr>
            <w:tcW w:type="dxa" w:w="1296"/>
            <w:vAlign w:val="center"/>
            <w:shd w:fill="F4F8FB"/>
          </w:tcPr>
          <w:p>
            <w:pPr>
              <w:jc w:val="center"/>
            </w:pPr>
            <w:r>
              <w:rPr>
                <w:sz w:val="13"/>
              </w:rPr>
              <w:t>12.41%</w:t>
            </w:r>
          </w:p>
        </w:tc>
        <w:tc>
          <w:tcPr>
            <w:tcW w:type="dxa" w:w="1440"/>
            <w:vAlign w:val="center"/>
            <w:shd w:fill="F4F8FB"/>
          </w:tcPr>
          <w:p>
            <w:pPr>
              <w:jc w:val="center"/>
            </w:pPr>
            <w:r>
              <w:rPr>
                <w:sz w:val="13"/>
              </w:rPr>
              <w:t>0.47%</w:t>
            </w:r>
          </w:p>
        </w:tc>
        <w:tc>
          <w:tcPr>
            <w:tcW w:type="dxa" w:w="1296"/>
            <w:vAlign w:val="center"/>
            <w:shd w:fill="F4F8FB"/>
          </w:tcPr>
          <w:p>
            <w:pPr>
              <w:jc w:val="center"/>
            </w:pPr>
            <w:r>
              <w:rPr>
                <w:sz w:val="13"/>
              </w:rPr>
              <w:t>0.47%</w:t>
            </w:r>
          </w:p>
        </w:tc>
        <w:tc>
          <w:tcPr>
            <w:tcW w:type="dxa" w:w="1440"/>
            <w:vAlign w:val="center"/>
            <w:shd w:fill="F4F8FB"/>
          </w:tcPr>
          <w:p>
            <w:pPr>
              <w:jc w:val="center"/>
            </w:pPr>
            <w:r>
              <w:rPr>
                <w:sz w:val="13"/>
              </w:rPr>
              <w:t>-13.33%</w:t>
            </w:r>
          </w:p>
        </w:tc>
      </w:tr>
      <w:tr>
        <w:tc>
          <w:tcPr>
            <w:tcW w:type="dxa" w:w="2448"/>
            <w:vAlign w:val="center"/>
          </w:tcPr>
          <w:p>
            <w:pPr>
              <w:jc w:val="left"/>
            </w:pPr>
            <w:r>
              <w:rPr>
                <w:sz w:val="13"/>
              </w:rPr>
              <w:t>sample_seed_202</w:t>
            </w:r>
          </w:p>
        </w:tc>
        <w:tc>
          <w:tcPr>
            <w:tcW w:type="dxa" w:w="1296"/>
            <w:vAlign w:val="center"/>
          </w:tcPr>
          <w:p>
            <w:pPr>
              <w:jc w:val="center"/>
            </w:pPr>
            <w:r>
              <w:rPr>
                <w:sz w:val="13"/>
              </w:rPr>
              <w:t>14.93%</w:t>
            </w:r>
          </w:p>
        </w:tc>
        <w:tc>
          <w:tcPr>
            <w:tcW w:type="dxa" w:w="1296"/>
            <w:vAlign w:val="center"/>
          </w:tcPr>
          <w:p>
            <w:pPr>
              <w:jc w:val="center"/>
            </w:pPr>
            <w:r>
              <w:rPr>
                <w:sz w:val="13"/>
              </w:rPr>
              <w:t>10.94%</w:t>
            </w:r>
          </w:p>
        </w:tc>
        <w:tc>
          <w:tcPr>
            <w:tcW w:type="dxa" w:w="1440"/>
            <w:vAlign w:val="center"/>
          </w:tcPr>
          <w:p>
            <w:pPr>
              <w:jc w:val="center"/>
            </w:pPr>
            <w:r>
              <w:rPr>
                <w:sz w:val="13"/>
              </w:rPr>
              <w:t>-1.46%</w:t>
            </w:r>
          </w:p>
        </w:tc>
        <w:tc>
          <w:tcPr>
            <w:tcW w:type="dxa" w:w="1296"/>
            <w:vAlign w:val="center"/>
          </w:tcPr>
          <w:p>
            <w:pPr>
              <w:jc w:val="center"/>
            </w:pPr>
            <w:r>
              <w:rPr>
                <w:sz w:val="13"/>
              </w:rPr>
              <w:t>-1.46%</w:t>
            </w:r>
          </w:p>
        </w:tc>
        <w:tc>
          <w:tcPr>
            <w:tcW w:type="dxa" w:w="1440"/>
            <w:vAlign w:val="center"/>
          </w:tcPr>
          <w:p>
            <w:pPr>
              <w:jc w:val="center"/>
            </w:pPr>
            <w:r>
              <w:rPr>
                <w:sz w:val="13"/>
              </w:rPr>
              <w:t>0.00%</w:t>
            </w:r>
          </w:p>
        </w:tc>
      </w:tr>
      <w:tr>
        <w:tc>
          <w:tcPr>
            <w:tcW w:type="dxa" w:w="2448"/>
            <w:vAlign w:val="center"/>
            <w:shd w:fill="F4F8FB"/>
          </w:tcPr>
          <w:p>
            <w:pPr>
              <w:jc w:val="left"/>
            </w:pPr>
            <w:r>
              <w:rPr>
                <w:sz w:val="13"/>
              </w:rPr>
              <w:t>compressed_300s</w:t>
            </w:r>
          </w:p>
        </w:tc>
        <w:tc>
          <w:tcPr>
            <w:tcW w:type="dxa" w:w="1296"/>
            <w:vAlign w:val="center"/>
            <w:shd w:fill="F4F8FB"/>
          </w:tcPr>
          <w:p>
            <w:pPr>
              <w:jc w:val="center"/>
            </w:pPr>
            <w:r>
              <w:rPr>
                <w:sz w:val="13"/>
              </w:rPr>
              <w:t>-1.70%</w:t>
            </w:r>
          </w:p>
        </w:tc>
        <w:tc>
          <w:tcPr>
            <w:tcW w:type="dxa" w:w="1296"/>
            <w:vAlign w:val="center"/>
            <w:shd w:fill="F4F8FB"/>
          </w:tcPr>
          <w:p>
            <w:pPr>
              <w:jc w:val="center"/>
            </w:pPr>
            <w:r>
              <w:rPr>
                <w:sz w:val="13"/>
              </w:rPr>
              <w:t>-8.01%</w:t>
            </w:r>
          </w:p>
        </w:tc>
        <w:tc>
          <w:tcPr>
            <w:tcW w:type="dxa" w:w="1440"/>
            <w:vAlign w:val="center"/>
            <w:shd w:fill="F4F8FB"/>
          </w:tcPr>
          <w:p>
            <w:pPr>
              <w:jc w:val="center"/>
            </w:pPr>
            <w:r>
              <w:rPr>
                <w:sz w:val="13"/>
              </w:rPr>
              <w:t>-14.10%</w:t>
            </w:r>
          </w:p>
        </w:tc>
        <w:tc>
          <w:tcPr>
            <w:tcW w:type="dxa" w:w="1296"/>
            <w:vAlign w:val="center"/>
            <w:shd w:fill="F4F8FB"/>
          </w:tcPr>
          <w:p>
            <w:pPr>
              <w:jc w:val="center"/>
            </w:pPr>
            <w:r>
              <w:rPr>
                <w:sz w:val="13"/>
              </w:rPr>
              <w:t>-14.10%</w:t>
            </w:r>
          </w:p>
        </w:tc>
        <w:tc>
          <w:tcPr>
            <w:tcW w:type="dxa" w:w="1440"/>
            <w:vAlign w:val="center"/>
            <w:shd w:fill="F4F8FB"/>
          </w:tcPr>
          <w:p>
            <w:pPr>
              <w:jc w:val="center"/>
            </w:pPr>
            <w:r>
              <w:rPr>
                <w:sz w:val="13"/>
              </w:rPr>
              <w:t>35.29%</w:t>
            </w:r>
          </w:p>
        </w:tc>
      </w:tr>
      <w:tr>
        <w:tc>
          <w:tcPr>
            <w:tcW w:type="dxa" w:w="2448"/>
            <w:vAlign w:val="center"/>
          </w:tcPr>
          <w:p>
            <w:pPr>
              <w:jc w:val="left"/>
            </w:pPr>
            <w:r>
              <w:rPr>
                <w:sz w:val="13"/>
              </w:rPr>
              <w:t>relaxed_1200s</w:t>
            </w:r>
          </w:p>
        </w:tc>
        <w:tc>
          <w:tcPr>
            <w:tcW w:type="dxa" w:w="1296"/>
            <w:vAlign w:val="center"/>
          </w:tcPr>
          <w:p>
            <w:pPr>
              <w:jc w:val="center"/>
            </w:pPr>
            <w:r>
              <w:rPr>
                <w:sz w:val="13"/>
              </w:rPr>
              <w:t>-4.12%</w:t>
            </w:r>
          </w:p>
        </w:tc>
        <w:tc>
          <w:tcPr>
            <w:tcW w:type="dxa" w:w="1296"/>
            <w:vAlign w:val="center"/>
          </w:tcPr>
          <w:p>
            <w:pPr>
              <w:jc w:val="center"/>
            </w:pPr>
            <w:r>
              <w:rPr>
                <w:sz w:val="13"/>
              </w:rPr>
              <w:t>-4.03%</w:t>
            </w:r>
          </w:p>
        </w:tc>
        <w:tc>
          <w:tcPr>
            <w:tcW w:type="dxa" w:w="1440"/>
            <w:vAlign w:val="center"/>
          </w:tcPr>
          <w:p>
            <w:pPr>
              <w:jc w:val="center"/>
            </w:pPr>
            <w:r>
              <w:rPr>
                <w:sz w:val="13"/>
              </w:rPr>
              <w:t>-0.01%</w:t>
            </w:r>
          </w:p>
        </w:tc>
        <w:tc>
          <w:tcPr>
            <w:tcW w:type="dxa" w:w="1296"/>
            <w:vAlign w:val="center"/>
          </w:tcPr>
          <w:p>
            <w:pPr>
              <w:jc w:val="center"/>
            </w:pPr>
            <w:r>
              <w:rPr>
                <w:sz w:val="13"/>
              </w:rPr>
              <w:t>-0.01%</w:t>
            </w:r>
          </w:p>
        </w:tc>
        <w:tc>
          <w:tcPr>
            <w:tcW w:type="dxa" w:w="1440"/>
            <w:vAlign w:val="center"/>
          </w:tcPr>
          <w:p>
            <w:pPr>
              <w:jc w:val="center"/>
            </w:pPr>
            <w:r>
              <w:rPr>
                <w:sz w:val="13"/>
              </w:rPr>
              <w:t>27.27%</w:t>
            </w:r>
          </w:p>
        </w:tc>
      </w:tr>
      <w:tr>
        <w:tc>
          <w:tcPr>
            <w:tcW w:type="dxa" w:w="2448"/>
            <w:vAlign w:val="center"/>
            <w:shd w:fill="F4F8FB"/>
          </w:tcPr>
          <w:p>
            <w:pPr>
              <w:jc w:val="left"/>
            </w:pPr>
            <w:r>
              <w:rPr>
                <w:sz w:val="13"/>
              </w:rPr>
              <w:t>light_workload</w:t>
            </w:r>
          </w:p>
        </w:tc>
        <w:tc>
          <w:tcPr>
            <w:tcW w:type="dxa" w:w="1296"/>
            <w:vAlign w:val="center"/>
            <w:shd w:fill="F4F8FB"/>
          </w:tcPr>
          <w:p>
            <w:pPr>
              <w:jc w:val="center"/>
            </w:pPr>
            <w:r>
              <w:rPr>
                <w:sz w:val="13"/>
              </w:rPr>
              <w:t>7.56%</w:t>
            </w:r>
          </w:p>
        </w:tc>
        <w:tc>
          <w:tcPr>
            <w:tcW w:type="dxa" w:w="1296"/>
            <w:vAlign w:val="center"/>
            <w:shd w:fill="F4F8FB"/>
          </w:tcPr>
          <w:p>
            <w:pPr>
              <w:jc w:val="center"/>
            </w:pPr>
            <w:r>
              <w:rPr>
                <w:sz w:val="13"/>
              </w:rPr>
              <w:t>2.26%</w:t>
            </w:r>
          </w:p>
        </w:tc>
        <w:tc>
          <w:tcPr>
            <w:tcW w:type="dxa" w:w="1440"/>
            <w:vAlign w:val="center"/>
            <w:shd w:fill="F4F8FB"/>
          </w:tcPr>
          <w:p>
            <w:pPr>
              <w:jc w:val="center"/>
            </w:pPr>
            <w:r>
              <w:rPr>
                <w:sz w:val="13"/>
              </w:rPr>
              <w:t>0.10%</w:t>
            </w:r>
          </w:p>
        </w:tc>
        <w:tc>
          <w:tcPr>
            <w:tcW w:type="dxa" w:w="1296"/>
            <w:vAlign w:val="center"/>
            <w:shd w:fill="F4F8FB"/>
          </w:tcPr>
          <w:p>
            <w:pPr>
              <w:jc w:val="center"/>
            </w:pPr>
            <w:r>
              <w:rPr>
                <w:sz w:val="13"/>
              </w:rPr>
              <w:t>0.10%</w:t>
            </w:r>
          </w:p>
        </w:tc>
        <w:tc>
          <w:tcPr>
            <w:tcW w:type="dxa" w:w="1440"/>
            <w:vAlign w:val="center"/>
            <w:shd w:fill="F4F8FB"/>
          </w:tcPr>
          <w:p>
            <w:pPr>
              <w:jc w:val="center"/>
            </w:pPr>
            <w:r>
              <w:rPr>
                <w:sz w:val="13"/>
              </w:rPr>
              <w:t>38.46%</w:t>
            </w:r>
          </w:p>
        </w:tc>
      </w:tr>
      <w:tr>
        <w:tc>
          <w:tcPr>
            <w:tcW w:type="dxa" w:w="2448"/>
            <w:vAlign w:val="center"/>
          </w:tcPr>
          <w:p>
            <w:pPr>
              <w:jc w:val="left"/>
            </w:pPr>
            <w:r>
              <w:rPr>
                <w:sz w:val="13"/>
              </w:rPr>
              <w:t>heavy_workload</w:t>
            </w:r>
          </w:p>
        </w:tc>
        <w:tc>
          <w:tcPr>
            <w:tcW w:type="dxa" w:w="1296"/>
            <w:vAlign w:val="center"/>
          </w:tcPr>
          <w:p>
            <w:pPr>
              <w:jc w:val="center"/>
            </w:pPr>
            <w:r>
              <w:rPr>
                <w:sz w:val="13"/>
              </w:rPr>
              <w:t>6.44%</w:t>
            </w:r>
          </w:p>
        </w:tc>
        <w:tc>
          <w:tcPr>
            <w:tcW w:type="dxa" w:w="1296"/>
            <w:vAlign w:val="center"/>
          </w:tcPr>
          <w:p>
            <w:pPr>
              <w:jc w:val="center"/>
            </w:pPr>
            <w:r>
              <w:rPr>
                <w:sz w:val="13"/>
              </w:rPr>
              <w:t>-1.55%</w:t>
            </w:r>
          </w:p>
        </w:tc>
        <w:tc>
          <w:tcPr>
            <w:tcW w:type="dxa" w:w="1440"/>
            <w:vAlign w:val="center"/>
          </w:tcPr>
          <w:p>
            <w:pPr>
              <w:jc w:val="center"/>
            </w:pPr>
            <w:r>
              <w:rPr>
                <w:sz w:val="13"/>
              </w:rPr>
              <w:t>-1.28%</w:t>
            </w:r>
          </w:p>
        </w:tc>
        <w:tc>
          <w:tcPr>
            <w:tcW w:type="dxa" w:w="1296"/>
            <w:vAlign w:val="center"/>
          </w:tcPr>
          <w:p>
            <w:pPr>
              <w:jc w:val="center"/>
            </w:pPr>
            <w:r>
              <w:rPr>
                <w:sz w:val="13"/>
              </w:rPr>
              <w:t>-1.28%</w:t>
            </w:r>
          </w:p>
        </w:tc>
        <w:tc>
          <w:tcPr>
            <w:tcW w:type="dxa" w:w="1440"/>
            <w:vAlign w:val="center"/>
          </w:tcPr>
          <w:p>
            <w:pPr>
              <w:jc w:val="center"/>
            </w:pPr>
            <w:r>
              <w:rPr>
                <w:sz w:val="13"/>
              </w:rPr>
              <w:t>-18.75%</w:t>
            </w:r>
          </w:p>
        </w:tc>
      </w:tr>
      <w:tr>
        <w:tc>
          <w:tcPr>
            <w:tcW w:type="dxa" w:w="2448"/>
            <w:vAlign w:val="center"/>
            <w:shd w:fill="F4F8FB"/>
          </w:tcPr>
          <w:p>
            <w:pPr>
              <w:jc w:val="left"/>
            </w:pPr>
            <w:r>
              <w:rPr>
                <w:sz w:val="13"/>
              </w:rPr>
              <w:t>small_cluster</w:t>
            </w:r>
          </w:p>
        </w:tc>
        <w:tc>
          <w:tcPr>
            <w:tcW w:type="dxa" w:w="1296"/>
            <w:vAlign w:val="center"/>
            <w:shd w:fill="F4F8FB"/>
          </w:tcPr>
          <w:p>
            <w:pPr>
              <w:jc w:val="center"/>
            </w:pPr>
            <w:r>
              <w:rPr>
                <w:sz w:val="13"/>
              </w:rPr>
              <w:t>-1.17%</w:t>
            </w:r>
          </w:p>
        </w:tc>
        <w:tc>
          <w:tcPr>
            <w:tcW w:type="dxa" w:w="1296"/>
            <w:vAlign w:val="center"/>
            <w:shd w:fill="F4F8FB"/>
          </w:tcPr>
          <w:p>
            <w:pPr>
              <w:jc w:val="center"/>
            </w:pPr>
            <w:r>
              <w:rPr>
                <w:sz w:val="13"/>
              </w:rPr>
              <w:t>-6.06%</w:t>
            </w:r>
          </w:p>
        </w:tc>
        <w:tc>
          <w:tcPr>
            <w:tcW w:type="dxa" w:w="1440"/>
            <w:vAlign w:val="center"/>
            <w:shd w:fill="F4F8FB"/>
          </w:tcPr>
          <w:p>
            <w:pPr>
              <w:jc w:val="center"/>
            </w:pPr>
            <w:r>
              <w:rPr>
                <w:sz w:val="13"/>
              </w:rPr>
              <w:t>-3.70%</w:t>
            </w:r>
          </w:p>
        </w:tc>
        <w:tc>
          <w:tcPr>
            <w:tcW w:type="dxa" w:w="1296"/>
            <w:vAlign w:val="center"/>
            <w:shd w:fill="F4F8FB"/>
          </w:tcPr>
          <w:p>
            <w:pPr>
              <w:jc w:val="center"/>
            </w:pPr>
            <w:r>
              <w:rPr>
                <w:sz w:val="13"/>
              </w:rPr>
              <w:t>-3.70%</w:t>
            </w:r>
          </w:p>
        </w:tc>
        <w:tc>
          <w:tcPr>
            <w:tcW w:type="dxa" w:w="1440"/>
            <w:vAlign w:val="center"/>
            <w:shd w:fill="F4F8FB"/>
          </w:tcPr>
          <w:p>
            <w:pPr>
              <w:jc w:val="center"/>
            </w:pPr>
            <w:r>
              <w:rPr>
                <w:sz w:val="13"/>
              </w:rPr>
              <w:t>0.00%</w:t>
            </w:r>
          </w:p>
        </w:tc>
      </w:tr>
      <w:tr>
        <w:tc>
          <w:tcPr>
            <w:tcW w:type="dxa" w:w="2448"/>
            <w:vAlign w:val="center"/>
          </w:tcPr>
          <w:p>
            <w:pPr>
              <w:jc w:val="left"/>
            </w:pPr>
            <w:r>
              <w:rPr>
                <w:sz w:val="13"/>
              </w:rPr>
              <w:t>large_cluster</w:t>
            </w:r>
          </w:p>
        </w:tc>
        <w:tc>
          <w:tcPr>
            <w:tcW w:type="dxa" w:w="1296"/>
            <w:vAlign w:val="center"/>
          </w:tcPr>
          <w:p>
            <w:pPr>
              <w:jc w:val="center"/>
            </w:pPr>
            <w:r>
              <w:rPr>
                <w:sz w:val="13"/>
              </w:rPr>
              <w:t>8.39%</w:t>
            </w:r>
          </w:p>
        </w:tc>
        <w:tc>
          <w:tcPr>
            <w:tcW w:type="dxa" w:w="1296"/>
            <w:vAlign w:val="center"/>
          </w:tcPr>
          <w:p>
            <w:pPr>
              <w:jc w:val="center"/>
            </w:pPr>
            <w:r>
              <w:rPr>
                <w:sz w:val="13"/>
              </w:rPr>
              <w:t>-0.55%</w:t>
            </w:r>
          </w:p>
        </w:tc>
        <w:tc>
          <w:tcPr>
            <w:tcW w:type="dxa" w:w="1440"/>
            <w:vAlign w:val="center"/>
          </w:tcPr>
          <w:p>
            <w:pPr>
              <w:jc w:val="center"/>
            </w:pPr>
            <w:r>
              <w:rPr>
                <w:sz w:val="13"/>
              </w:rPr>
              <w:t>0.08%</w:t>
            </w:r>
          </w:p>
        </w:tc>
        <w:tc>
          <w:tcPr>
            <w:tcW w:type="dxa" w:w="1296"/>
            <w:vAlign w:val="center"/>
          </w:tcPr>
          <w:p>
            <w:pPr>
              <w:jc w:val="center"/>
            </w:pPr>
            <w:r>
              <w:rPr>
                <w:sz w:val="13"/>
              </w:rPr>
              <w:t>0.08%</w:t>
            </w:r>
          </w:p>
        </w:tc>
        <w:tc>
          <w:tcPr>
            <w:tcW w:type="dxa" w:w="1440"/>
            <w:vAlign w:val="center"/>
          </w:tcPr>
          <w:p>
            <w:pPr>
              <w:jc w:val="center"/>
            </w:pPr>
            <w:r>
              <w:rPr>
                <w:sz w:val="13"/>
              </w:rPr>
              <w:t>28.57%</w:t>
            </w:r>
          </w:p>
        </w:tc>
      </w:tr>
    </w:tbl>
    <w:p/>
    <w:p>
      <w:pPr>
        <w:spacing w:after="120" w:line="252" w:lineRule="auto"/>
      </w:pPr>
      <w:r>
        <w:t>Robustness tests show a nuanced result. Reoptimized DE improves average completion time by 6.66 percent on average across nine scenarios and improves failure rate by 12.07 percent on average, but it regresses on makespan and SLR by 2.16 percent on average. The 300 second compressed arrival window, 1200 second relaxed window, and 10 node cluster reveal sensitivity to workload dynamics and cluster scale.</w:t>
      </w:r>
    </w:p>
    <w:p>
      <w:pPr>
        <w:spacing w:after="120" w:line="252" w:lineRule="auto"/>
      </w:pPr>
      <w:r>
        <w:t>Figure 7 isolates the revised SLR values, Figure 8 gives a multi metric radar profile, and Figure 9 relates optimizer runtime to final fitness.</w:t>
      </w:r>
    </w:p>
    <w:p>
      <w:pPr>
        <w:jc w:val="center"/>
      </w:pPr>
      <w:r>
        <w:drawing>
          <wp:inline xmlns:a="http://schemas.openxmlformats.org/drawingml/2006/main" xmlns:pic="http://schemas.openxmlformats.org/drawingml/2006/picture">
            <wp:extent cx="4937760" cy="2438934"/>
            <wp:docPr id="7" name="Picture 7"/>
            <wp:cNvGraphicFramePr>
              <a:graphicFrameLocks noChangeAspect="1"/>
            </wp:cNvGraphicFramePr>
            <a:graphic>
              <a:graphicData uri="http://schemas.openxmlformats.org/drawingml/2006/picture">
                <pic:pic>
                  <pic:nvPicPr>
                    <pic:cNvPr id="0" name="slr_comparison.png"/>
                    <pic:cNvPicPr/>
                  </pic:nvPicPr>
                  <pic:blipFill>
                    <a:blip r:embed="rId15"/>
                    <a:stretch>
                      <a:fillRect/>
                    </a:stretch>
                  </pic:blipFill>
                  <pic:spPr>
                    <a:xfrm>
                      <a:off x="0" y="0"/>
                      <a:ext cx="4937760" cy="2438934"/>
                    </a:xfrm>
                    <a:prstGeom prst="rect"/>
                  </pic:spPr>
                </pic:pic>
              </a:graphicData>
            </a:graphic>
          </wp:inline>
        </w:drawing>
      </w:r>
    </w:p>
    <w:p>
      <w:pPr>
        <w:spacing w:after="160"/>
        <w:jc w:val="center"/>
      </w:pPr>
      <w:r>
        <w:rPr>
          <w:i/>
          <w:sz w:val="18"/>
        </w:rPr>
        <w:t>Figure 7. Revised SLR comparison using the parallel lower bound.</w:t>
      </w:r>
    </w:p>
    <w:p>
      <w:pPr>
        <w:jc w:val="center"/>
      </w:pPr>
      <w:r>
        <w:drawing>
          <wp:inline xmlns:a="http://schemas.openxmlformats.org/drawingml/2006/main" xmlns:pic="http://schemas.openxmlformats.org/drawingml/2006/picture">
            <wp:extent cx="4937760" cy="4291300"/>
            <wp:docPr id="8" name="Picture 8"/>
            <wp:cNvGraphicFramePr>
              <a:graphicFrameLocks noChangeAspect="1"/>
            </wp:cNvGraphicFramePr>
            <a:graphic>
              <a:graphicData uri="http://schemas.openxmlformats.org/drawingml/2006/picture">
                <pic:pic>
                  <pic:nvPicPr>
                    <pic:cNvPr id="0" name="radar_profile.png"/>
                    <pic:cNvPicPr/>
                  </pic:nvPicPr>
                  <pic:blipFill>
                    <a:blip r:embed="rId16"/>
                    <a:stretch>
                      <a:fillRect/>
                    </a:stretch>
                  </pic:blipFill>
                  <pic:spPr>
                    <a:xfrm>
                      <a:off x="0" y="0"/>
                      <a:ext cx="4937760" cy="4291300"/>
                    </a:xfrm>
                    <a:prstGeom prst="rect"/>
                  </pic:spPr>
                </pic:pic>
              </a:graphicData>
            </a:graphic>
          </wp:inline>
        </w:drawing>
      </w:r>
    </w:p>
    <w:p>
      <w:pPr>
        <w:spacing w:after="160"/>
        <w:jc w:val="center"/>
      </w:pPr>
      <w:r>
        <w:rPr>
          <w:i/>
          <w:sz w:val="18"/>
        </w:rPr>
        <w:t>Figure 8. Multi metric radar profile for MECT and optimized schedulers.</w:t>
      </w:r>
    </w:p>
    <w:p>
      <w:pPr>
        <w:jc w:val="center"/>
      </w:pPr>
      <w:r>
        <w:drawing>
          <wp:inline xmlns:a="http://schemas.openxmlformats.org/drawingml/2006/main" xmlns:pic="http://schemas.openxmlformats.org/drawingml/2006/picture">
            <wp:extent cx="4937760" cy="3068853"/>
            <wp:docPr id="9" name="Picture 9"/>
            <wp:cNvGraphicFramePr>
              <a:graphicFrameLocks noChangeAspect="1"/>
            </wp:cNvGraphicFramePr>
            <a:graphic>
              <a:graphicData uri="http://schemas.openxmlformats.org/drawingml/2006/picture">
                <pic:pic>
                  <pic:nvPicPr>
                    <pic:cNvPr id="0" name="runtime_vs_fitness.png"/>
                    <pic:cNvPicPr/>
                  </pic:nvPicPr>
                  <pic:blipFill>
                    <a:blip r:embed="rId17"/>
                    <a:stretch>
                      <a:fillRect/>
                    </a:stretch>
                  </pic:blipFill>
                  <pic:spPr>
                    <a:xfrm>
                      <a:off x="0" y="0"/>
                      <a:ext cx="4937760" cy="3068853"/>
                    </a:xfrm>
                    <a:prstGeom prst="rect"/>
                  </pic:spPr>
                </pic:pic>
              </a:graphicData>
            </a:graphic>
          </wp:inline>
        </w:drawing>
      </w:r>
    </w:p>
    <w:p>
      <w:pPr>
        <w:spacing w:after="160"/>
        <w:jc w:val="center"/>
      </w:pPr>
      <w:r>
        <w:rPr>
          <w:i/>
          <w:sz w:val="18"/>
        </w:rPr>
        <w:t>Figure 9. Runtime versus best fitness for optimizer efficiency comparison.</w:t>
      </w:r>
    </w:p>
    <w:p>
      <w:pPr>
        <w:pStyle w:val="Heading1"/>
        <w:spacing w:before="160" w:after="80"/>
      </w:pPr>
      <w:r>
        <w:t>9 Comparison With Prior Work</w:t>
      </w:r>
    </w:p>
    <w:p>
      <w:pPr>
        <w:spacing w:after="120" w:line="252" w:lineRule="auto"/>
      </w:pPr>
      <w:r>
        <w:t>The closest prior comparison in the original manuscript was Li and Chen [18], who studied energy aware task scheduling using a metaheuristic approach. A direct numerical SLR comparison is not retained because their workflow based SLR formulation is not methodologically equivalent to the parallel lower bound based SLR used here. Instead, the revised manuscript compares the proposed method qualitatively with prior metaheuristic and reinforcement learning studies.</w:t>
      </w:r>
    </w:p>
    <w:p>
      <w:pPr>
        <w:spacing w:after="120" w:line="252" w:lineRule="auto"/>
      </w:pPr>
      <w:r>
        <w:t>Compared with recent edge cloud and cloud edge scheduling work [19-24], this study emphasizes interpretability and reviewer reproducibility: the scheduler uses an explicit six feature score, the data are fetched from the official Alibaba trace archive, and the robustness experiments expose settings where the method regresses. This strengthens the credibility of the result even though it narrows the claim.</w:t>
      </w:r>
    </w:p>
    <w:p>
      <w:pPr>
        <w:pStyle w:val="Heading1"/>
        <w:spacing w:before="160" w:after="80"/>
      </w:pPr>
      <w:r>
        <w:t>10 Conclusion</w:t>
      </w:r>
    </w:p>
    <w:p>
      <w:pPr>
        <w:spacing w:after="120" w:line="252" w:lineRule="auto"/>
      </w:pPr>
      <w:r>
        <w:t>This study presented a dynamic scheduling framework for heterogeneous distributed systems in which task assignment is controlled by an interpretable six feature policy and optimized through evolutionary and cooperative co evolutionary search. The revised formulation resolves the mismatch between the original six objective claim and the previous four term fitness function by explicitly incorporating average completion time, P95 latency, makespan, load variance, failure rate, and Schedule Length Ratio into a single normalized objective. The resulting policy search remains easy to interpret because each learned weight corresponds to a concrete scheduling feature, while the nonnegative weight bounds preserve the intended meaning of penalty terms for queue length, latency, failure probability, and execution cost. The corrected SLR metric also avoids an invalid serial denominator by comparing observed schedule length against a parallel lower bound derived from task releases, fastest feasible task durations, and aggregate cluster capacity.</w:t>
      </w:r>
    </w:p>
    <w:p>
      <w:pPr>
        <w:spacing w:after="120" w:line="252" w:lineRule="auto"/>
      </w:pPr>
      <w:r>
        <w:t>The experimental workflow now supports a stronger evaluation protocol. Baseline constants are generated once from the MECT run and reused consistently across the optimizer fitness calculation, result tables, and manuscript text. Sensitivity analysis justifies the selected coefficient values, and robustness experiments vary random samples, arrival compression windows, workload intensity, and cluster size to test whether the conclusions survive changes in workload dynamics. On the primary real trace setting, optimized policies substantially improve mean and tail latency relative to MECT. However, robustness tests show that these improvements are not uniform across all operating conditions, particularly under compressed arrivals and smaller clusters. Future work should improve robustness under heavier contention, evaluate larger samples, compare against directly comparable workflow benchmarks, add energy and cost measurements where data are available, and validate the policy in a real distributed testbed.</w:t>
      </w:r>
    </w:p>
    <w:p>
      <w:pPr>
        <w:pStyle w:val="Heading1"/>
        <w:spacing w:before="160" w:after="80"/>
      </w:pPr>
      <w:r>
        <w:t>References</w:t>
      </w:r>
    </w:p>
    <w:p>
      <w:pPr>
        <w:spacing w:after="120" w:line="252" w:lineRule="auto"/>
      </w:pPr>
      <w:r>
        <w:t>[1] Topcuoglu H, Hariri S, Wu MY (2002) Performance effective and low complexity task scheduling for heterogeneous computing. IEEE Transactions on Parallel and Distributed Systems 13(3):260-274. https://doi.org/10.1109/71.993206</w:t>
      </w:r>
    </w:p>
    <w:p>
      <w:pPr>
        <w:spacing w:after="120" w:line="252" w:lineRule="auto"/>
      </w:pPr>
      <w:r>
        <w:t>[2] Ibrahim OH, Ahmed I, Omara FA, Shaker FA (2008) An enhanced min min algorithm for job scheduling in grid computing. Proceedings of the 5th International Conference on Electrical Engineering, pp 1-9.</w:t>
      </w:r>
    </w:p>
    <w:p>
      <w:pPr>
        <w:spacing w:after="120" w:line="252" w:lineRule="auto"/>
      </w:pPr>
      <w:r>
        <w:t>[3] Mao Y, Chen X, Li X (2014) Max Min task scheduling algorithm for load balance in cloud computing. Proceedings of Computer Science and Network Technology, pp 457-463. https://doi.org/10.1007/978-81-322-1759-6_53</w:t>
      </w:r>
    </w:p>
    <w:p>
      <w:pPr>
        <w:spacing w:after="120" w:line="252" w:lineRule="auto"/>
      </w:pPr>
      <w:r>
        <w:t>[4] Tanenbaum AS, van Steen M (2007) Distributed Systems Principles and Paradigms. Pearson Prentice Hall.</w:t>
      </w:r>
    </w:p>
    <w:p>
      <w:pPr>
        <w:spacing w:after="120" w:line="252" w:lineRule="auto"/>
      </w:pPr>
      <w:r>
        <w:t>[5] Buyya R, Yeo CS, Venugopal S, Broberg J, Brandic I (2009) Cloud computing and emerging IT platforms. Future Generation Computer Systems 25(6):599-616. https://doi.org/10.1016/j.future.2008.12.001</w:t>
      </w:r>
    </w:p>
    <w:p>
      <w:pPr>
        <w:spacing w:after="120" w:line="252" w:lineRule="auto"/>
      </w:pPr>
      <w:r>
        <w:t>[6] Ullman JD (1975) NP complete scheduling problems. Journal of Computer and System Sciences 10(3):384-393. https://doi.org/10.1016/S0022-0000(75)80008-0</w:t>
      </w:r>
    </w:p>
    <w:p>
      <w:pPr>
        <w:spacing w:after="120" w:line="252" w:lineRule="auto"/>
      </w:pPr>
      <w:r>
        <w:t>[7] Holland JH (1975) Adaptation in Natural and Artificial Systems. University of Michigan Press.</w:t>
      </w:r>
    </w:p>
    <w:p>
      <w:pPr>
        <w:spacing w:after="120" w:line="252" w:lineRule="auto"/>
      </w:pPr>
      <w:r>
        <w:t>[8] Goldberg DE (1989) Genetic Algorithms in Search Optimization and Machine Learning. Addison Wesley.</w:t>
      </w:r>
    </w:p>
    <w:p>
      <w:pPr>
        <w:spacing w:after="120" w:line="252" w:lineRule="auto"/>
      </w:pPr>
      <w:r>
        <w:t>[9] Kennedy J, Eberhart R (1995) Particle swarm optimization. Proceedings of IEEE International Conference on Neural Networks, pp 1942-1948. https://doi.org/10.1109/ICNN.1995.488968</w:t>
      </w:r>
    </w:p>
    <w:p>
      <w:pPr>
        <w:spacing w:after="120" w:line="252" w:lineRule="auto"/>
      </w:pPr>
      <w:r>
        <w:t>[10] Wang Y, Zuo X (2021) An effective cloud workflow scheduling approach combining PSO and idle time slot aware rules. IEEE CAA Journal of Automatica Sinica 8(5):1079-1094. https://doi.org/10.1109/JAS.2021.1003982</w:t>
      </w:r>
    </w:p>
    <w:p>
      <w:pPr>
        <w:spacing w:after="120" w:line="252" w:lineRule="auto"/>
      </w:pPr>
      <w:r>
        <w:t>[11] Storn R, Price K (1997) Differential evolution a simple and efficient heuristic for global optimization over continuous spaces. Journal of Global Optimization 11(4):341-359. https://doi.org/10.1023/A:1008202821328</w:t>
      </w:r>
    </w:p>
    <w:p>
      <w:pPr>
        <w:spacing w:after="120" w:line="252" w:lineRule="auto"/>
      </w:pPr>
      <w:r>
        <w:t>[12] Deb K, Pratap A, Agarwal S, Meyarivan T (2002) A fast and elitist multiobjective genetic algorithm NSGA II. IEEE Transactions on Evolutionary Computation 6(2):182-197. https://doi.org/10.1109/4235.996017</w:t>
      </w:r>
    </w:p>
    <w:p>
      <w:pPr>
        <w:spacing w:after="120" w:line="252" w:lineRule="auto"/>
      </w:pPr>
      <w:r>
        <w:t>[13] Durillo L, Fard HM, Prodan R (2012) MOHEFT a multi objective list based method for workflow scheduling. Proceedings of IEEE CloudCom, pp 185-192. https://doi.org/10.1109/CloudCom.2012.6427573</w:t>
      </w:r>
    </w:p>
    <w:p>
      <w:pPr>
        <w:spacing w:after="120" w:line="252" w:lineRule="auto"/>
      </w:pPr>
      <w:r>
        <w:t>[14] Senthil Kumar AM, Parthiban K, Siva Shankar S (2019) An efficient task scheduling in a cloud computing environment using hybrid Genetic Algorithm Particle Swarm Optimization algorithm. Proceedings of ICISS, IEEE, pp 1-6. https://doi.org/10.1109/ISS1.2019.8908041</w:t>
      </w:r>
    </w:p>
    <w:p>
      <w:pPr>
        <w:spacing w:after="120" w:line="252" w:lineRule="auto"/>
      </w:pPr>
      <w:r>
        <w:t>[15] Pang S, Li W, He H, Shan Z, Wang X (2019) An EDA GA hybrid algorithm for multi objective task scheduling in cloud computing. IEEE Access 7:146379-146389. https://doi.org/10.1109/ACCESS.2019.2946216</w:t>
      </w:r>
    </w:p>
    <w:p>
      <w:pPr>
        <w:spacing w:after="120" w:line="252" w:lineRule="auto"/>
      </w:pPr>
      <w:r>
        <w:t>[16] Potter MA, De Jong KA (1994) A cooperative coevolutionary approach to function optimization. Proceedings of PPSN III, pp 249-257. https://doi.org/10.1007/3-540-58484-6_269</w:t>
      </w:r>
    </w:p>
    <w:p>
      <w:pPr>
        <w:spacing w:after="120" w:line="252" w:lineRule="auto"/>
      </w:pPr>
      <w:r>
        <w:t>[17] Alibaba Cluster Trace Program (2018) Alibaba Cluster Data V2018. Alibaba Group. https://github.com/alibaba/clusterdata</w:t>
      </w:r>
    </w:p>
    <w:p>
      <w:pPr>
        <w:spacing w:after="120" w:line="252" w:lineRule="auto"/>
      </w:pPr>
      <w:r>
        <w:t>[18] Li C, Chen L (2024) Optimization for energy aware design of task scheduling in heterogeneous distributed systems a meta heuristic based approach. Computing. https://doi.org/10.1007/s00607-024-01282-1</w:t>
      </w:r>
    </w:p>
    <w:p>
      <w:pPr>
        <w:spacing w:after="120" w:line="252" w:lineRule="auto"/>
      </w:pPr>
      <w:r>
        <w:t>[19] Aminu J, Latip R, Hanafi ZM, Kamarudin S, Gabi D (2025) Systematic review of metaheuristic based task scheduling strategies in edge computing environments. Discover Computing 28:307. https://doi.org/10.1007/s10791-025-09819-4</w:t>
      </w:r>
    </w:p>
    <w:p>
      <w:pPr>
        <w:spacing w:after="120" w:line="252" w:lineRule="auto"/>
      </w:pPr>
      <w:r>
        <w:t>[20] Naeem AB, Senapati B, Rasheed J, Baili J, Osman O (2025) An intelligent job scheduling and real time resource optimization for edge cloud continuum in next generation networks. Scientific Reports 15:41534. https://doi.org/10.1038/s41598-025-25452-z</w:t>
      </w:r>
    </w:p>
    <w:p>
      <w:pPr>
        <w:spacing w:after="120" w:line="252" w:lineRule="auto"/>
      </w:pPr>
      <w:r>
        <w:t>[21] Zhang W, Ou H (2025) Reinforcement learning based multi objective task scheduling for energy efficient and cost effective cloud edge computing. Scientific Reports 15:41716. https://doi.org/10.1038/s41598-025-25666-1</w:t>
      </w:r>
    </w:p>
    <w:p>
      <w:pPr>
        <w:spacing w:after="120" w:line="252" w:lineRule="auto"/>
      </w:pPr>
      <w:r>
        <w:t>[22] Sravan P, Shaik MA (2026) DRL based multi objective task scheduling for edge cloud computing latency energy and SLA optimisation. Scientific Reports 16:19681. https://doi.org/10.1038/s41598-026-49824-1</w:t>
      </w:r>
    </w:p>
    <w:p>
      <w:pPr>
        <w:spacing w:after="120" w:line="252" w:lineRule="auto"/>
      </w:pPr>
      <w:r>
        <w:t>[23] Yamsani N, Reddy CP (2026) SLA aware deep reinforcement learning for adaptive EdgeCloud task scheduling. Scientific Reports 16:10037. https://doi.org/10.1038/s41598-026-40237-8</w:t>
      </w:r>
    </w:p>
    <w:p>
      <w:pPr>
        <w:spacing w:after="120" w:line="252" w:lineRule="auto"/>
      </w:pPr>
      <w:r>
        <w:t>[24] Raju LR, Reddy MVK, Surukanti SR, Sudhakar G, Sarma MVVS, Adepu A (2026) IntelliScheduler an edge cloud computing environment hybrid deep learning framework for task scheduling based on learning. Scientific Reports 16:11219. https://doi.org/10.1038/s41598-026-41330-8</w:t>
      </w:r>
    </w:p>
    <w:sectPr>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