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56"/>
          <w:szCs w:val="56"/>
        </w:rPr>
        <w:t xml:space="preserve">RetailIQ</w:t>
      </w:r>
    </w:p>
    <w:p>
      <w:pPr>
        <w:spacing w:after="80" w:before="0"/>
        <w:jc w:val="center"/>
      </w:pPr>
      <w:r>
        <w:rPr>
          <w:rFonts w:ascii="Arial" w:cs="Arial" w:eastAsia="Arial" w:hAnsi="Arial"/>
          <w:color w:val="2E75B6"/>
          <w:sz w:val="30"/>
          <w:szCs w:val="30"/>
        </w:rPr>
        <w:t xml:space="preserve">AI-Powered E-commerce Intelligence Report</w:t>
      </w:r>
    </w:p>
    <w:p>
      <w:pPr>
        <w:pBdr>
          <w:bottom w:val="single" w:color="1F4E79" w:sz="6" w:space="1"/>
        </w:pBdr>
        <w:spacing w:after="240" w:before="0"/>
        <w:jc w:val="center"/>
      </w:pPr>
      <w:r>
        <w:rPr>
          <w:rFonts w:ascii="Arial" w:cs="Arial" w:eastAsia="Arial" w:hAnsi="Arial"/>
          <w:i/>
          <w:iCs/>
          <w:color w:val="595959"/>
          <w:sz w:val="18"/>
          <w:szCs w:val="18"/>
        </w:rPr>
        <w:t xml:space="preserve">Prepared by: Sri Sai Samarth Sistla  |  Dataset: Online Retail II (UCI)  |  Period: Dec 2009 – Dec 2011</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Executive Summary</w:t>
      </w:r>
    </w:p>
    <w:p>
      <w:pPr>
        <w:spacing w:after="80" w:before="80"/>
      </w:pPr>
      <w:r>
        <w:rPr>
          <w:rFonts w:ascii="Arial" w:cs="Arial" w:eastAsia="Arial" w:hAnsi="Arial"/>
          <w:b w:val="false"/>
          <w:bCs w:val="false"/>
          <w:color w:val="000000"/>
          <w:sz w:val="22"/>
          <w:szCs w:val="22"/>
        </w:rPr>
        <w:t xml:space="preserve">This report presents a comprehensive analysis of e-commerce transaction data spanning two years across 41 countries. Using Python, SQL, and advanced RFM customer segmentation, we identified key revenue drivers, customer behaviour patterns, and critical business risks across £17.74 million in total revenue from 5,878 unique customers.</w:t>
      </w:r>
    </w:p>
    <w:p>
      <w:pPr>
        <w:spacing w:after="120" w:before="120"/>
      </w:pPr>
      <w:r>
        <w:t xml:space="preserve"/>
      </w:r>
    </w:p>
    <w:p>
      <w:pPr>
        <w:spacing w:after="80" w:before="80"/>
      </w:pPr>
      <w:r>
        <w:rPr>
          <w:rFonts w:ascii="Arial" w:cs="Arial" w:eastAsia="Arial" w:hAnsi="Arial"/>
          <w:b/>
          <w:bCs/>
          <w:color w:val="000000"/>
          <w:sz w:val="22"/>
          <w:szCs w:val="22"/>
        </w:rPr>
        <w:t xml:space="preserve">Three critical findings demand immediate attention:</w:t>
      </w:r>
    </w:p>
    <w:p>
      <w:pPr>
        <w:pStyle w:val="ListParagraph"/>
        <w:numPr>
          <w:ilvl w:val="0"/>
          <w:numId w:val="2"/>
        </w:numPr>
        <w:spacing w:after="60" w:before="60"/>
      </w:pPr>
      <w:r>
        <w:rPr>
          <w:rFonts w:ascii="Arial" w:cs="Arial" w:eastAsia="Arial" w:hAnsi="Arial"/>
          <w:sz w:val="22"/>
          <w:szCs w:val="22"/>
        </w:rPr>
        <w:t xml:space="preserve">774 Champion customers generate 55% of total revenue — retention is the top priority</w:t>
      </w:r>
    </w:p>
    <w:p>
      <w:pPr>
        <w:pStyle w:val="ListParagraph"/>
        <w:numPr>
          <w:ilvl w:val="0"/>
          <w:numId w:val="2"/>
        </w:numPr>
        <w:spacing w:after="60" w:before="60"/>
      </w:pPr>
      <w:r>
        <w:rPr>
          <w:rFonts w:ascii="Arial" w:cs="Arial" w:eastAsia="Arial" w:hAnsi="Arial"/>
          <w:sz w:val="22"/>
          <w:szCs w:val="22"/>
        </w:rPr>
        <w:t xml:space="preserve">1,466 At-Risk customers representing £2.3M in revenue show declining engagement</w:t>
      </w:r>
    </w:p>
    <w:p>
      <w:pPr>
        <w:pStyle w:val="ListParagraph"/>
        <w:numPr>
          <w:ilvl w:val="0"/>
          <w:numId w:val="2"/>
        </w:numPr>
        <w:spacing w:after="60" w:before="60"/>
      </w:pPr>
      <w:r>
        <w:rPr>
          <w:rFonts w:ascii="Arial" w:cs="Arial" w:eastAsia="Arial" w:hAnsi="Arial"/>
          <w:sz w:val="22"/>
          <w:szCs w:val="22"/>
        </w:rPr>
        <w:t xml:space="preserve">29 anomalous trading days detected, indicating irregular demand patterns</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1. Revenue Performance</w:t>
      </w:r>
    </w:p>
    <w:p>
      <w:pPr>
        <w:pStyle w:val="Heading2"/>
        <w:spacing w:after="120" w:before="240"/>
      </w:pPr>
      <w:r>
        <w:rPr>
          <w:rFonts w:ascii="Arial" w:cs="Arial" w:eastAsia="Arial" w:hAnsi="Arial"/>
          <w:b/>
          <w:bCs/>
          <w:color w:val="2E75B6"/>
          <w:sz w:val="26"/>
          <w:szCs w:val="26"/>
        </w:rPr>
        <w:t xml:space="preserve">Overall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Total Revenue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£17,743,429</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Total Orders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36,969</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Unique Customers</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5,878</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Unique Products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4,631</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Average Order Value</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£479.95</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Countries Served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41</w:t>
            </w:r>
          </w:p>
        </w:tc>
      </w:tr>
      <w:tr>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Anomaly Days Detected</w:t>
            </w:r>
          </w:p>
        </w:tc>
        <w:tc>
          <w:tcPr>
            <w:tcW w:type="dxa" w:w="468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29</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Monthly Revenue Trend</w:t>
      </w:r>
    </w:p>
    <w:p>
      <w:pPr>
        <w:spacing w:after="80" w:before="80"/>
      </w:pPr>
      <w:r>
        <w:rPr>
          <w:rFonts w:ascii="Arial" w:cs="Arial" w:eastAsia="Arial" w:hAnsi="Arial"/>
          <w:b w:val="false"/>
          <w:bCs w:val="false"/>
          <w:color w:val="000000"/>
          <w:sz w:val="22"/>
          <w:szCs w:val="22"/>
        </w:rPr>
        <w:t xml:space="preserve">Revenue grew strongly from £600,091 in July 2011 to a peak of £1,161,817 in November 2011 — a 94% increase driven by seasonal holiday demand. This confirms the business is highly seasonal with Q4 accounting for the majority of annual revenue.</w:t>
      </w:r>
    </w:p>
    <w:p>
      <w:pPr>
        <w:spacing w:after="120" w:before="120"/>
      </w:pPr>
      <w:r>
        <w:t xml:space="preserve"/>
      </w:r>
    </w:p>
    <w:p>
      <w:pPr>
        <w:spacing w:after="80" w:before="80"/>
      </w:pPr>
      <w:r>
        <w:rPr>
          <w:rFonts w:ascii="Arial" w:cs="Arial" w:eastAsia="Arial" w:hAnsi="Arial"/>
          <w:b/>
          <w:bCs/>
          <w:color w:val="1F4E79"/>
          <w:sz w:val="22"/>
          <w:szCs w:val="22"/>
        </w:rPr>
        <w:t xml:space="preserve">Recommendation:</w:t>
      </w:r>
    </w:p>
    <w:p>
      <w:pPr>
        <w:spacing w:after="80" w:before="80"/>
      </w:pPr>
      <w:r>
        <w:rPr>
          <w:rFonts w:ascii="Arial" w:cs="Arial" w:eastAsia="Arial" w:hAnsi="Arial"/>
          <w:b w:val="false"/>
          <w:bCs w:val="false"/>
          <w:color w:val="000000"/>
          <w:sz w:val="22"/>
          <w:szCs w:val="22"/>
        </w:rPr>
        <w:t xml:space="preserve">Invest in Q4 inventory planning and targeted pre-holiday marketing campaigns to maximise peak season performance and reduce stockouts.</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Geographic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Country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Customers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United Kingdom</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£14,723,148</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5,350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EIRE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£621,631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Netherlands</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£554,232</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Germany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£431,262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107</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France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£355,257</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95</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Australia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£169,968</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w:t>
            </w:r>
          </w:p>
        </w:tc>
      </w:tr>
    </w:tbl>
    <w:p>
      <w:pPr>
        <w:spacing w:after="120" w:before="120"/>
      </w:pPr>
      <w:r>
        <w:t xml:space="preserve"/>
      </w:r>
    </w:p>
    <w:p>
      <w:pPr>
        <w:spacing w:after="80" w:before="80"/>
      </w:pPr>
      <w:r>
        <w:rPr>
          <w:rFonts w:ascii="Arial" w:cs="Arial" w:eastAsia="Arial" w:hAnsi="Arial"/>
          <w:b w:val="false"/>
          <w:bCs w:val="false"/>
          <w:color w:val="000000"/>
          <w:sz w:val="22"/>
          <w:szCs w:val="22"/>
        </w:rPr>
        <w:t xml:space="preserve">The UK dominates at 83% of total revenue. However, EIRE generates £621K from just 5 customers — indicating massive high-value wholesale buyers. Netherlands and Germany show strong revenue with small customer bases, suggesting high-value international segments.</w:t>
      </w:r>
    </w:p>
    <w:p>
      <w:pPr>
        <w:spacing w:after="120" w:before="120"/>
      </w:pPr>
      <w:r>
        <w:t xml:space="preserve"/>
      </w:r>
    </w:p>
    <w:p>
      <w:r>
        <w:br w:type="page"/>
      </w:r>
    </w:p>
    <w:p>
      <w:pPr>
        <w:pStyle w:val="Heading1"/>
        <w:spacing w:after="160" w:before="320"/>
      </w:pPr>
      <w:r>
        <w:rPr>
          <w:rFonts w:ascii="Arial" w:cs="Arial" w:eastAsia="Arial" w:hAnsi="Arial"/>
          <w:b/>
          <w:bCs/>
          <w:color w:val="1F4E79"/>
          <w:sz w:val="32"/>
          <w:szCs w:val="32"/>
        </w:rPr>
        <w:t xml:space="preserve">2. Customer Segmentation — RFM Analysis</w:t>
      </w:r>
    </w:p>
    <w:p>
      <w:pPr>
        <w:pStyle w:val="Heading2"/>
        <w:spacing w:after="120" w:before="240"/>
      </w:pPr>
      <w:r>
        <w:rPr>
          <w:rFonts w:ascii="Arial" w:cs="Arial" w:eastAsia="Arial" w:hAnsi="Arial"/>
          <w:b/>
          <w:bCs/>
          <w:color w:val="2E75B6"/>
          <w:sz w:val="26"/>
          <w:szCs w:val="26"/>
        </w:rPr>
        <w:t xml:space="preserve">Segment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Segment</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Customers</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of Base</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Avg Spend</w:t>
            </w:r>
          </w:p>
        </w:tc>
        <w:tc>
          <w:tcPr>
            <w:tcW w:type="dxa" w:w="1872"/>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Total Revenue</w:t>
            </w:r>
          </w:p>
        </w:tc>
      </w:tr>
      <w:tr>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Champion</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774</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13.2%</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£12,686</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£9,818,881</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Loyal</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1,285</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21.9%</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£2,955</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£3,797,587</w:t>
            </w:r>
          </w:p>
        </w:tc>
      </w:tr>
      <w:tr>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At Risk</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1,466</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24.9%</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£1,576</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£2,310,503</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Potential Loyalist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894</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15.2%</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£861</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£769,953</w:t>
            </w:r>
          </w:p>
        </w:tc>
      </w:tr>
      <w:tr>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Cant Lose Them</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226</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3.8%</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£2,011</w:t>
            </w:r>
          </w:p>
        </w:tc>
        <w:tc>
          <w:tcPr>
            <w:tcW w:type="dxa" w:w="1872"/>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£454,415</w:t>
            </w:r>
          </w:p>
        </w:tc>
      </w:tr>
      <w:tr>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Lost</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1,233</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21.0%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£480</w:t>
            </w:r>
          </w:p>
        </w:tc>
        <w:tc>
          <w:tcPr>
            <w:tcW w:type="dxa" w:w="187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£592,091</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Critical Insight — The 13% Rule</w:t>
      </w:r>
    </w:p>
    <w:p>
      <w:pPr>
        <w:spacing w:after="80" w:before="80"/>
      </w:pPr>
      <w:r>
        <w:rPr>
          <w:rFonts w:ascii="Arial" w:cs="Arial" w:eastAsia="Arial" w:hAnsi="Arial"/>
          <w:b w:val="false"/>
          <w:bCs w:val="false"/>
          <w:color w:val="000000"/>
          <w:sz w:val="22"/>
          <w:szCs w:val="22"/>
        </w:rPr>
        <w:t xml:space="preserve">Just 774 Champion customers (13.2% of the base) generate £9.8M — representing 55.3% of total revenue. This extreme concentration creates significant business risk. Losing even 10% of Champions would cost approximately £982,000 in annual revenue.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Strategic Recommendations by Segment</w:t>
      </w:r>
    </w:p>
    <w:p>
      <w:pPr>
        <w:spacing w:after="80" w:before="80"/>
      </w:pPr>
      <w:r>
        <w:rPr>
          <w:rFonts w:ascii="Arial" w:cs="Arial" w:eastAsia="Arial" w:hAnsi="Arial"/>
          <w:b/>
          <w:bCs/>
          <w:color w:val="1F4E79"/>
          <w:sz w:val="22"/>
          <w:szCs w:val="22"/>
        </w:rPr>
        <w:t xml:space="preserve">Champions (774 customers):</w:t>
      </w:r>
    </w:p>
    <w:p>
      <w:pPr>
        <w:pStyle w:val="ListParagraph"/>
        <w:numPr>
          <w:ilvl w:val="0"/>
          <w:numId w:val="2"/>
        </w:numPr>
        <w:spacing w:after="60" w:before="60"/>
      </w:pPr>
      <w:r>
        <w:rPr>
          <w:rFonts w:ascii="Arial" w:cs="Arial" w:eastAsia="Arial" w:hAnsi="Arial"/>
          <w:sz w:val="22"/>
          <w:szCs w:val="22"/>
        </w:rPr>
        <w:t xml:space="preserve">Launch a VIP loyalty programme with exclusive early access to new products</w:t>
      </w:r>
    </w:p>
    <w:p>
      <w:pPr>
        <w:pStyle w:val="ListParagraph"/>
        <w:numPr>
          <w:ilvl w:val="0"/>
          <w:numId w:val="2"/>
        </w:numPr>
        <w:spacing w:after="60" w:before="60"/>
      </w:pPr>
      <w:r>
        <w:rPr>
          <w:rFonts w:ascii="Arial" w:cs="Arial" w:eastAsia="Arial" w:hAnsi="Arial"/>
          <w:sz w:val="22"/>
          <w:szCs w:val="22"/>
        </w:rPr>
        <w:t xml:space="preserve">Offer personalised thank-you gestures and priority customer service</w:t>
      </w:r>
    </w:p>
    <w:p>
      <w:pPr>
        <w:pStyle w:val="ListParagraph"/>
        <w:numPr>
          <w:ilvl w:val="0"/>
          <w:numId w:val="2"/>
        </w:numPr>
        <w:spacing w:after="60" w:before="60"/>
      </w:pPr>
      <w:r>
        <w:rPr>
          <w:rFonts w:ascii="Arial" w:cs="Arial" w:eastAsia="Arial" w:hAnsi="Arial"/>
          <w:sz w:val="22"/>
          <w:szCs w:val="22"/>
        </w:rPr>
        <w:t xml:space="preserve">Target for referral programmes — most likely to recommend the brand</w:t>
      </w:r>
    </w:p>
    <w:p>
      <w:pPr>
        <w:spacing w:after="120" w:before="120"/>
      </w:pPr>
      <w:r>
        <w:t xml:space="preserve"/>
      </w:r>
    </w:p>
    <w:p>
      <w:pPr>
        <w:spacing w:after="80" w:before="80"/>
      </w:pPr>
      <w:r>
        <w:rPr>
          <w:rFonts w:ascii="Arial" w:cs="Arial" w:eastAsia="Arial" w:hAnsi="Arial"/>
          <w:b/>
          <w:bCs/>
          <w:color w:val="E63946"/>
          <w:sz w:val="22"/>
          <w:szCs w:val="22"/>
        </w:rPr>
        <w:t xml:space="preserve">At Risk (1,466 customers):</w:t>
      </w:r>
    </w:p>
    <w:p>
      <w:pPr>
        <w:pStyle w:val="ListParagraph"/>
        <w:numPr>
          <w:ilvl w:val="0"/>
          <w:numId w:val="2"/>
        </w:numPr>
        <w:spacing w:after="60" w:before="60"/>
      </w:pPr>
      <w:r>
        <w:rPr>
          <w:rFonts w:ascii="Arial" w:cs="Arial" w:eastAsia="Arial" w:hAnsi="Arial"/>
          <w:sz w:val="22"/>
          <w:szCs w:val="22"/>
        </w:rPr>
        <w:t xml:space="preserve">Immediate win-back campaign with personalised discount offers</w:t>
      </w:r>
    </w:p>
    <w:p>
      <w:pPr>
        <w:pStyle w:val="ListParagraph"/>
        <w:numPr>
          <w:ilvl w:val="0"/>
          <w:numId w:val="2"/>
        </w:numPr>
        <w:spacing w:after="60" w:before="60"/>
      </w:pPr>
      <w:r>
        <w:rPr>
          <w:rFonts w:ascii="Arial" w:cs="Arial" w:eastAsia="Arial" w:hAnsi="Arial"/>
          <w:sz w:val="22"/>
          <w:szCs w:val="22"/>
        </w:rPr>
        <w:t xml:space="preserve">Send re-engagement emails highlighting new products in their purchase history</w:t>
      </w:r>
    </w:p>
    <w:p>
      <w:pPr>
        <w:pStyle w:val="ListParagraph"/>
        <w:numPr>
          <w:ilvl w:val="0"/>
          <w:numId w:val="2"/>
        </w:numPr>
        <w:spacing w:after="60" w:before="60"/>
      </w:pPr>
      <w:r>
        <w:rPr>
          <w:rFonts w:ascii="Arial" w:cs="Arial" w:eastAsia="Arial" w:hAnsi="Arial"/>
          <w:sz w:val="22"/>
          <w:szCs w:val="22"/>
        </w:rPr>
        <w:t xml:space="preserve">Set automated alerts when customers go 60+ days without a purchase</w:t>
      </w:r>
    </w:p>
    <w:p>
      <w:pPr>
        <w:pStyle w:val="ListParagraph"/>
        <w:numPr>
          <w:ilvl w:val="0"/>
          <w:numId w:val="2"/>
        </w:numPr>
        <w:spacing w:after="60" w:before="60"/>
      </w:pPr>
      <w:r>
        <w:rPr>
          <w:rFonts w:ascii="Arial" w:cs="Arial" w:eastAsia="Arial" w:hAnsi="Arial"/>
          <w:sz w:val="22"/>
          <w:szCs w:val="22"/>
        </w:rPr>
        <w:t xml:space="preserve">Priority: recovering 30% would add £693,000 in revenue</w:t>
      </w:r>
    </w:p>
    <w:p>
      <w:pPr>
        <w:spacing w:after="120" w:before="120"/>
      </w:pPr>
      <w:r>
        <w:t xml:space="preserve"/>
      </w:r>
    </w:p>
    <w:p>
      <w:pPr>
        <w:spacing w:after="80" w:before="80"/>
      </w:pPr>
      <w:r>
        <w:rPr>
          <w:rFonts w:ascii="Arial" w:cs="Arial" w:eastAsia="Arial" w:hAnsi="Arial"/>
          <w:b/>
          <w:bCs/>
          <w:color w:val="595959"/>
          <w:sz w:val="22"/>
          <w:szCs w:val="22"/>
        </w:rPr>
        <w:t xml:space="preserve">Lost (1,233 customers):</w:t>
      </w:r>
    </w:p>
    <w:p>
      <w:pPr>
        <w:pStyle w:val="ListParagraph"/>
        <w:numPr>
          <w:ilvl w:val="0"/>
          <w:numId w:val="2"/>
        </w:numPr>
        <w:spacing w:after="60" w:before="60"/>
      </w:pPr>
      <w:r>
        <w:rPr>
          <w:rFonts w:ascii="Arial" w:cs="Arial" w:eastAsia="Arial" w:hAnsi="Arial"/>
          <w:sz w:val="22"/>
          <w:szCs w:val="22"/>
        </w:rPr>
        <w:t xml:space="preserve">Low-cost email reactivation campaign with a strong incentive</w:t>
      </w:r>
    </w:p>
    <w:p>
      <w:pPr>
        <w:pStyle w:val="ListParagraph"/>
        <w:numPr>
          <w:ilvl w:val="0"/>
          <w:numId w:val="2"/>
        </w:numPr>
        <w:spacing w:after="60" w:before="60"/>
      </w:pPr>
      <w:r>
        <w:rPr>
          <w:rFonts w:ascii="Arial" w:cs="Arial" w:eastAsia="Arial" w:hAnsi="Arial"/>
          <w:sz w:val="22"/>
          <w:szCs w:val="22"/>
        </w:rPr>
        <w:t xml:space="preserve">Survey to understand churn reasons — pricing, quality, or service</w:t>
      </w:r>
    </w:p>
    <w:p>
      <w:pPr>
        <w:pStyle w:val="ListParagraph"/>
        <w:numPr>
          <w:ilvl w:val="0"/>
          <w:numId w:val="2"/>
        </w:numPr>
        <w:spacing w:after="60" w:before="60"/>
      </w:pPr>
      <w:r>
        <w:rPr>
          <w:rFonts w:ascii="Arial" w:cs="Arial" w:eastAsia="Arial" w:hAnsi="Arial"/>
          <w:sz w:val="22"/>
          <w:szCs w:val="22"/>
        </w:rPr>
        <w:t xml:space="preserve">Remove from active marketing after 3 failed reactivation attempts</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3. Product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Product</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Units Sold</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Regency Cakestand 3 Tier</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24,899</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£286,486</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White Hanging Heart T-Light Holder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93,640</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£252,072</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Paper Craft Little Birdie</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80,995</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£168,470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Jumbo Bag Red Retrospot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75,759</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£136,980</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Assorted Colour Bird Ornament</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79,913</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£127,074</w:t>
            </w:r>
          </w:p>
        </w:tc>
      </w:tr>
    </w:tbl>
    <w:p>
      <w:pPr>
        <w:spacing w:after="120" w:before="120"/>
      </w:pPr>
      <w:r>
        <w:t xml:space="preserve"/>
      </w:r>
    </w:p>
    <w:p>
      <w:pPr>
        <w:spacing w:after="80" w:before="80"/>
      </w:pPr>
      <w:r>
        <w:rPr>
          <w:rFonts w:ascii="Arial" w:cs="Arial" w:eastAsia="Arial" w:hAnsi="Arial"/>
          <w:b w:val="false"/>
          <w:bCs w:val="false"/>
          <w:color w:val="000000"/>
          <w:sz w:val="22"/>
          <w:szCs w:val="22"/>
        </w:rPr>
        <w:t xml:space="preserve">The top product (Regency Cakestand) generates 3x the revenue of the 5th product despite selling far fewer units — indicating premium pricing power. Stock levels for this SKU must be protected especially during Q4 peak season.</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4. Anomaly Detection</w:t>
      </w:r>
    </w:p>
    <w:p>
      <w:pPr>
        <w:spacing w:after="80" w:before="80"/>
      </w:pPr>
      <w:r>
        <w:rPr>
          <w:rFonts w:ascii="Arial" w:cs="Arial" w:eastAsia="Arial" w:hAnsi="Arial"/>
          <w:b w:val="false"/>
          <w:bCs w:val="false"/>
          <w:color w:val="000000"/>
          <w:sz w:val="22"/>
          <w:szCs w:val="22"/>
        </w:rPr>
        <w:t xml:space="preserve">Our IQR-based anomaly detection model identified 29 anomalous trading days out of 728 total trading days (4% of all days). These represent unusual revenue spikes or drops deviating significantly from normal trading patterns.</w:t>
      </w:r>
    </w:p>
    <w:p>
      <w:pPr>
        <w:spacing w:after="120" w:before="120"/>
      </w:pPr>
      <w:r>
        <w:t xml:space="preserve"/>
      </w:r>
    </w:p>
    <w:p>
      <w:pPr>
        <w:spacing w:after="80" w:before="80"/>
      </w:pPr>
      <w:r>
        <w:rPr>
          <w:rFonts w:ascii="Arial" w:cs="Arial" w:eastAsia="Arial" w:hAnsi="Arial"/>
          <w:b/>
          <w:bCs/>
          <w:color w:val="000000"/>
          <w:sz w:val="22"/>
          <w:szCs w:val="22"/>
        </w:rPr>
        <w:t xml:space="preserve">Possible causes:</w:t>
      </w:r>
    </w:p>
    <w:p>
      <w:pPr>
        <w:pStyle w:val="ListParagraph"/>
        <w:numPr>
          <w:ilvl w:val="0"/>
          <w:numId w:val="2"/>
        </w:numPr>
        <w:spacing w:after="60" w:before="60"/>
      </w:pPr>
      <w:r>
        <w:rPr>
          <w:rFonts w:ascii="Arial" w:cs="Arial" w:eastAsia="Arial" w:hAnsi="Arial"/>
          <w:sz w:val="22"/>
          <w:szCs w:val="22"/>
        </w:rPr>
        <w:t xml:space="preserve">Bulk orders from wholesale customers</w:t>
      </w:r>
    </w:p>
    <w:p>
      <w:pPr>
        <w:pStyle w:val="ListParagraph"/>
        <w:numPr>
          <w:ilvl w:val="0"/>
          <w:numId w:val="2"/>
        </w:numPr>
        <w:spacing w:after="60" w:before="60"/>
      </w:pPr>
      <w:r>
        <w:rPr>
          <w:rFonts w:ascii="Arial" w:cs="Arial" w:eastAsia="Arial" w:hAnsi="Arial"/>
          <w:sz w:val="22"/>
          <w:szCs w:val="22"/>
        </w:rPr>
        <w:t xml:space="preserve">Flash sales or promotional events</w:t>
      </w:r>
    </w:p>
    <w:p>
      <w:pPr>
        <w:pStyle w:val="ListParagraph"/>
        <w:numPr>
          <w:ilvl w:val="0"/>
          <w:numId w:val="2"/>
        </w:numPr>
        <w:spacing w:after="60" w:before="60"/>
      </w:pPr>
      <w:r>
        <w:rPr>
          <w:rFonts w:ascii="Arial" w:cs="Arial" w:eastAsia="Arial" w:hAnsi="Arial"/>
          <w:sz w:val="22"/>
          <w:szCs w:val="22"/>
        </w:rPr>
        <w:t xml:space="preserve">System errors in order processing</w:t>
      </w:r>
    </w:p>
    <w:p>
      <w:pPr>
        <w:pStyle w:val="ListParagraph"/>
        <w:numPr>
          <w:ilvl w:val="0"/>
          <w:numId w:val="2"/>
        </w:numPr>
        <w:spacing w:after="60" w:before="60"/>
      </w:pPr>
      <w:r>
        <w:rPr>
          <w:rFonts w:ascii="Arial" w:cs="Arial" w:eastAsia="Arial" w:hAnsi="Arial"/>
          <w:sz w:val="22"/>
          <w:szCs w:val="22"/>
        </w:rPr>
        <w:t xml:space="preserve">Seasonal demand spikes (Christmas, Valentine's Day)</w:t>
      </w:r>
    </w:p>
    <w:p>
      <w:pPr>
        <w:spacing w:after="120" w:before="120"/>
      </w:pPr>
      <w:r>
        <w:t xml:space="preserve"/>
      </w:r>
    </w:p>
    <w:p>
      <w:pPr>
        <w:spacing w:after="80" w:before="80"/>
      </w:pPr>
      <w:r>
        <w:rPr>
          <w:rFonts w:ascii="Arial" w:cs="Arial" w:eastAsia="Arial" w:hAnsi="Arial"/>
          <w:b/>
          <w:bCs/>
          <w:color w:val="1F4E79"/>
          <w:sz w:val="22"/>
          <w:szCs w:val="22"/>
        </w:rPr>
        <w:t xml:space="preserve">Recommendation:</w:t>
      </w:r>
    </w:p>
    <w:p>
      <w:pPr>
        <w:spacing w:after="80" w:before="80"/>
      </w:pPr>
      <w:r>
        <w:rPr>
          <w:rFonts w:ascii="Arial" w:cs="Arial" w:eastAsia="Arial" w:hAnsi="Arial"/>
          <w:b w:val="false"/>
          <w:bCs w:val="false"/>
          <w:color w:val="000000"/>
          <w:sz w:val="22"/>
          <w:szCs w:val="22"/>
        </w:rPr>
        <w:t xml:space="preserve">Implement a real-time anomaly alert system to flag unusual daily revenue. Each anomaly should trigger a manual review to determine if it represents a genuine opportunity or a data quality issue.</w:t>
      </w:r>
    </w:p>
    <w:p>
      <w:pPr>
        <w:spacing w:after="120" w:before="120"/>
      </w:pPr>
      <w:r>
        <w:t xml:space="preserve"/>
      </w:r>
    </w:p>
    <w:p>
      <w:pPr>
        <w:pStyle w:val="Heading1"/>
        <w:spacing w:after="160" w:before="320"/>
      </w:pPr>
      <w:r>
        <w:rPr>
          <w:rFonts w:ascii="Arial" w:cs="Arial" w:eastAsia="Arial" w:hAnsi="Arial"/>
          <w:b/>
          <w:bCs/>
          <w:color w:val="1F4E79"/>
          <w:sz w:val="32"/>
          <w:szCs w:val="32"/>
        </w:rPr>
        <w:t xml:space="preserve">5. Strategic Recommendations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Priority</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w:t>
            </w:r>
          </w:p>
        </w:tc>
        <w:tc>
          <w:tcPr>
            <w:tcW w:type="dxa" w:w="312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Impact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Win-back At Risk customers (1,466)</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+£693K revenue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High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VIP programme for Champions (774)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Protect £9.8M revenue</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Expand Germany &amp; France marketing</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+15% international revenue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Medium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Q4 inventory planning for peak season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Reduce stockouts</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Reactivate Lost customers (1,233)</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sz w:val="20"/>
                <w:szCs w:val="20"/>
              </w:rPr>
              <w:t xml:space="preserve">+£177K revenue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Low</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Anomaly monitoring system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0"/>
                <w:szCs w:val="20"/>
              </w:rPr>
              <w:t xml:space="preserve">Improve data quality</w:t>
            </w:r>
          </w:p>
        </w:tc>
      </w:tr>
    </w:tbl>
    <w:p>
      <w:pPr>
        <w:spacing w:after="120" w:before="120"/>
      </w:pPr>
      <w:r>
        <w:t xml:space="preserve"/>
      </w:r>
    </w:p>
    <w:p>
      <w:pPr>
        <w:pStyle w:val="Heading1"/>
        <w:spacing w:after="160" w:before="320"/>
      </w:pPr>
      <w:r>
        <w:rPr>
          <w:rFonts w:ascii="Arial" w:cs="Arial" w:eastAsia="Arial" w:hAnsi="Arial"/>
          <w:b/>
          <w:bCs/>
          <w:color w:val="1F4E79"/>
          <w:sz w:val="32"/>
          <w:szCs w:val="32"/>
        </w:rPr>
        <w:t xml:space="preserve">6. Conclusion</w:t>
      </w:r>
    </w:p>
    <w:p>
      <w:pPr>
        <w:spacing w:after="80" w:before="80"/>
      </w:pPr>
      <w:r>
        <w:rPr>
          <w:rFonts w:ascii="Arial" w:cs="Arial" w:eastAsia="Arial" w:hAnsi="Arial"/>
          <w:b w:val="false"/>
          <w:bCs w:val="false"/>
          <w:color w:val="000000"/>
          <w:sz w:val="22"/>
          <w:szCs w:val="22"/>
        </w:rPr>
        <w:t xml:space="preserve">The RetailIQ analysis reveals a business with strong revenue fundamentals but significant concentration risk. The immediate priority must be protecting and nurturing the 774 Champion customers who drive over half of all revenue, while simultaneously re-engaging the 1,466 At-Risk customers before they are lost entirely.</w:t>
      </w:r>
    </w:p>
    <w:p>
      <w:pPr>
        <w:spacing w:after="120" w:before="120"/>
      </w:pPr>
      <w:r>
        <w:t xml:space="preserve"/>
      </w:r>
    </w:p>
    <w:p>
      <w:pPr>
        <w:spacing w:after="80" w:before="80"/>
      </w:pPr>
      <w:r>
        <w:rPr>
          <w:rFonts w:ascii="Arial" w:cs="Arial" w:eastAsia="Arial" w:hAnsi="Arial"/>
          <w:b/>
          <w:bCs/>
          <w:color w:val="1F4E79"/>
          <w:sz w:val="22"/>
          <w:szCs w:val="22"/>
        </w:rPr>
        <w:t xml:space="preserve">Total addressable recovery opportunity: £870,000+</w:t>
      </w:r>
    </w:p>
    <w:p>
      <w:pPr>
        <w:spacing w:after="80" w:before="80"/>
      </w:pPr>
      <w:r>
        <w:rPr>
          <w:rFonts w:ascii="Arial" w:cs="Arial" w:eastAsia="Arial" w:hAnsi="Arial"/>
          <w:b w:val="false"/>
          <w:bCs w:val="false"/>
          <w:color w:val="000000"/>
          <w:sz w:val="22"/>
          <w:szCs w:val="22"/>
        </w:rPr>
        <w:t xml:space="preserve">This can be achieved through targeted customer retention and reactivation strategies outlined in this report.</w:t>
      </w:r>
    </w:p>
    <w:p>
      <w:pPr>
        <w:spacing w:after="120" w:before="120"/>
      </w:pPr>
      <w:r>
        <w:t xml:space="preserve"/>
      </w:r>
    </w:p>
    <w:p>
      <w:pPr>
        <w:pBdr>
          <w:top w:val="single" w:color="1F4E79" w:sz="4" w:space="1"/>
        </w:pBdr>
        <w:spacing w:after="80" w:before="240"/>
      </w:pPr>
      <w:r>
        <w:rPr>
          <w:rFonts w:ascii="Arial" w:cs="Arial" w:eastAsia="Arial" w:hAnsi="Arial"/>
          <w:i/>
          <w:iCs/>
          <w:color w:val="595959"/>
          <w:sz w:val="18"/>
          <w:szCs w:val="18"/>
        </w:rPr>
        <w:t xml:space="preserve">Report generated using Python (pandas, matplotlib, seaborn), SQL (SQLite), and Power BI.</w:t>
      </w:r>
    </w:p>
    <w:p>
      <w:pPr>
        <w:spacing w:after="80" w:before="80"/>
      </w:pPr>
      <w:r>
        <w:rPr>
          <w:rFonts w:ascii="Arial" w:cs="Arial" w:eastAsia="Arial" w:hAnsi="Arial"/>
          <w:b w:val="false"/>
          <w:bCs w:val="false"/>
          <w:color w:val="595959"/>
          <w:sz w:val="22"/>
          <w:szCs w:val="22"/>
        </w:rPr>
        <w:t xml:space="preserve">Analysis methodology: RFM Segmentation, IQR Anomaly Detection, Geographic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2026-06-06T18:59:57.945Z</dcterms:created>
  <dcterms:modified xsi:type="dcterms:W3CDTF">2026-06-06T18:59:57.947Z</dcterms:modified>
</cp:coreProperties>
</file>

<file path=docProps/custom.xml><?xml version="1.0" encoding="utf-8"?>
<Properties xmlns="http://schemas.openxmlformats.org/officeDocument/2006/custom-properties" xmlns:vt="http://schemas.openxmlformats.org/officeDocument/2006/docPropsVTypes"/>
</file>