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5CBF" w14:textId="77777777" w:rsidR="009C1119" w:rsidRDefault="00000000">
      <w:pPr>
        <w:spacing w:before="1200"/>
        <w:jc w:val="center"/>
      </w:pPr>
      <w:proofErr w:type="spellStart"/>
      <w:r>
        <w:rPr>
          <w:b/>
          <w:bCs/>
          <w:color w:val="0A1929"/>
          <w:sz w:val="64"/>
          <w:szCs w:val="64"/>
        </w:rPr>
        <w:t>StartupIQ</w:t>
      </w:r>
      <w:proofErr w:type="spellEnd"/>
    </w:p>
    <w:p w14:paraId="67AB0511" w14:textId="77777777" w:rsidR="009C1119" w:rsidRDefault="00000000">
      <w:pPr>
        <w:spacing w:before="200" w:after="100"/>
        <w:jc w:val="center"/>
      </w:pPr>
      <w:r>
        <w:rPr>
          <w:b/>
          <w:bCs/>
          <w:color w:val="00B4D8"/>
          <w:sz w:val="32"/>
          <w:szCs w:val="32"/>
        </w:rPr>
        <w:t>Indian Startup Funding Intelligence Report</w:t>
      </w:r>
    </w:p>
    <w:p w14:paraId="26EE5CC8" w14:textId="77777777" w:rsidR="009C1119" w:rsidRDefault="00000000">
      <w:pPr>
        <w:spacing w:after="800"/>
        <w:jc w:val="center"/>
      </w:pPr>
      <w:r>
        <w:rPr>
          <w:i/>
          <w:iCs/>
          <w:color w:val="595959"/>
          <w:sz w:val="24"/>
          <w:szCs w:val="24"/>
        </w:rPr>
        <w:t>An Analysis of 3,043 Funding Deals (2015–2020)</w:t>
      </w:r>
    </w:p>
    <w:p w14:paraId="216A24F2" w14:textId="77777777" w:rsidR="009C1119" w:rsidRDefault="00000000">
      <w:pPr>
        <w:spacing w:before="2000"/>
        <w:jc w:val="center"/>
      </w:pPr>
      <w:r>
        <w:t>Prepared by Sri Sai Samarth Sistla</w:t>
      </w:r>
    </w:p>
    <w:p w14:paraId="00182BEA" w14:textId="3AB5D70E" w:rsidR="009C1119" w:rsidRDefault="009C1119">
      <w:pPr>
        <w:spacing w:after="200"/>
        <w:jc w:val="center"/>
      </w:pPr>
    </w:p>
    <w:p w14:paraId="3A5954E0" w14:textId="77777777" w:rsidR="009C1119" w:rsidRDefault="00000000">
      <w:pPr>
        <w:jc w:val="center"/>
      </w:pPr>
      <w:r>
        <w:rPr>
          <w:color w:val="595959"/>
          <w:sz w:val="20"/>
          <w:szCs w:val="20"/>
        </w:rPr>
        <w:t>Tools: Excel · SQL (MySQL) · Power BI</w:t>
      </w:r>
    </w:p>
    <w:p w14:paraId="1019D6F1" w14:textId="77777777" w:rsidR="009C1119" w:rsidRDefault="00000000">
      <w:r>
        <w:br w:type="page"/>
      </w:r>
    </w:p>
    <w:p w14:paraId="4A579A31" w14:textId="77777777" w:rsidR="009C1119" w:rsidRDefault="00000000">
      <w:pPr>
        <w:pStyle w:val="Heading1"/>
      </w:pPr>
      <w:r>
        <w:lastRenderedPageBreak/>
        <w:t>Executive Summary</w:t>
      </w:r>
    </w:p>
    <w:p w14:paraId="1DC31DF3" w14:textId="77777777" w:rsidR="009C1119" w:rsidRDefault="00000000">
      <w:pPr>
        <w:spacing w:after="200" w:line="300" w:lineRule="auto"/>
      </w:pPr>
      <w:r>
        <w:t xml:space="preserve">This report </w:t>
      </w:r>
      <w:proofErr w:type="spellStart"/>
      <w:r>
        <w:t>analyzes</w:t>
      </w:r>
      <w:proofErr w:type="spellEnd"/>
      <w:r>
        <w:t xml:space="preserve"> 3,043 startup funding deals in India recorded between 2015 and 2020, sourced from a public Kaggle dataset. The objective was to identify capital allocation patterns, sector and geographic concentration, and data quality issues relevant to investors, policymakers, and ecosystem stakeholders. The analysis was conducted using Excel for exploratory analysis and pivot-based visualization, SQL for advanced aggregation and window functions, and Power BI for an interactive three-page executive dashboard.</w:t>
      </w:r>
    </w:p>
    <w:p w14:paraId="6160A614" w14:textId="77777777" w:rsidR="009C1119" w:rsidRDefault="00000000">
      <w:pPr>
        <w:spacing w:after="200" w:line="300" w:lineRule="auto"/>
      </w:pPr>
      <w:r>
        <w:t xml:space="preserve">Five core findings emerged. Capital is heavily concentrated in late-stage Private Equity rounds despite Seed deals being far more numerous. Deal volume has declined year over year while funding amounts remain volatile. Geographic activity is concentrated in five cities. Inconsistent sector </w:t>
      </w:r>
      <w:proofErr w:type="spellStart"/>
      <w:r>
        <w:t>labeling</w:t>
      </w:r>
      <w:proofErr w:type="spellEnd"/>
      <w:r>
        <w:t xml:space="preserve"> in the raw data initially obscured the true scale of the E-Commerce sector. Finally, investor-level data contains significant gaps and structural issues that required custom SQL logic to resolve.</w:t>
      </w:r>
    </w:p>
    <w:p w14:paraId="53D02CF3" w14:textId="77777777" w:rsidR="009C1119" w:rsidRDefault="00000000">
      <w:pPr>
        <w:pStyle w:val="Heading1"/>
      </w:pPr>
      <w:r>
        <w:t>Key Findings</w:t>
      </w:r>
    </w:p>
    <w:p w14:paraId="74593E64" w14:textId="77777777" w:rsidR="009C1119" w:rsidRDefault="00000000">
      <w:pPr>
        <w:pStyle w:val="Heading2"/>
      </w:pPr>
      <w:r>
        <w:t>1. Capital Follows a Power-Law Distribution</w:t>
      </w:r>
    </w:p>
    <w:p w14:paraId="1EBB738C" w14:textId="77777777" w:rsidR="009C1119" w:rsidRDefault="00000000">
      <w:pPr>
        <w:spacing w:after="200" w:line="300" w:lineRule="auto"/>
      </w:pPr>
      <w:r>
        <w:t xml:space="preserve">Private Equity-stage deals account for only 35% of total deals by count, yet they capture approximately 78% of total funding (₹24.68B of ₹31.6B </w:t>
      </w:r>
      <w:proofErr w:type="spellStart"/>
      <w:r>
        <w:t>analyzed</w:t>
      </w:r>
      <w:proofErr w:type="spellEnd"/>
      <w:r>
        <w:t>). The average Private Equity ticket size (₹23.0M) is roughly 19 times larger than the average Seed-stage ticket size (₹1.2M). Series D deals average ₹123.5M per round, more than 100 times the average Seed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900"/>
        <w:gridCol w:w="1900"/>
        <w:gridCol w:w="1360"/>
      </w:tblGrid>
      <w:tr w:rsidR="009C1119" w14:paraId="57096B8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0A1929"/>
            <w:tcMar>
              <w:top w:w="100" w:type="dxa"/>
              <w:left w:w="120" w:type="dxa"/>
              <w:bottom w:w="100" w:type="dxa"/>
              <w:right w:w="120" w:type="dxa"/>
            </w:tcMar>
            <w:vAlign w:val="center"/>
          </w:tcPr>
          <w:p w14:paraId="184C8705" w14:textId="77777777" w:rsidR="009C1119" w:rsidRDefault="00000000">
            <w:r>
              <w:rPr>
                <w:b/>
                <w:bCs/>
                <w:color w:val="FFFFFF"/>
                <w:sz w:val="20"/>
                <w:szCs w:val="20"/>
              </w:rPr>
              <w:t>Funding Stage</w:t>
            </w:r>
          </w:p>
        </w:tc>
        <w:tc>
          <w:tcPr>
            <w:tcW w:w="1600" w:type="dxa"/>
            <w:tcBorders>
              <w:top w:val="single" w:sz="4" w:space="0" w:color="CCCCCC"/>
              <w:left w:val="single" w:sz="4" w:space="0" w:color="CCCCCC"/>
              <w:bottom w:val="single" w:sz="4" w:space="0" w:color="CCCCCC"/>
              <w:right w:val="single" w:sz="4" w:space="0" w:color="CCCCCC"/>
            </w:tcBorders>
            <w:shd w:val="clear" w:color="auto" w:fill="0A1929"/>
            <w:tcMar>
              <w:top w:w="100" w:type="dxa"/>
              <w:left w:w="120" w:type="dxa"/>
              <w:bottom w:w="100" w:type="dxa"/>
              <w:right w:w="120" w:type="dxa"/>
            </w:tcMar>
            <w:vAlign w:val="center"/>
          </w:tcPr>
          <w:p w14:paraId="4AE49765" w14:textId="77777777" w:rsidR="009C1119" w:rsidRDefault="00000000">
            <w:r>
              <w:rPr>
                <w:b/>
                <w:bCs/>
                <w:color w:val="FFFFFF"/>
                <w:sz w:val="20"/>
                <w:szCs w:val="20"/>
              </w:rPr>
              <w:t>Deal Count</w:t>
            </w:r>
          </w:p>
        </w:tc>
        <w:tc>
          <w:tcPr>
            <w:tcW w:w="1900" w:type="dxa"/>
            <w:tcBorders>
              <w:top w:val="single" w:sz="4" w:space="0" w:color="CCCCCC"/>
              <w:left w:val="single" w:sz="4" w:space="0" w:color="CCCCCC"/>
              <w:bottom w:val="single" w:sz="4" w:space="0" w:color="CCCCCC"/>
              <w:right w:val="single" w:sz="4" w:space="0" w:color="CCCCCC"/>
            </w:tcBorders>
            <w:shd w:val="clear" w:color="auto" w:fill="0A1929"/>
            <w:tcMar>
              <w:top w:w="100" w:type="dxa"/>
              <w:left w:w="120" w:type="dxa"/>
              <w:bottom w:w="100" w:type="dxa"/>
              <w:right w:w="120" w:type="dxa"/>
            </w:tcMar>
            <w:vAlign w:val="center"/>
          </w:tcPr>
          <w:p w14:paraId="3E90C998" w14:textId="77777777" w:rsidR="009C1119" w:rsidRDefault="00000000">
            <w:r>
              <w:rPr>
                <w:b/>
                <w:bCs/>
                <w:color w:val="FFFFFF"/>
                <w:sz w:val="20"/>
                <w:szCs w:val="20"/>
              </w:rPr>
              <w:t>Total Funding</w:t>
            </w:r>
          </w:p>
        </w:tc>
        <w:tc>
          <w:tcPr>
            <w:tcW w:w="1900" w:type="dxa"/>
            <w:tcBorders>
              <w:top w:val="single" w:sz="4" w:space="0" w:color="CCCCCC"/>
              <w:left w:val="single" w:sz="4" w:space="0" w:color="CCCCCC"/>
              <w:bottom w:val="single" w:sz="4" w:space="0" w:color="CCCCCC"/>
              <w:right w:val="single" w:sz="4" w:space="0" w:color="CCCCCC"/>
            </w:tcBorders>
            <w:shd w:val="clear" w:color="auto" w:fill="0A1929"/>
            <w:tcMar>
              <w:top w:w="100" w:type="dxa"/>
              <w:left w:w="120" w:type="dxa"/>
              <w:bottom w:w="100" w:type="dxa"/>
              <w:right w:w="120" w:type="dxa"/>
            </w:tcMar>
            <w:vAlign w:val="center"/>
          </w:tcPr>
          <w:p w14:paraId="5392A622" w14:textId="77777777" w:rsidR="009C1119" w:rsidRDefault="00000000">
            <w:proofErr w:type="spellStart"/>
            <w:r>
              <w:rPr>
                <w:b/>
                <w:bCs/>
                <w:color w:val="FFFFFF"/>
                <w:sz w:val="20"/>
                <w:szCs w:val="20"/>
              </w:rPr>
              <w:t>Avg</w:t>
            </w:r>
            <w:proofErr w:type="spellEnd"/>
            <w:r>
              <w:rPr>
                <w:b/>
                <w:bCs/>
                <w:color w:val="FFFFFF"/>
                <w:sz w:val="20"/>
                <w:szCs w:val="20"/>
              </w:rPr>
              <w:t xml:space="preserve"> Ticket Size</w:t>
            </w:r>
          </w:p>
        </w:tc>
        <w:tc>
          <w:tcPr>
            <w:tcW w:w="1360" w:type="dxa"/>
            <w:tcBorders>
              <w:top w:val="single" w:sz="4" w:space="0" w:color="CCCCCC"/>
              <w:left w:val="single" w:sz="4" w:space="0" w:color="CCCCCC"/>
              <w:bottom w:val="single" w:sz="4" w:space="0" w:color="CCCCCC"/>
              <w:right w:val="single" w:sz="4" w:space="0" w:color="CCCCCC"/>
            </w:tcBorders>
            <w:shd w:val="clear" w:color="auto" w:fill="0A1929"/>
            <w:tcMar>
              <w:top w:w="100" w:type="dxa"/>
              <w:left w:w="120" w:type="dxa"/>
              <w:bottom w:w="100" w:type="dxa"/>
              <w:right w:w="120" w:type="dxa"/>
            </w:tcMar>
            <w:vAlign w:val="center"/>
          </w:tcPr>
          <w:p w14:paraId="3BFC3EFE" w14:textId="77777777" w:rsidR="009C1119" w:rsidRDefault="00000000">
            <w:r>
              <w:rPr>
                <w:b/>
                <w:bCs/>
                <w:color w:val="FFFFFF"/>
                <w:sz w:val="20"/>
                <w:szCs w:val="20"/>
              </w:rPr>
              <w:t>% of Total Funding</w:t>
            </w:r>
          </w:p>
        </w:tc>
      </w:tr>
      <w:tr w:rsidR="009C1119" w14:paraId="5DF5C1A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6F8219" w14:textId="77777777" w:rsidR="009C1119" w:rsidRDefault="00000000">
            <w:r>
              <w:rPr>
                <w:sz w:val="20"/>
                <w:szCs w:val="20"/>
              </w:rPr>
              <w:t>Private Equity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DEC151" w14:textId="77777777" w:rsidR="009C1119" w:rsidRDefault="00000000">
            <w:pPr>
              <w:jc w:val="right"/>
            </w:pPr>
            <w:r>
              <w:rPr>
                <w:sz w:val="20"/>
                <w:szCs w:val="20"/>
              </w:rPr>
              <w:t>1,072</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AF7CC" w14:textId="77777777" w:rsidR="009C1119" w:rsidRDefault="00000000">
            <w:pPr>
              <w:jc w:val="right"/>
            </w:pPr>
            <w:r>
              <w:rPr>
                <w:sz w:val="20"/>
                <w:szCs w:val="20"/>
              </w:rPr>
              <w:t>₹24.68B</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F12FDE" w14:textId="77777777" w:rsidR="009C1119" w:rsidRDefault="00000000">
            <w:pPr>
              <w:jc w:val="right"/>
            </w:pPr>
            <w:r>
              <w:rPr>
                <w:sz w:val="20"/>
                <w:szCs w:val="20"/>
              </w:rPr>
              <w:t>₹23.0M</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C61A90" w14:textId="77777777" w:rsidR="009C1119" w:rsidRDefault="00000000">
            <w:pPr>
              <w:jc w:val="right"/>
            </w:pPr>
            <w:r>
              <w:rPr>
                <w:sz w:val="20"/>
                <w:szCs w:val="20"/>
              </w:rPr>
              <w:t>78.0%</w:t>
            </w:r>
          </w:p>
        </w:tc>
      </w:tr>
      <w:tr w:rsidR="009C1119" w14:paraId="793B1D4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38131E7A" w14:textId="77777777" w:rsidR="009C1119" w:rsidRDefault="00000000">
            <w:r>
              <w:rPr>
                <w:sz w:val="20"/>
                <w:szCs w:val="20"/>
              </w:rPr>
              <w:t>Series D</w:t>
            </w:r>
          </w:p>
        </w:tc>
        <w:tc>
          <w:tcPr>
            <w:tcW w:w="16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5084FCFF" w14:textId="77777777" w:rsidR="009C1119" w:rsidRDefault="00000000">
            <w:pPr>
              <w:jc w:val="right"/>
            </w:pPr>
            <w:r>
              <w:rPr>
                <w:sz w:val="20"/>
                <w:szCs w:val="20"/>
              </w:rPr>
              <w:t>12</w:t>
            </w:r>
          </w:p>
        </w:tc>
        <w:tc>
          <w:tcPr>
            <w:tcW w:w="19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18EA91D7" w14:textId="77777777" w:rsidR="009C1119" w:rsidRDefault="00000000">
            <w:pPr>
              <w:jc w:val="right"/>
            </w:pPr>
            <w:r>
              <w:rPr>
                <w:sz w:val="20"/>
                <w:szCs w:val="20"/>
              </w:rPr>
              <w:t>₹1.48B</w:t>
            </w:r>
          </w:p>
        </w:tc>
        <w:tc>
          <w:tcPr>
            <w:tcW w:w="19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79E9985A" w14:textId="77777777" w:rsidR="009C1119" w:rsidRDefault="00000000">
            <w:pPr>
              <w:jc w:val="right"/>
            </w:pPr>
            <w:r>
              <w:rPr>
                <w:sz w:val="20"/>
                <w:szCs w:val="20"/>
              </w:rPr>
              <w:t>₹123.5M</w:t>
            </w:r>
          </w:p>
        </w:tc>
        <w:tc>
          <w:tcPr>
            <w:tcW w:w="136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1186BE31" w14:textId="77777777" w:rsidR="009C1119" w:rsidRDefault="00000000">
            <w:pPr>
              <w:jc w:val="right"/>
            </w:pPr>
            <w:r>
              <w:rPr>
                <w:sz w:val="20"/>
                <w:szCs w:val="20"/>
              </w:rPr>
              <w:t>4.7%</w:t>
            </w:r>
          </w:p>
        </w:tc>
      </w:tr>
      <w:tr w:rsidR="009C1119" w14:paraId="0C103F9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DE8DC5" w14:textId="77777777" w:rsidR="009C1119" w:rsidRDefault="00000000">
            <w:r>
              <w:rPr>
                <w:sz w:val="20"/>
                <w:szCs w:val="20"/>
              </w:rPr>
              <w:t>Seed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F1B746" w14:textId="77777777" w:rsidR="009C1119" w:rsidRDefault="00000000">
            <w:pPr>
              <w:jc w:val="right"/>
            </w:pPr>
            <w:r>
              <w:rPr>
                <w:sz w:val="20"/>
                <w:szCs w:val="20"/>
              </w:rPr>
              <w:t>860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10EA3E" w14:textId="77777777" w:rsidR="009C1119" w:rsidRDefault="00000000">
            <w:pPr>
              <w:jc w:val="right"/>
            </w:pPr>
            <w:r>
              <w:rPr>
                <w:sz w:val="20"/>
                <w:szCs w:val="20"/>
              </w:rPr>
              <w:t>₹1.05B</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F7495A" w14:textId="77777777" w:rsidR="009C1119" w:rsidRDefault="00000000">
            <w:pPr>
              <w:jc w:val="right"/>
            </w:pPr>
            <w:r>
              <w:rPr>
                <w:sz w:val="20"/>
                <w:szCs w:val="20"/>
              </w:rPr>
              <w:t>₹1.2M</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C5F335" w14:textId="77777777" w:rsidR="009C1119" w:rsidRDefault="00000000">
            <w:pPr>
              <w:jc w:val="right"/>
            </w:pPr>
            <w:r>
              <w:rPr>
                <w:sz w:val="20"/>
                <w:szCs w:val="20"/>
              </w:rPr>
              <w:t>3.3%</w:t>
            </w:r>
          </w:p>
        </w:tc>
      </w:tr>
      <w:tr w:rsidR="009C1119" w14:paraId="5590702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6663C60A" w14:textId="77777777" w:rsidR="009C1119" w:rsidRDefault="00000000">
            <w:r>
              <w:rPr>
                <w:sz w:val="20"/>
                <w:szCs w:val="20"/>
              </w:rPr>
              <w:t>Series C</w:t>
            </w:r>
          </w:p>
        </w:tc>
        <w:tc>
          <w:tcPr>
            <w:tcW w:w="16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1CB14D18" w14:textId="77777777" w:rsidR="009C1119" w:rsidRDefault="00000000">
            <w:pPr>
              <w:jc w:val="right"/>
            </w:pPr>
            <w:r>
              <w:rPr>
                <w:sz w:val="20"/>
                <w:szCs w:val="20"/>
              </w:rPr>
              <w:t>14</w:t>
            </w:r>
          </w:p>
        </w:tc>
        <w:tc>
          <w:tcPr>
            <w:tcW w:w="19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58E754EE" w14:textId="77777777" w:rsidR="009C1119" w:rsidRDefault="00000000">
            <w:pPr>
              <w:jc w:val="right"/>
            </w:pPr>
            <w:r>
              <w:rPr>
                <w:sz w:val="20"/>
                <w:szCs w:val="20"/>
              </w:rPr>
              <w:t>₹1.04B</w:t>
            </w:r>
          </w:p>
        </w:tc>
        <w:tc>
          <w:tcPr>
            <w:tcW w:w="19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3DB205AE" w14:textId="77777777" w:rsidR="009C1119" w:rsidRDefault="00000000">
            <w:pPr>
              <w:jc w:val="right"/>
            </w:pPr>
            <w:r>
              <w:rPr>
                <w:sz w:val="20"/>
                <w:szCs w:val="20"/>
              </w:rPr>
              <w:t>₹74.6M</w:t>
            </w:r>
          </w:p>
        </w:tc>
        <w:tc>
          <w:tcPr>
            <w:tcW w:w="136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7190A82B" w14:textId="77777777" w:rsidR="009C1119" w:rsidRDefault="00000000">
            <w:pPr>
              <w:jc w:val="right"/>
            </w:pPr>
            <w:r>
              <w:rPr>
                <w:sz w:val="20"/>
                <w:szCs w:val="20"/>
              </w:rPr>
              <w:t>3.3%</w:t>
            </w:r>
          </w:p>
        </w:tc>
      </w:tr>
      <w:tr w:rsidR="009C1119" w14:paraId="63E10FB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2B9629" w14:textId="77777777" w:rsidR="009C1119" w:rsidRDefault="00000000">
            <w:r>
              <w:rPr>
                <w:sz w:val="20"/>
                <w:szCs w:val="20"/>
              </w:rPr>
              <w:t>Series 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2C5E64" w14:textId="77777777" w:rsidR="009C1119" w:rsidRDefault="00000000">
            <w:pPr>
              <w:jc w:val="right"/>
            </w:pPr>
            <w:r>
              <w:rPr>
                <w:sz w:val="20"/>
                <w:szCs w:val="20"/>
              </w:rPr>
              <w:t>20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2DDE58" w14:textId="77777777" w:rsidR="009C1119" w:rsidRDefault="00000000">
            <w:pPr>
              <w:jc w:val="right"/>
            </w:pPr>
            <w:r>
              <w:rPr>
                <w:sz w:val="20"/>
                <w:szCs w:val="20"/>
              </w:rPr>
              <w:t>₹0.91B</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B7C2C4" w14:textId="77777777" w:rsidR="009C1119" w:rsidRDefault="00000000">
            <w:pPr>
              <w:jc w:val="right"/>
            </w:pPr>
            <w:r>
              <w:rPr>
                <w:sz w:val="20"/>
                <w:szCs w:val="20"/>
              </w:rPr>
              <w:t>₹45.3M</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B7A927" w14:textId="77777777" w:rsidR="009C1119" w:rsidRDefault="00000000">
            <w:pPr>
              <w:jc w:val="right"/>
            </w:pPr>
            <w:r>
              <w:rPr>
                <w:sz w:val="20"/>
                <w:szCs w:val="20"/>
              </w:rPr>
              <w:t>2.9%</w:t>
            </w:r>
          </w:p>
        </w:tc>
      </w:tr>
    </w:tbl>
    <w:p w14:paraId="4C25A5F1" w14:textId="77777777" w:rsidR="009C1119" w:rsidRDefault="00000000">
      <w:pPr>
        <w:pStyle w:val="Heading2"/>
      </w:pPr>
      <w:r>
        <w:t>2. Deal Volume Is Declining; Funding Amount Remains Volatile</w:t>
      </w:r>
    </w:p>
    <w:p w14:paraId="5B5BF80C" w14:textId="77777777" w:rsidR="009C1119" w:rsidRDefault="00000000">
      <w:pPr>
        <w:spacing w:after="200" w:line="300" w:lineRule="auto"/>
      </w:pPr>
      <w:r>
        <w:t>Deal count fell consistently from 647 in 2015 to 103 in 2019 (2020 data is partial, covering only January). However, total funding did not follow the same downward trend: 2017 recorded the highest funding of the period (₹7.91B, +106.6% year-over-year) despite having fewer deals than both 2015 and 2016. This indicates a shift toward fewer, larger transactions rather than a simple market contraction.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400"/>
        <w:gridCol w:w="2460"/>
      </w:tblGrid>
      <w:tr w:rsidR="009C1119" w14:paraId="401CFC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A1929"/>
            <w:tcMar>
              <w:top w:w="100" w:type="dxa"/>
              <w:left w:w="120" w:type="dxa"/>
              <w:bottom w:w="100" w:type="dxa"/>
              <w:right w:w="120" w:type="dxa"/>
            </w:tcMar>
            <w:vAlign w:val="center"/>
          </w:tcPr>
          <w:p w14:paraId="7247DAF8" w14:textId="77777777" w:rsidR="009C1119" w:rsidRDefault="00000000">
            <w:r>
              <w:rPr>
                <w:b/>
                <w:bCs/>
                <w:color w:val="FFFFFF"/>
                <w:sz w:val="20"/>
                <w:szCs w:val="20"/>
              </w:rPr>
              <w:t>Year</w:t>
            </w:r>
          </w:p>
        </w:tc>
        <w:tc>
          <w:tcPr>
            <w:tcW w:w="2300" w:type="dxa"/>
            <w:tcBorders>
              <w:top w:val="single" w:sz="4" w:space="0" w:color="CCCCCC"/>
              <w:left w:val="single" w:sz="4" w:space="0" w:color="CCCCCC"/>
              <w:bottom w:val="single" w:sz="4" w:space="0" w:color="CCCCCC"/>
              <w:right w:val="single" w:sz="4" w:space="0" w:color="CCCCCC"/>
            </w:tcBorders>
            <w:shd w:val="clear" w:color="auto" w:fill="0A1929"/>
            <w:tcMar>
              <w:top w:w="100" w:type="dxa"/>
              <w:left w:w="120" w:type="dxa"/>
              <w:bottom w:w="100" w:type="dxa"/>
              <w:right w:w="120" w:type="dxa"/>
            </w:tcMar>
            <w:vAlign w:val="center"/>
          </w:tcPr>
          <w:p w14:paraId="49A84A8A" w14:textId="77777777" w:rsidR="009C1119" w:rsidRDefault="00000000">
            <w:r>
              <w:rPr>
                <w:b/>
                <w:bCs/>
                <w:color w:val="FFFFFF"/>
                <w:sz w:val="20"/>
                <w:szCs w:val="20"/>
              </w:rPr>
              <w:t>Deal Count</w:t>
            </w:r>
          </w:p>
        </w:tc>
        <w:tc>
          <w:tcPr>
            <w:tcW w:w="2400" w:type="dxa"/>
            <w:tcBorders>
              <w:top w:val="single" w:sz="4" w:space="0" w:color="CCCCCC"/>
              <w:left w:val="single" w:sz="4" w:space="0" w:color="CCCCCC"/>
              <w:bottom w:val="single" w:sz="4" w:space="0" w:color="CCCCCC"/>
              <w:right w:val="single" w:sz="4" w:space="0" w:color="CCCCCC"/>
            </w:tcBorders>
            <w:shd w:val="clear" w:color="auto" w:fill="0A1929"/>
            <w:tcMar>
              <w:top w:w="100" w:type="dxa"/>
              <w:left w:w="120" w:type="dxa"/>
              <w:bottom w:w="100" w:type="dxa"/>
              <w:right w:w="120" w:type="dxa"/>
            </w:tcMar>
            <w:vAlign w:val="center"/>
          </w:tcPr>
          <w:p w14:paraId="58406015" w14:textId="77777777" w:rsidR="009C1119" w:rsidRDefault="00000000">
            <w:r>
              <w:rPr>
                <w:b/>
                <w:bCs/>
                <w:color w:val="FFFFFF"/>
                <w:sz w:val="20"/>
                <w:szCs w:val="20"/>
              </w:rPr>
              <w:t>Total Funding</w:t>
            </w:r>
          </w:p>
        </w:tc>
        <w:tc>
          <w:tcPr>
            <w:tcW w:w="2460" w:type="dxa"/>
            <w:tcBorders>
              <w:top w:val="single" w:sz="4" w:space="0" w:color="CCCCCC"/>
              <w:left w:val="single" w:sz="4" w:space="0" w:color="CCCCCC"/>
              <w:bottom w:val="single" w:sz="4" w:space="0" w:color="CCCCCC"/>
              <w:right w:val="single" w:sz="4" w:space="0" w:color="CCCCCC"/>
            </w:tcBorders>
            <w:shd w:val="clear" w:color="auto" w:fill="0A1929"/>
            <w:tcMar>
              <w:top w:w="100" w:type="dxa"/>
              <w:left w:w="120" w:type="dxa"/>
              <w:bottom w:w="100" w:type="dxa"/>
              <w:right w:w="120" w:type="dxa"/>
            </w:tcMar>
            <w:vAlign w:val="center"/>
          </w:tcPr>
          <w:p w14:paraId="38B2D833" w14:textId="77777777" w:rsidR="009C1119" w:rsidRDefault="00000000">
            <w:r>
              <w:rPr>
                <w:b/>
                <w:bCs/>
                <w:color w:val="FFFFFF"/>
                <w:sz w:val="20"/>
                <w:szCs w:val="20"/>
              </w:rPr>
              <w:t>YoY Growth</w:t>
            </w:r>
          </w:p>
        </w:tc>
      </w:tr>
      <w:tr w:rsidR="009C1119" w14:paraId="21578B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1B7AB3" w14:textId="77777777" w:rsidR="009C1119" w:rsidRDefault="00000000">
            <w:r>
              <w:rPr>
                <w:sz w:val="20"/>
                <w:szCs w:val="20"/>
              </w:rPr>
              <w:t>2015</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3EF547" w14:textId="77777777" w:rsidR="009C1119" w:rsidRDefault="00000000">
            <w:pPr>
              <w:jc w:val="right"/>
            </w:pPr>
            <w:r>
              <w:rPr>
                <w:sz w:val="20"/>
                <w:szCs w:val="20"/>
              </w:rPr>
              <w:t>647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546CE0" w14:textId="77777777" w:rsidR="009C1119" w:rsidRDefault="00000000">
            <w:pPr>
              <w:jc w:val="right"/>
            </w:pPr>
            <w:r>
              <w:rPr>
                <w:sz w:val="20"/>
                <w:szCs w:val="20"/>
              </w:rPr>
              <w:t>₹8.60B</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E19D2D" w14:textId="77777777" w:rsidR="009C1119" w:rsidRDefault="00000000">
            <w:pPr>
              <w:jc w:val="right"/>
            </w:pPr>
            <w:r>
              <w:rPr>
                <w:sz w:val="20"/>
                <w:szCs w:val="20"/>
              </w:rPr>
              <w:t>—</w:t>
            </w:r>
          </w:p>
        </w:tc>
      </w:tr>
      <w:tr w:rsidR="009C1119" w14:paraId="4B6F83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36A204B6" w14:textId="77777777" w:rsidR="009C1119" w:rsidRDefault="00000000">
            <w:r>
              <w:rPr>
                <w:sz w:val="20"/>
                <w:szCs w:val="20"/>
              </w:rPr>
              <w:t>2016</w:t>
            </w:r>
          </w:p>
        </w:tc>
        <w:tc>
          <w:tcPr>
            <w:tcW w:w="23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009B7C82" w14:textId="77777777" w:rsidR="009C1119" w:rsidRDefault="00000000">
            <w:pPr>
              <w:jc w:val="right"/>
            </w:pPr>
            <w:r>
              <w:rPr>
                <w:sz w:val="20"/>
                <w:szCs w:val="20"/>
              </w:rPr>
              <w:t>586</w:t>
            </w:r>
          </w:p>
        </w:tc>
        <w:tc>
          <w:tcPr>
            <w:tcW w:w="24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68043827" w14:textId="77777777" w:rsidR="009C1119" w:rsidRDefault="00000000">
            <w:pPr>
              <w:jc w:val="right"/>
            </w:pPr>
            <w:r>
              <w:rPr>
                <w:sz w:val="20"/>
                <w:szCs w:val="20"/>
              </w:rPr>
              <w:t>₹3.83B</w:t>
            </w:r>
          </w:p>
        </w:tc>
        <w:tc>
          <w:tcPr>
            <w:tcW w:w="246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04EB2177" w14:textId="77777777" w:rsidR="009C1119" w:rsidRDefault="00000000">
            <w:pPr>
              <w:jc w:val="right"/>
            </w:pPr>
            <w:r>
              <w:rPr>
                <w:sz w:val="20"/>
                <w:szCs w:val="20"/>
              </w:rPr>
              <w:t>-55.5%</w:t>
            </w:r>
          </w:p>
        </w:tc>
      </w:tr>
      <w:tr w:rsidR="009C1119" w14:paraId="2B6F8F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102670" w14:textId="77777777" w:rsidR="009C1119" w:rsidRDefault="00000000">
            <w:r>
              <w:rPr>
                <w:sz w:val="20"/>
                <w:szCs w:val="20"/>
              </w:rPr>
              <w:t>2017</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F5660" w14:textId="77777777" w:rsidR="009C1119" w:rsidRDefault="00000000">
            <w:pPr>
              <w:jc w:val="right"/>
            </w:pPr>
            <w:r>
              <w:rPr>
                <w:sz w:val="20"/>
                <w:szCs w:val="20"/>
              </w:rPr>
              <w:t>454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C189DA" w14:textId="77777777" w:rsidR="009C1119" w:rsidRDefault="00000000">
            <w:pPr>
              <w:jc w:val="right"/>
            </w:pPr>
            <w:r>
              <w:rPr>
                <w:sz w:val="20"/>
                <w:szCs w:val="20"/>
              </w:rPr>
              <w:t>₹7.91B</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D23607" w14:textId="77777777" w:rsidR="009C1119" w:rsidRDefault="00000000">
            <w:pPr>
              <w:jc w:val="right"/>
            </w:pPr>
            <w:r>
              <w:rPr>
                <w:sz w:val="20"/>
                <w:szCs w:val="20"/>
              </w:rPr>
              <w:t>+106.6%</w:t>
            </w:r>
          </w:p>
        </w:tc>
      </w:tr>
      <w:tr w:rsidR="009C1119" w14:paraId="1ED293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71DFE221" w14:textId="77777777" w:rsidR="009C1119" w:rsidRDefault="00000000">
            <w:r>
              <w:rPr>
                <w:sz w:val="20"/>
                <w:szCs w:val="20"/>
              </w:rPr>
              <w:t>2018</w:t>
            </w:r>
          </w:p>
        </w:tc>
        <w:tc>
          <w:tcPr>
            <w:tcW w:w="23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34F30FA3" w14:textId="77777777" w:rsidR="009C1119" w:rsidRDefault="00000000">
            <w:pPr>
              <w:jc w:val="right"/>
            </w:pPr>
            <w:r>
              <w:rPr>
                <w:sz w:val="20"/>
                <w:szCs w:val="20"/>
              </w:rPr>
              <w:t>265</w:t>
            </w:r>
          </w:p>
        </w:tc>
        <w:tc>
          <w:tcPr>
            <w:tcW w:w="240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6BABBF99" w14:textId="77777777" w:rsidR="009C1119" w:rsidRDefault="00000000">
            <w:pPr>
              <w:jc w:val="right"/>
            </w:pPr>
            <w:r>
              <w:rPr>
                <w:sz w:val="20"/>
                <w:szCs w:val="20"/>
              </w:rPr>
              <w:t>₹5.12B</w:t>
            </w:r>
          </w:p>
        </w:tc>
        <w:tc>
          <w:tcPr>
            <w:tcW w:w="2460" w:type="dxa"/>
            <w:tcBorders>
              <w:top w:val="single" w:sz="4" w:space="0" w:color="CCCCCC"/>
              <w:left w:val="single" w:sz="4" w:space="0" w:color="CCCCCC"/>
              <w:bottom w:val="single" w:sz="4" w:space="0" w:color="CCCCCC"/>
              <w:right w:val="single" w:sz="4" w:space="0" w:color="CCCCCC"/>
            </w:tcBorders>
            <w:shd w:val="clear" w:color="auto" w:fill="EAF6FA"/>
            <w:tcMar>
              <w:top w:w="80" w:type="dxa"/>
              <w:left w:w="120" w:type="dxa"/>
              <w:bottom w:w="80" w:type="dxa"/>
              <w:right w:w="120" w:type="dxa"/>
            </w:tcMar>
            <w:vAlign w:val="center"/>
          </w:tcPr>
          <w:p w14:paraId="36E23330" w14:textId="77777777" w:rsidR="009C1119" w:rsidRDefault="00000000">
            <w:pPr>
              <w:jc w:val="right"/>
            </w:pPr>
            <w:r>
              <w:rPr>
                <w:sz w:val="20"/>
                <w:szCs w:val="20"/>
              </w:rPr>
              <w:t>-35.2%</w:t>
            </w:r>
          </w:p>
        </w:tc>
      </w:tr>
      <w:tr w:rsidR="009C1119" w14:paraId="24F8BE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7BFCE2" w14:textId="77777777" w:rsidR="009C1119" w:rsidRDefault="00000000">
            <w:r>
              <w:rPr>
                <w:sz w:val="20"/>
                <w:szCs w:val="20"/>
              </w:rPr>
              <w:t>2019</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1176F" w14:textId="77777777" w:rsidR="009C1119" w:rsidRDefault="00000000">
            <w:pPr>
              <w:jc w:val="right"/>
            </w:pPr>
            <w:r>
              <w:rPr>
                <w:sz w:val="20"/>
                <w:szCs w:val="20"/>
              </w:rPr>
              <w:t>103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CD30B" w14:textId="77777777" w:rsidR="009C1119" w:rsidRDefault="00000000">
            <w:pPr>
              <w:jc w:val="right"/>
            </w:pPr>
            <w:r>
              <w:rPr>
                <w:sz w:val="20"/>
                <w:szCs w:val="20"/>
              </w:rPr>
              <w:t>₹5.79B</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091F0C" w14:textId="77777777" w:rsidR="009C1119" w:rsidRDefault="00000000">
            <w:pPr>
              <w:jc w:val="right"/>
            </w:pPr>
            <w:r>
              <w:rPr>
                <w:sz w:val="20"/>
                <w:szCs w:val="20"/>
              </w:rPr>
              <w:t>+13.0%</w:t>
            </w:r>
          </w:p>
        </w:tc>
      </w:tr>
    </w:tbl>
    <w:p w14:paraId="75BF0444" w14:textId="77777777" w:rsidR="009C1119" w:rsidRDefault="00000000">
      <w:pPr>
        <w:spacing w:after="200" w:line="300" w:lineRule="auto"/>
      </w:pPr>
      <w:r>
        <w:rPr>
          <w:i/>
          <w:iCs/>
        </w:rPr>
        <w:t>Note: 2020 figures (7 deals, ₹0.39B) reflect only partial-year data and are excluded from year-over-year commentary to avoid misrepresenting a market decline.</w:t>
      </w:r>
    </w:p>
    <w:p w14:paraId="3C1398B1" w14:textId="77777777" w:rsidR="009C1119" w:rsidRDefault="00000000">
      <w:pPr>
        <w:pStyle w:val="Heading2"/>
      </w:pPr>
      <w:r>
        <w:t>3. Geographic Concentration: Five Cities Account for ~76% of Deals</w:t>
      </w:r>
    </w:p>
    <w:p w14:paraId="56D59F08" w14:textId="77777777" w:rsidR="009C1119" w:rsidRDefault="00000000">
      <w:pPr>
        <w:spacing w:after="200" w:line="300" w:lineRule="auto"/>
      </w:pPr>
      <w:r>
        <w:t>Bengaluru, Mumbai, New Delhi, Gurugram, and Noida together represent 2,322 of 3,043 total deals (approximately 76%). Bengaluru alone accounts for roughly 28% of all recorded activity, reinforcing its position as India's primary startup hub. Combining the National Capital Region (New Delhi, Gurugram, and Noida) into a single cluster of 899 deals shows that NCR rivals Bengaluru in overall deal activity.</w:t>
      </w:r>
    </w:p>
    <w:p w14:paraId="5C42E2DA" w14:textId="77777777" w:rsidR="009C1119" w:rsidRDefault="00000000">
      <w:pPr>
        <w:pStyle w:val="Heading2"/>
      </w:pPr>
      <w:r>
        <w:t xml:space="preserve">4. Inconsistent Sector </w:t>
      </w:r>
      <w:proofErr w:type="spellStart"/>
      <w:r>
        <w:t>Labeling</w:t>
      </w:r>
      <w:proofErr w:type="spellEnd"/>
      <w:r>
        <w:t xml:space="preserve"> Masked E-Commerce's True Scale</w:t>
      </w:r>
    </w:p>
    <w:p w14:paraId="0D05A315" w14:textId="77777777" w:rsidR="009C1119" w:rsidRDefault="00000000">
      <w:pPr>
        <w:spacing w:after="200" w:line="300" w:lineRule="auto"/>
      </w:pPr>
      <w:r>
        <w:t xml:space="preserve">The raw dataset recorded e-commerce-related startups under at least seven different labels, including “Ecommerce,” “E-commerce,” “Consumer Internet,” “Online Marketplace,” and “E-Commerce &amp; M-Commerce platform.” </w:t>
      </w:r>
      <w:proofErr w:type="spellStart"/>
      <w:r>
        <w:t>Analyzing</w:t>
      </w:r>
      <w:proofErr w:type="spellEnd"/>
      <w:r>
        <w:t xml:space="preserve"> these as separate categories incorrectly suggested Transportation was the leading sector. After consolidating all variants into a single “E-Commerce / Consumer Internet” category using conditional logic in Power Query and SQL, this group became the clear top sector by total funding, ahead of Transportation and Technology. This finding underscores the importance of category standardization before drawing business conclusions from free-text fields.</w:t>
      </w:r>
    </w:p>
    <w:p w14:paraId="2C4E26F6" w14:textId="77777777" w:rsidR="009C1119" w:rsidRDefault="00000000">
      <w:pPr>
        <w:pStyle w:val="Heading2"/>
      </w:pPr>
      <w:r>
        <w:t>5. Investor Data Contains Structural Gaps Requiring SQL Correction</w:t>
      </w:r>
    </w:p>
    <w:p w14:paraId="4D396609" w14:textId="77777777" w:rsidR="009C1119" w:rsidRDefault="00000000">
      <w:pPr>
        <w:spacing w:after="200" w:line="300" w:lineRule="auto"/>
      </w:pPr>
      <w:r>
        <w:t xml:space="preserve">Approximately 49% of the most frequent entries in the raw </w:t>
      </w:r>
      <w:proofErr w:type="spellStart"/>
      <w:r>
        <w:t>Investors_Name</w:t>
      </w:r>
      <w:proofErr w:type="spellEnd"/>
      <w:r>
        <w:t xml:space="preserve"> field were variants of “undisclosed” (three different spellings), rather than identifiable investors. Additionally, many records list multiple co-investors in a single comma-separated field, which understates true investor activity when counted naively. A recursive SQL Common Table Expression was used to split these multi-investor fields into individual rows, producing a corrected investor ranking. Even after correction, several investor names required manual consolidation (for example, “Tiger Global” and “Tiger Global Management”) due to inconsistent naming in the source data.</w:t>
      </w:r>
    </w:p>
    <w:p w14:paraId="2E0C49BA" w14:textId="77777777" w:rsidR="009C1119" w:rsidRDefault="00000000">
      <w:pPr>
        <w:pStyle w:val="Heading1"/>
      </w:pPr>
      <w:r>
        <w:t>Methodology</w:t>
      </w:r>
    </w:p>
    <w:p w14:paraId="287531F9" w14:textId="77777777" w:rsidR="009C1119" w:rsidRDefault="00000000">
      <w:pPr>
        <w:spacing w:after="200" w:line="300" w:lineRule="auto"/>
      </w:pPr>
      <w:r>
        <w:t>Data Source: “Indian Startup Funding” dataset (Kaggle), covering 3,044 raw records from 2015 to 2020, including startup name, industry vertical, sub-vertical, city, investors, investment type, funding amount, and date.</w:t>
      </w:r>
    </w:p>
    <w:p w14:paraId="330AE949" w14:textId="77777777" w:rsidR="009C1119" w:rsidRDefault="00000000">
      <w:pPr>
        <w:pStyle w:val="ListParagraph"/>
        <w:numPr>
          <w:ilvl w:val="0"/>
          <w:numId w:val="2"/>
        </w:numPr>
        <w:spacing w:after="120" w:line="300" w:lineRule="auto"/>
      </w:pPr>
      <w:r>
        <w:t>Data Cleaning (Excel/Power Query): Standardized date formats, removed currency formatting from funding amounts, consolidated city name variants (e.g., Bangalore → Bengaluru, Gurgaon → Gurugram), corrected encoding artifacts, and merged duplicate funding-stage labels (e.g., “Seed Round,” “Seed Funding” → “Seed”).</w:t>
      </w:r>
    </w:p>
    <w:p w14:paraId="44A46877" w14:textId="77777777" w:rsidR="009C1119" w:rsidRDefault="00000000">
      <w:pPr>
        <w:pStyle w:val="ListParagraph"/>
        <w:numPr>
          <w:ilvl w:val="0"/>
          <w:numId w:val="2"/>
        </w:numPr>
        <w:spacing w:after="120" w:line="300" w:lineRule="auto"/>
      </w:pPr>
      <w:r>
        <w:t>Exploratory Analysis (Excel PivotTables): Built five core analyses covering yearly trends, top sectors, top cities, funding stage distribution, and investor activity.</w:t>
      </w:r>
    </w:p>
    <w:p w14:paraId="724879FD" w14:textId="77777777" w:rsidR="009C1119" w:rsidRDefault="00000000">
      <w:pPr>
        <w:pStyle w:val="ListParagraph"/>
        <w:numPr>
          <w:ilvl w:val="0"/>
          <w:numId w:val="2"/>
        </w:numPr>
        <w:spacing w:after="120" w:line="300" w:lineRule="auto"/>
      </w:pPr>
      <w:r>
        <w:t>Advanced Analysis (SQL/MySQL): Used window functions (LAG) for year-over-year growth calculations, recursive CTEs to parse multi-investor fields, and CASE-based grouping to consolidate fragmented sector labels.</w:t>
      </w:r>
    </w:p>
    <w:p w14:paraId="617CDA2A" w14:textId="77777777" w:rsidR="009C1119" w:rsidRDefault="00000000">
      <w:pPr>
        <w:pStyle w:val="ListParagraph"/>
        <w:numPr>
          <w:ilvl w:val="0"/>
          <w:numId w:val="2"/>
        </w:numPr>
        <w:spacing w:after="120" w:line="300" w:lineRule="auto"/>
      </w:pPr>
      <w:r>
        <w:t>Dashboard (Power BI): Built a three-page interactive dashboard consisting of an Overview page (KPIs and trend analysis), a Sector Deep-Dive page (</w:t>
      </w:r>
      <w:proofErr w:type="spellStart"/>
      <w:r>
        <w:t>treemap</w:t>
      </w:r>
      <w:proofErr w:type="spellEnd"/>
      <w:r>
        <w:t xml:space="preserve"> and drill-down matrix), and an Investor &amp; Geography page (map, corrected investor table, and funding-stage funnel).</w:t>
      </w:r>
    </w:p>
    <w:p w14:paraId="0DCA75D2" w14:textId="77777777" w:rsidR="009C1119" w:rsidRDefault="00000000">
      <w:pPr>
        <w:pStyle w:val="Heading1"/>
      </w:pPr>
      <w:r>
        <w:t>Limitations</w:t>
      </w:r>
    </w:p>
    <w:p w14:paraId="2B16B6BB" w14:textId="77777777" w:rsidR="009C1119" w:rsidRDefault="00000000">
      <w:pPr>
        <w:pStyle w:val="ListParagraph"/>
        <w:numPr>
          <w:ilvl w:val="0"/>
          <w:numId w:val="2"/>
        </w:numPr>
        <w:spacing w:after="120" w:line="300" w:lineRule="auto"/>
      </w:pPr>
      <w:r>
        <w:t>The dataset's 2020 coverage is incomplete (January only), so year-over-year figures for 2020 should not be interpreted as a market decline.</w:t>
      </w:r>
    </w:p>
    <w:p w14:paraId="216CFBAD" w14:textId="77777777" w:rsidR="009C1119" w:rsidRDefault="00000000">
      <w:pPr>
        <w:pStyle w:val="ListParagraph"/>
        <w:numPr>
          <w:ilvl w:val="0"/>
          <w:numId w:val="2"/>
        </w:numPr>
        <w:spacing w:after="120" w:line="300" w:lineRule="auto"/>
      </w:pPr>
      <w:proofErr w:type="spellStart"/>
      <w:r>
        <w:t>Industry_Vertical</w:t>
      </w:r>
      <w:proofErr w:type="spellEnd"/>
      <w:r>
        <w:t xml:space="preserve"> contains 821 unique free-text values; only the largest categories (e.g., E-Commerce) were manually consolidated. Long-tail categories remain as originally </w:t>
      </w:r>
      <w:proofErr w:type="spellStart"/>
      <w:r>
        <w:t>labeled</w:t>
      </w:r>
      <w:proofErr w:type="spellEnd"/>
      <w:r>
        <w:t>.</w:t>
      </w:r>
    </w:p>
    <w:p w14:paraId="6CFFEA38" w14:textId="77777777" w:rsidR="009C1119" w:rsidRDefault="00000000">
      <w:pPr>
        <w:pStyle w:val="ListParagraph"/>
        <w:numPr>
          <w:ilvl w:val="0"/>
          <w:numId w:val="2"/>
        </w:numPr>
        <w:spacing w:after="120" w:line="300" w:lineRule="auto"/>
      </w:pPr>
      <w:r>
        <w:t>Approximately 960 records have no disclosed funding amount and were excluded from amount-based calculations, though retained for deal-count analysis.</w:t>
      </w:r>
    </w:p>
    <w:p w14:paraId="30C96666" w14:textId="77777777" w:rsidR="009C1119" w:rsidRDefault="00000000">
      <w:pPr>
        <w:pStyle w:val="ListParagraph"/>
        <w:numPr>
          <w:ilvl w:val="0"/>
          <w:numId w:val="2"/>
        </w:numPr>
        <w:spacing w:after="120" w:line="300" w:lineRule="auto"/>
      </w:pPr>
      <w:r>
        <w:t>“Unknown” values for Industry and City reflect missing data in the source file (171 and 180 records respectively) and were retained rather than dropped to preserve deal and funding totals.</w:t>
      </w:r>
    </w:p>
    <w:p w14:paraId="396A1ADE" w14:textId="77777777" w:rsidR="009C1119" w:rsidRDefault="00000000">
      <w:pPr>
        <w:pStyle w:val="Heading1"/>
      </w:pPr>
      <w:r>
        <w:t>Recommendations</w:t>
      </w:r>
    </w:p>
    <w:p w14:paraId="369578E3" w14:textId="77777777" w:rsidR="009C1119" w:rsidRDefault="00000000">
      <w:pPr>
        <w:pStyle w:val="Heading2"/>
      </w:pPr>
      <w:r>
        <w:t>For Investors</w:t>
      </w:r>
    </w:p>
    <w:p w14:paraId="1F4B65D2" w14:textId="77777777" w:rsidR="009C1119" w:rsidRDefault="00000000">
      <w:pPr>
        <w:spacing w:after="200" w:line="300" w:lineRule="auto"/>
      </w:pPr>
      <w:r>
        <w:t>Given the concentration of capital in Series C and later rounds, due diligence frameworks and risk models should explicitly differentiate between early-stage (Seed/Series A) and late-stage (Series C+/Private Equity) deals, as ticket sizes, risk profiles, and evaluation criteria differ substantially between these groups.</w:t>
      </w:r>
    </w:p>
    <w:p w14:paraId="2A8DFC76" w14:textId="77777777" w:rsidR="009C1119" w:rsidRDefault="00000000">
      <w:pPr>
        <w:pStyle w:val="Heading2"/>
      </w:pPr>
      <w:r>
        <w:t>For Policymakers</w:t>
      </w:r>
    </w:p>
    <w:p w14:paraId="241B062C" w14:textId="77777777" w:rsidR="009C1119" w:rsidRDefault="00000000">
      <w:pPr>
        <w:spacing w:after="200" w:line="300" w:lineRule="auto"/>
      </w:pPr>
      <w:r>
        <w:t>The concentration of approximately 76% of deal activity in five cities suggests an opportunity for targeted incentive programs aimed at emerging Tier-2 startup hubs such as Pune, Hyderabad, and Chennai, which show meaningful but comparatively smaller activity levels.</w:t>
      </w:r>
    </w:p>
    <w:p w14:paraId="3BC88E84" w14:textId="77777777" w:rsidR="009C1119" w:rsidRDefault="00000000">
      <w:pPr>
        <w:pStyle w:val="Heading2"/>
      </w:pPr>
      <w:r>
        <w:t>For Data and Analytics Teams</w:t>
      </w:r>
    </w:p>
    <w:p w14:paraId="18103134" w14:textId="77777777" w:rsidR="009C1119" w:rsidRDefault="00000000">
      <w:pPr>
        <w:spacing w:after="200" w:line="300" w:lineRule="auto"/>
      </w:pPr>
      <w:r>
        <w:t>Standardizing categorical fields (industry vertical, investor names, city names) at the point of data entry would materially improve downstream analytical accuracy and reduce the manual consolidation effort required, as demonstrated throughout this analysis.</w:t>
      </w:r>
    </w:p>
    <w:p w14:paraId="403C43CD" w14:textId="77777777" w:rsidR="009C1119" w:rsidRDefault="00000000">
      <w:pPr>
        <w:pStyle w:val="Heading1"/>
      </w:pPr>
      <w:r>
        <w:t>Appendix: Dashboard Reference</w:t>
      </w:r>
    </w:p>
    <w:p w14:paraId="6301D3E1" w14:textId="77777777" w:rsidR="009C1119" w:rsidRDefault="00000000">
      <w:pPr>
        <w:spacing w:after="200" w:line="300" w:lineRule="auto"/>
      </w:pPr>
      <w:r>
        <w:t>The accompanying Power BI dashboard (</w:t>
      </w:r>
      <w:proofErr w:type="spellStart"/>
      <w:r>
        <w:t>StartupIQ.pbix</w:t>
      </w:r>
      <w:proofErr w:type="spellEnd"/>
      <w:r>
        <w:t>) contains three pages:</w:t>
      </w:r>
    </w:p>
    <w:p w14:paraId="582A58B8" w14:textId="77777777" w:rsidR="009C1119" w:rsidRDefault="00000000">
      <w:pPr>
        <w:pStyle w:val="ListParagraph"/>
        <w:numPr>
          <w:ilvl w:val="0"/>
          <w:numId w:val="2"/>
        </w:numPr>
        <w:spacing w:after="120" w:line="300" w:lineRule="auto"/>
      </w:pPr>
      <w:r>
        <w:t>Overview: KPI summary cards, yearly funding and deal-count trend, top sectors and cities by funding/deal volume.</w:t>
      </w:r>
    </w:p>
    <w:p w14:paraId="6B9A7FF4" w14:textId="77777777" w:rsidR="009C1119" w:rsidRDefault="00000000">
      <w:pPr>
        <w:pStyle w:val="ListParagraph"/>
        <w:numPr>
          <w:ilvl w:val="0"/>
          <w:numId w:val="2"/>
        </w:numPr>
        <w:spacing w:after="120" w:line="300" w:lineRule="auto"/>
      </w:pPr>
      <w:r>
        <w:t xml:space="preserve">Sector Deep-Dive: </w:t>
      </w:r>
      <w:proofErr w:type="spellStart"/>
      <w:r>
        <w:t>Treemap</w:t>
      </w:r>
      <w:proofErr w:type="spellEnd"/>
      <w:r>
        <w:t xml:space="preserve"> of sector funding share, funding-stage breakdown, and an expandable matrix of sub-vertical detail within the top five sectors.</w:t>
      </w:r>
    </w:p>
    <w:p w14:paraId="212BB02C" w14:textId="77777777" w:rsidR="009C1119" w:rsidRDefault="00000000">
      <w:pPr>
        <w:pStyle w:val="ListParagraph"/>
        <w:numPr>
          <w:ilvl w:val="0"/>
          <w:numId w:val="2"/>
        </w:numPr>
        <w:spacing w:after="120" w:line="300" w:lineRule="auto"/>
      </w:pPr>
      <w:r>
        <w:t>Investor &amp; Geography: City-wise funding map, SQL-corrected investor ranking, and a funding-stage funnel.</w:t>
      </w:r>
    </w:p>
    <w:sectPr w:rsidR="009C111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6AD51" w14:textId="77777777" w:rsidR="0019006E" w:rsidRDefault="0019006E">
      <w:r>
        <w:separator/>
      </w:r>
    </w:p>
  </w:endnote>
  <w:endnote w:type="continuationSeparator" w:id="0">
    <w:p w14:paraId="767ACE07" w14:textId="77777777" w:rsidR="0019006E" w:rsidRDefault="00190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CEC9" w14:textId="77777777" w:rsidR="009C111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419D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419D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009B1" w14:textId="77777777" w:rsidR="0019006E" w:rsidRDefault="0019006E">
      <w:r>
        <w:separator/>
      </w:r>
    </w:p>
  </w:footnote>
  <w:footnote w:type="continuationSeparator" w:id="0">
    <w:p w14:paraId="4D262D0B" w14:textId="77777777" w:rsidR="0019006E" w:rsidRDefault="00190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B66F" w14:textId="77777777" w:rsidR="009C1119" w:rsidRDefault="00000000">
    <w:pPr>
      <w:pBdr>
        <w:bottom w:val="single" w:sz="4" w:space="4" w:color="CCCCCC"/>
      </w:pBdr>
      <w:tabs>
        <w:tab w:val="right" w:pos="9026"/>
      </w:tabs>
    </w:pPr>
    <w:proofErr w:type="spellStart"/>
    <w:r>
      <w:rPr>
        <w:b/>
        <w:bCs/>
        <w:color w:val="0A1929"/>
        <w:sz w:val="18"/>
        <w:szCs w:val="18"/>
      </w:rPr>
      <w:t>StartupIQ</w:t>
    </w:r>
    <w:proofErr w:type="spellEnd"/>
    <w:r>
      <w:rPr>
        <w:color w:val="595959"/>
        <w:sz w:val="18"/>
        <w:szCs w:val="18"/>
      </w:rPr>
      <w:tab/>
      <w:t>Indian Startup Funding Intelligence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6CF3"/>
    <w:multiLevelType w:val="hybridMultilevel"/>
    <w:tmpl w:val="022A5DA8"/>
    <w:lvl w:ilvl="0" w:tplc="52482158">
      <w:start w:val="1"/>
      <w:numFmt w:val="bullet"/>
      <w:lvlText w:val="•"/>
      <w:lvlJc w:val="left"/>
      <w:pPr>
        <w:ind w:left="720" w:hanging="360"/>
      </w:pPr>
    </w:lvl>
    <w:lvl w:ilvl="1" w:tplc="9F90E53A">
      <w:numFmt w:val="decimal"/>
      <w:lvlText w:val=""/>
      <w:lvlJc w:val="left"/>
    </w:lvl>
    <w:lvl w:ilvl="2" w:tplc="73B450F2">
      <w:numFmt w:val="decimal"/>
      <w:lvlText w:val=""/>
      <w:lvlJc w:val="left"/>
    </w:lvl>
    <w:lvl w:ilvl="3" w:tplc="ABF66DF4">
      <w:numFmt w:val="decimal"/>
      <w:lvlText w:val=""/>
      <w:lvlJc w:val="left"/>
    </w:lvl>
    <w:lvl w:ilvl="4" w:tplc="A89E5E32">
      <w:numFmt w:val="decimal"/>
      <w:lvlText w:val=""/>
      <w:lvlJc w:val="left"/>
    </w:lvl>
    <w:lvl w:ilvl="5" w:tplc="196E08A2">
      <w:numFmt w:val="decimal"/>
      <w:lvlText w:val=""/>
      <w:lvlJc w:val="left"/>
    </w:lvl>
    <w:lvl w:ilvl="6" w:tplc="6BE8208E">
      <w:numFmt w:val="decimal"/>
      <w:lvlText w:val=""/>
      <w:lvlJc w:val="left"/>
    </w:lvl>
    <w:lvl w:ilvl="7" w:tplc="30F0DF72">
      <w:numFmt w:val="decimal"/>
      <w:lvlText w:val=""/>
      <w:lvlJc w:val="left"/>
    </w:lvl>
    <w:lvl w:ilvl="8" w:tplc="B9B04F42">
      <w:numFmt w:val="decimal"/>
      <w:lvlText w:val=""/>
      <w:lvlJc w:val="left"/>
    </w:lvl>
  </w:abstractNum>
  <w:abstractNum w:abstractNumId="1" w15:restartNumberingAfterBreak="0">
    <w:nsid w:val="5AB21B74"/>
    <w:multiLevelType w:val="hybridMultilevel"/>
    <w:tmpl w:val="01D0D792"/>
    <w:lvl w:ilvl="0" w:tplc="BA887220">
      <w:start w:val="1"/>
      <w:numFmt w:val="bullet"/>
      <w:lvlText w:val="●"/>
      <w:lvlJc w:val="left"/>
      <w:pPr>
        <w:ind w:left="720" w:hanging="360"/>
      </w:pPr>
    </w:lvl>
    <w:lvl w:ilvl="1" w:tplc="99A247F0">
      <w:start w:val="1"/>
      <w:numFmt w:val="bullet"/>
      <w:lvlText w:val="○"/>
      <w:lvlJc w:val="left"/>
      <w:pPr>
        <w:ind w:left="1440" w:hanging="360"/>
      </w:pPr>
    </w:lvl>
    <w:lvl w:ilvl="2" w:tplc="1138E7FE">
      <w:start w:val="1"/>
      <w:numFmt w:val="bullet"/>
      <w:lvlText w:val="■"/>
      <w:lvlJc w:val="left"/>
      <w:pPr>
        <w:ind w:left="2160" w:hanging="360"/>
      </w:pPr>
    </w:lvl>
    <w:lvl w:ilvl="3" w:tplc="BFA4AC7C">
      <w:start w:val="1"/>
      <w:numFmt w:val="bullet"/>
      <w:lvlText w:val="●"/>
      <w:lvlJc w:val="left"/>
      <w:pPr>
        <w:ind w:left="2880" w:hanging="360"/>
      </w:pPr>
    </w:lvl>
    <w:lvl w:ilvl="4" w:tplc="7FC41AA4">
      <w:start w:val="1"/>
      <w:numFmt w:val="bullet"/>
      <w:lvlText w:val="○"/>
      <w:lvlJc w:val="left"/>
      <w:pPr>
        <w:ind w:left="3600" w:hanging="360"/>
      </w:pPr>
    </w:lvl>
    <w:lvl w:ilvl="5" w:tplc="4DEA5AEE">
      <w:start w:val="1"/>
      <w:numFmt w:val="bullet"/>
      <w:lvlText w:val="■"/>
      <w:lvlJc w:val="left"/>
      <w:pPr>
        <w:ind w:left="4320" w:hanging="360"/>
      </w:pPr>
    </w:lvl>
    <w:lvl w:ilvl="6" w:tplc="B21ED6C0">
      <w:start w:val="1"/>
      <w:numFmt w:val="bullet"/>
      <w:lvlText w:val="●"/>
      <w:lvlJc w:val="left"/>
      <w:pPr>
        <w:ind w:left="5040" w:hanging="360"/>
      </w:pPr>
    </w:lvl>
    <w:lvl w:ilvl="7" w:tplc="19AAD076">
      <w:start w:val="1"/>
      <w:numFmt w:val="bullet"/>
      <w:lvlText w:val="●"/>
      <w:lvlJc w:val="left"/>
      <w:pPr>
        <w:ind w:left="5760" w:hanging="360"/>
      </w:pPr>
    </w:lvl>
    <w:lvl w:ilvl="8" w:tplc="CAE8AEF8">
      <w:start w:val="1"/>
      <w:numFmt w:val="bullet"/>
      <w:lvlText w:val="●"/>
      <w:lvlJc w:val="left"/>
      <w:pPr>
        <w:ind w:left="6480" w:hanging="360"/>
      </w:pPr>
    </w:lvl>
  </w:abstractNum>
  <w:num w:numId="1" w16cid:durableId="1085490607">
    <w:abstractNumId w:val="1"/>
    <w:lvlOverride w:ilvl="0">
      <w:startOverride w:val="1"/>
    </w:lvlOverride>
  </w:num>
  <w:num w:numId="2" w16cid:durableId="1389575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119"/>
    <w:rsid w:val="0019006E"/>
    <w:rsid w:val="002D2ABC"/>
    <w:rsid w:val="009419D1"/>
    <w:rsid w:val="009C1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0278E"/>
  <w15:docId w15:val="{11E73E4F-1943-4422-A069-CBDE06F2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00B4D8"/>
      </w:pBdr>
      <w:spacing w:before="360" w:after="200"/>
      <w:outlineLvl w:val="0"/>
    </w:pPr>
    <w:rPr>
      <w:b/>
      <w:bCs/>
      <w:color w:val="0A1929"/>
      <w:sz w:val="32"/>
      <w:szCs w:val="32"/>
    </w:rPr>
  </w:style>
  <w:style w:type="paragraph" w:styleId="Heading2">
    <w:name w:val="heading 2"/>
    <w:uiPriority w:val="9"/>
    <w:unhideWhenUsed/>
    <w:qFormat/>
    <w:pPr>
      <w:spacing w:before="280" w:after="160"/>
      <w:outlineLvl w:val="1"/>
    </w:pPr>
    <w:rPr>
      <w:b/>
      <w:bCs/>
      <w:color w:val="0A192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1173</Words>
  <Characters>6690</Characters>
  <Application>Microsoft Office Word</Application>
  <DocSecurity>0</DocSecurity>
  <Lines>55</Lines>
  <Paragraphs>15</Paragraphs>
  <ScaleCrop>false</ScaleCrop>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Sai Sistla</cp:lastModifiedBy>
  <cp:revision>2</cp:revision>
  <dcterms:created xsi:type="dcterms:W3CDTF">2026-06-16T18:18:00Z</dcterms:created>
  <dcterms:modified xsi:type="dcterms:W3CDTF">2026-06-17T03:57:00Z</dcterms:modified>
</cp:coreProperties>
</file>