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jc w:val="center"/>
      </w:pPr>
      <w:r>
        <w:rPr>
          <w:b/>
          <w:sz w:val="28"/>
        </w:rPr>
        <w:t>Khed Taluka Shikshan Prasarak Mandal's</w:t>
        <w:br/>
      </w:r>
    </w:p>
    <w:p>
      <w:pPr>
        <w:spacing w:after="360"/>
        <w:jc w:val="center"/>
      </w:pPr>
      <w:r>
        <w:rPr>
          <w:b/>
          <w:sz w:val="30"/>
        </w:rPr>
        <w:t>Hutatma Rajguru Mahavidyalaya, Rajgurunagar, Pune- 410505</w:t>
      </w:r>
    </w:p>
    <w:p>
      <w:pPr>
        <w:spacing w:after="360"/>
        <w:jc w:val="center"/>
      </w:pPr>
      <w:r>
        <w:drawing>
          <wp:inline xmlns:a="http://schemas.openxmlformats.org/drawingml/2006/main" xmlns:pic="http://schemas.openxmlformats.org/drawingml/2006/picture">
            <wp:extent cx="2194560" cy="1229413"/>
            <wp:docPr id="1" name="Picture 1"/>
            <wp:cNvGraphicFramePr>
              <a:graphicFrameLocks noChangeAspect="1"/>
            </wp:cNvGraphicFramePr>
            <a:graphic>
              <a:graphicData uri="http://schemas.openxmlformats.org/drawingml/2006/picture">
                <pic:pic>
                  <pic:nvPicPr>
                    <pic:cNvPr id="0" name="college_logo.png"/>
                    <pic:cNvPicPr/>
                  </pic:nvPicPr>
                  <pic:blipFill>
                    <a:blip r:embed="rId9"/>
                    <a:stretch>
                      <a:fillRect/>
                    </a:stretch>
                  </pic:blipFill>
                  <pic:spPr>
                    <a:xfrm>
                      <a:off x="0" y="0"/>
                      <a:ext cx="2194560" cy="1229413"/>
                    </a:xfrm>
                    <a:prstGeom prst="rect"/>
                  </pic:spPr>
                </pic:pic>
              </a:graphicData>
            </a:graphic>
          </wp:inline>
        </w:drawing>
      </w:r>
    </w:p>
    <w:p>
      <w:pPr>
        <w:spacing w:after="80"/>
        <w:jc w:val="center"/>
      </w:pPr>
      <w:r>
        <w:rPr>
          <w:b/>
          <w:sz w:val="28"/>
        </w:rPr>
        <w:t>TYBBA(CA)</w:t>
        <w:br/>
      </w:r>
      <w:r>
        <w:rPr>
          <w:b/>
          <w:sz w:val="26"/>
        </w:rPr>
        <w:t>Div-A</w:t>
        <w:br/>
        <w:br/>
      </w:r>
      <w:r>
        <w:rPr>
          <w:b/>
          <w:sz w:val="26"/>
        </w:rPr>
        <w:t>Project Report On</w:t>
        <w:br/>
        <w:br/>
      </w:r>
      <w:r>
        <w:rPr>
          <w:b/>
          <w:sz w:val="30"/>
        </w:rPr>
        <w:t>"NEXTCAMPUS - COLLEGE STUDENT &amp; LIBRARY MANAGEMENT SYSTEM"</w:t>
        <w:br/>
      </w:r>
    </w:p>
    <w:p>
      <w:pPr>
        <w:spacing w:before="360" w:after="80"/>
        <w:jc w:val="center"/>
      </w:pPr>
      <w:r>
        <w:rPr>
          <w:b/>
          <w:sz w:val="26"/>
        </w:rPr>
        <w:t>Developed By,</w:t>
        <w:br/>
        <w:br/>
      </w:r>
      <w:r>
        <w:rPr>
          <w:b/>
          <w:sz w:val="26"/>
        </w:rPr>
        <w:t>Name: Omkar Sandip Hadawale</w:t>
        <w:br/>
      </w:r>
      <w:r>
        <w:rPr>
          <w:b/>
          <w:sz w:val="24"/>
        </w:rPr>
        <w:t>Roll no: 02</w:t>
        <w:br/>
        <w:br/>
      </w:r>
    </w:p>
    <w:p>
      <w:pPr>
        <w:spacing w:before="360" w:after="0"/>
        <w:jc w:val="center"/>
      </w:pPr>
      <w:r>
        <w:rPr>
          <w:b/>
          <w:sz w:val="26"/>
        </w:rPr>
        <w:t>Under Guidance</w:t>
        <w:br/>
      </w:r>
      <w:r>
        <w:rPr>
          <w:b/>
          <w:sz w:val="26"/>
        </w:rPr>
        <w:t>Prof. A.S. Tanpure</w:t>
        <w:br/>
      </w:r>
      <w:r>
        <w:rPr>
          <w:b/>
          <w:sz w:val="24"/>
        </w:rPr>
        <w:t>(2025-2026)</w:t>
      </w:r>
    </w:p>
    <w:p>
      <w:r>
        <w:br w:type="page"/>
      </w:r>
    </w:p>
    <w:p>
      <w:pPr>
        <w:spacing w:before="800" w:after="480"/>
        <w:jc w:val="center"/>
      </w:pPr>
      <w:r>
        <w:rPr>
          <w:b/>
          <w:sz w:val="32"/>
        </w:rPr>
        <w:t>DECLARATION OF STUDENT</w:t>
      </w:r>
    </w:p>
    <w:p>
      <w:pPr>
        <w:spacing w:after="120"/>
        <w:jc w:val="both"/>
      </w:pPr>
      <w:r>
        <w:rPr>
          <w:rFonts w:ascii="Times New Roman" w:hAnsi="Times New Roman"/>
          <w:sz w:val="24"/>
        </w:rPr>
        <w:t>I hereby declare that the content of this Project report is my original work and has not been submitted for any other academic assessment. I have duly acknowledged all sources of information, including words, data, arguments, and ideas. This report adheres to the guidelines and standards of the university.</w:t>
      </w:r>
    </w:p>
    <w:p>
      <w:pPr>
        <w:spacing w:before="2400"/>
        <w:jc w:val="left"/>
      </w:pPr>
      <w:r>
        <w:rPr>
          <w:b/>
          <w:sz w:val="26"/>
        </w:rPr>
        <w:t>Omkar Sandip Hadawale</w:t>
        <w:br/>
      </w:r>
      <w:r>
        <w:rPr>
          <w:b/>
          <w:sz w:val="26"/>
        </w:rPr>
        <w:t>BBA(CA) Department</w:t>
      </w:r>
    </w:p>
    <w:p>
      <w:r>
        <w:br w:type="page"/>
      </w:r>
    </w:p>
    <w:p>
      <w:pPr>
        <w:spacing w:before="200" w:after="160"/>
        <w:jc w:val="center"/>
      </w:pPr>
      <w:r>
        <w:rPr>
          <w:b/>
          <w:sz w:val="32"/>
        </w:rPr>
        <w:t>CERTIFICATE</w:t>
      </w:r>
    </w:p>
    <w:p>
      <w:pPr>
        <w:spacing w:after="80"/>
        <w:jc w:val="center"/>
      </w:pPr>
      <w:r>
        <w:rPr>
          <w:b/>
          <w:sz w:val="26"/>
        </w:rPr>
        <w:t>Khed Taluka Shikshan Prasarak Mandal's</w:t>
        <w:br/>
      </w:r>
      <w:r>
        <w:rPr>
          <w:b/>
          <w:sz w:val="28"/>
        </w:rPr>
        <w:t>Hutatma Rajguru Mahavidyalaya, Rajgurunagar, Pune- 410505</w:t>
      </w:r>
    </w:p>
    <w:p>
      <w:pPr>
        <w:spacing w:before="160" w:after="280"/>
        <w:jc w:val="center"/>
      </w:pPr>
      <w:r>
        <w:drawing>
          <wp:inline xmlns:a="http://schemas.openxmlformats.org/drawingml/2006/main" xmlns:pic="http://schemas.openxmlformats.org/drawingml/2006/picture">
            <wp:extent cx="1828800" cy="1024511"/>
            <wp:docPr id="2" name="Picture 2"/>
            <wp:cNvGraphicFramePr>
              <a:graphicFrameLocks noChangeAspect="1"/>
            </wp:cNvGraphicFramePr>
            <a:graphic>
              <a:graphicData uri="http://schemas.openxmlformats.org/drawingml/2006/picture">
                <pic:pic>
                  <pic:nvPicPr>
                    <pic:cNvPr id="0" name="college_logo.png"/>
                    <pic:cNvPicPr/>
                  </pic:nvPicPr>
                  <pic:blipFill>
                    <a:blip r:embed="rId9"/>
                    <a:stretch>
                      <a:fillRect/>
                    </a:stretch>
                  </pic:blipFill>
                  <pic:spPr>
                    <a:xfrm>
                      <a:off x="0" y="0"/>
                      <a:ext cx="1828800" cy="1024511"/>
                    </a:xfrm>
                    <a:prstGeom prst="rect"/>
                  </pic:spPr>
                </pic:pic>
              </a:graphicData>
            </a:graphic>
          </wp:inline>
        </w:drawing>
      </w:r>
    </w:p>
    <w:p>
      <w:pPr>
        <w:spacing w:after="120"/>
        <w:jc w:val="both"/>
      </w:pPr>
      <w:r>
        <w:rPr>
          <w:rFonts w:ascii="Times New Roman" w:hAnsi="Times New Roman"/>
          <w:sz w:val="24"/>
        </w:rPr>
        <w:t>This is to certify that Mr. Omkar Sandip Hadawale has satisfactorily carried out his project entitled "NEXTCAMPUS - COLLEGE STUDENT &amp; LIBRARY MANAGEMENT SYSTEM" in partial fulfilment of the requirement of the Degree of TYBBA(CA), during Sem-V of the Academic Year 2025-2026 under Savitribai Phule Pune University.</w:t>
      </w:r>
    </w:p>
    <w:p>
      <w:pPr>
        <w:spacing w:before="800"/>
      </w:pPr>
    </w:p>
    <w:tbl>
      <w:tblPr>
        <w:tblW w:type="auto" w:w="0"/>
        <w:jc w:val="center"/>
        <w:tblLook w:firstColumn="1" w:firstRow="1" w:lastColumn="0" w:lastRow="0" w:noHBand="0" w:noVBand="1" w:val="04A0"/>
      </w:tblPr>
      <w:tblGrid>
        <w:gridCol w:w="2890"/>
        <w:gridCol w:w="2890"/>
        <w:gridCol w:w="2890"/>
      </w:tblGrid>
      <w:tr>
        <w:tc>
          <w:tcPr>
            <w:tcW w:type="dxa" w:w="2880"/>
          </w:tcPr>
          <w:p>
            <w:r>
              <w:rPr>
                <w:b/>
              </w:rPr>
              <w:t>Prof. A.S. Tanpure</w:t>
            </w:r>
          </w:p>
        </w:tc>
        <w:tc>
          <w:tcPr>
            <w:tcW w:type="dxa" w:w="2880"/>
          </w:tcPr>
          <w:p>
            <w:pPr>
              <w:jc w:val="center"/>
            </w:pPr>
            <w:r>
              <w:rPr>
                <w:b/>
              </w:rPr>
              <w:t>Prof. A.S. Tanpure</w:t>
            </w:r>
          </w:p>
        </w:tc>
        <w:tc>
          <w:tcPr>
            <w:tcW w:type="dxa" w:w="2880"/>
          </w:tcPr>
          <w:p>
            <w:pPr>
              <w:jc w:val="right"/>
            </w:pPr>
            <w:r>
              <w:rPr>
                <w:b/>
              </w:rPr>
              <w:t>Dr. S.S. Pingale</w:t>
            </w:r>
          </w:p>
        </w:tc>
      </w:tr>
      <w:tr>
        <w:tc>
          <w:tcPr>
            <w:tcW w:type="dxa" w:w="2880"/>
          </w:tcPr>
          <w:p>
            <w:r>
              <w:rPr>
                <w:b/>
              </w:rPr>
              <w:t>Project Guide</w:t>
            </w:r>
          </w:p>
        </w:tc>
        <w:tc>
          <w:tcPr>
            <w:tcW w:type="dxa" w:w="2880"/>
          </w:tcPr>
          <w:p>
            <w:pPr>
              <w:jc w:val="center"/>
            </w:pPr>
            <w:r>
              <w:rPr>
                <w:b/>
              </w:rPr>
              <w:t>HOD</w:t>
            </w:r>
          </w:p>
        </w:tc>
        <w:tc>
          <w:tcPr>
            <w:tcW w:type="dxa" w:w="2880"/>
          </w:tcPr>
          <w:p>
            <w:pPr>
              <w:jc w:val="right"/>
            </w:pPr>
            <w:r>
              <w:rPr>
                <w:b/>
              </w:rPr>
              <w:t>Principal</w:t>
            </w:r>
          </w:p>
        </w:tc>
      </w:tr>
    </w:tbl>
    <w:p>
      <w:pPr>
        <w:spacing w:before="1000"/>
        <w:jc w:val="right"/>
      </w:pPr>
      <w:r>
        <w:rPr>
          <w:b/>
        </w:rPr>
        <w:t>External Examiner</w:t>
      </w:r>
    </w:p>
    <w:p>
      <w:r>
        <w:br w:type="page"/>
      </w:r>
    </w:p>
    <w:p>
      <w:pPr>
        <w:spacing w:before="600" w:after="400"/>
        <w:jc w:val="center"/>
      </w:pPr>
      <w:r>
        <w:rPr>
          <w:b/>
          <w:sz w:val="32"/>
        </w:rPr>
        <w:t>ACKNOWLEDGEMENT</w:t>
      </w:r>
    </w:p>
    <w:p>
      <w:pPr>
        <w:spacing w:after="120"/>
        <w:jc w:val="both"/>
      </w:pPr>
      <w:r>
        <w:rPr>
          <w:rFonts w:ascii="Times New Roman" w:hAnsi="Times New Roman"/>
          <w:sz w:val="24"/>
        </w:rPr>
        <w:t>With immense Pleasure, I Mr. Omkar Sandip Hadawale presenting a report on "NEXTCAMPUS - COLLEGE STUDENT &amp; LIBRARY MANAGEMENT SYSTEM" project as a part of curriculum of the TYBBA(CA). I wish to thank all the people who gave us unending support right from when the idea was conceived. I express my sincere and profound thanks to our guide Prof. A.S. Tanpure for giving me valuable guidance and pointing me in the right direction.</w:t>
      </w:r>
    </w:p>
    <w:p>
      <w:pPr>
        <w:spacing w:after="120"/>
        <w:jc w:val="both"/>
      </w:pPr>
      <w:r>
        <w:rPr>
          <w:rFonts w:ascii="Times New Roman" w:hAnsi="Times New Roman"/>
          <w:sz w:val="24"/>
        </w:rPr>
        <w:t>I also convey my sincere gratitude to Dr. S.S. Pingale, Principal of Hutatma Rajguru Mahavidyalaya, and the college management for providing outstanding computing facilities and laboratory infrastructure. Finally, I thank all faculty members and staff of the BBA(CA) Department for their continuous cooperation, encouragement, and kind support throughout this semester.</w:t>
      </w:r>
    </w:p>
    <w:p>
      <w:pPr>
        <w:spacing w:before="1600"/>
        <w:jc w:val="left"/>
      </w:pPr>
      <w:r>
        <w:rPr>
          <w:b/>
          <w:sz w:val="26"/>
        </w:rPr>
        <w:t>Omkar Sandip Hadawale</w:t>
        <w:br/>
      </w:r>
      <w:r>
        <w:rPr>
          <w:b/>
          <w:sz w:val="26"/>
        </w:rPr>
        <w:t>BBA(CA)</w:t>
      </w:r>
    </w:p>
    <w:p>
      <w:r>
        <w:br w:type="page"/>
      </w:r>
    </w:p>
    <w:p>
      <w:pPr>
        <w:spacing w:before="200" w:after="280"/>
        <w:jc w:val="center"/>
      </w:pPr>
      <w:r>
        <w:rPr>
          <w:b/>
          <w:sz w:val="32"/>
        </w:rPr>
        <w:t>INDEX</w:t>
      </w:r>
    </w:p>
    <w:tbl>
      <w:tblPr>
        <w:tblW w:type="auto" w:w="0"/>
        <w:jc w:val="center"/>
        <w:tblLayout w:type="fixed"/>
        <w:tblLook w:firstColumn="1" w:firstRow="1" w:lastColumn="0" w:lastRow="0" w:noHBand="0" w:noVBand="1" w:val="04A0"/>
      </w:tblPr>
      <w:tblGrid>
        <w:gridCol w:w="2890"/>
        <w:gridCol w:w="2890"/>
        <w:gridCol w:w="2890"/>
      </w:tblGrid>
      <w:tr>
        <w:tc>
          <w:tcPr>
            <w:tcW w:type="dxa" w:w="1296"/>
            <w:tcBorders>
              <w:top w:val="single" w:sz="4" w:space="0" w:color="000000"/>
              <w:left w:val="single" w:sz="4" w:space="0" w:color="000000"/>
              <w:bottom w:val="single" w:sz="4" w:space="0" w:color="000000"/>
              <w:right w:val="single" w:sz="4" w:space="0" w:color="000000"/>
            </w:tcBorders>
            <w:shd w:fill="F1F5F9"/>
          </w:tcPr>
          <w:p>
            <w:r>
              <w:rPr>
                <w:b/>
              </w:rPr>
              <w:t>Sr. No.</w:t>
            </w:r>
          </w:p>
        </w:tc>
        <w:tc>
          <w:tcPr>
            <w:tcW w:type="dxa" w:w="6192"/>
            <w:tcBorders>
              <w:top w:val="single" w:sz="4" w:space="0" w:color="000000"/>
              <w:left w:val="single" w:sz="4" w:space="0" w:color="000000"/>
              <w:bottom w:val="single" w:sz="4" w:space="0" w:color="000000"/>
              <w:right w:val="single" w:sz="4" w:space="0" w:color="000000"/>
            </w:tcBorders>
            <w:shd w:fill="F1F5F9"/>
          </w:tcPr>
          <w:p>
            <w:r>
              <w:rPr>
                <w:b/>
              </w:rPr>
              <w:t>Topic / Documentation Content</w:t>
            </w:r>
          </w:p>
        </w:tc>
        <w:tc>
          <w:tcPr>
            <w:tcW w:type="dxa" w:w="1584"/>
            <w:tcBorders>
              <w:top w:val="single" w:sz="4" w:space="0" w:color="000000"/>
              <w:left w:val="single" w:sz="4" w:space="0" w:color="000000"/>
              <w:bottom w:val="single" w:sz="4" w:space="0" w:color="000000"/>
              <w:right w:val="single" w:sz="4" w:space="0" w:color="000000"/>
            </w:tcBorders>
            <w:shd w:fill="F1F5F9"/>
          </w:tcPr>
          <w:p>
            <w:r>
              <w:rPr>
                <w:b/>
              </w:rPr>
              <w:t>Page No.</w:t>
            </w:r>
          </w:p>
        </w:tc>
      </w:tr>
      <w:tr>
        <w:tc>
          <w:tcPr>
            <w:tcW w:type="dxa" w:w="1296"/>
            <w:tcBorders>
              <w:top w:val="single" w:sz="4" w:space="0" w:color="000000"/>
              <w:left w:val="single" w:sz="4" w:space="0" w:color="000000"/>
              <w:bottom w:val="single" w:sz="4" w:space="0" w:color="000000"/>
              <w:right w:val="single" w:sz="4" w:space="0" w:color="000000"/>
            </w:tcBorders>
          </w:tcPr>
          <w:p>
            <w:r>
              <w:rPr>
                <w:b/>
                <w:sz w:val="20"/>
              </w:rPr>
              <w:t>1.</w:t>
            </w:r>
          </w:p>
        </w:tc>
        <w:tc>
          <w:tcPr>
            <w:tcW w:type="dxa" w:w="6192"/>
            <w:tcBorders>
              <w:top w:val="single" w:sz="4" w:space="0" w:color="000000"/>
              <w:left w:val="single" w:sz="4" w:space="0" w:color="000000"/>
              <w:bottom w:val="single" w:sz="4" w:space="0" w:color="000000"/>
              <w:right w:val="single" w:sz="4" w:space="0" w:color="000000"/>
            </w:tcBorders>
          </w:tcPr>
          <w:p>
            <w:r>
              <w:rPr>
                <w:b/>
                <w:sz w:val="20"/>
              </w:rPr>
              <w:t>Abstract</w:t>
            </w:r>
          </w:p>
        </w:tc>
        <w:tc>
          <w:tcPr>
            <w:tcW w:type="dxa" w:w="1584"/>
            <w:tcBorders>
              <w:top w:val="single" w:sz="4" w:space="0" w:color="000000"/>
              <w:left w:val="single" w:sz="4" w:space="0" w:color="000000"/>
              <w:bottom w:val="single" w:sz="4" w:space="0" w:color="000000"/>
              <w:right w:val="single" w:sz="4" w:space="0" w:color="000000"/>
            </w:tcBorders>
          </w:tcPr>
          <w:p>
            <w:r>
              <w:rPr>
                <w:b/>
                <w:sz w:val="20"/>
              </w:rPr>
              <w:t>1</w:t>
            </w:r>
          </w:p>
        </w:tc>
      </w:tr>
      <w:tr>
        <w:tc>
          <w:tcPr>
            <w:tcW w:type="dxa" w:w="1296"/>
            <w:tcBorders>
              <w:top w:val="single" w:sz="4" w:space="0" w:color="000000"/>
              <w:left w:val="single" w:sz="4" w:space="0" w:color="000000"/>
              <w:bottom w:val="single" w:sz="4" w:space="0" w:color="000000"/>
              <w:right w:val="single" w:sz="4" w:space="0" w:color="000000"/>
            </w:tcBorders>
          </w:tcPr>
          <w:p>
            <w:r>
              <w:rPr>
                <w:b/>
                <w:sz w:val="20"/>
              </w:rPr>
              <w:t>2.</w:t>
            </w:r>
          </w:p>
        </w:tc>
        <w:tc>
          <w:tcPr>
            <w:tcW w:type="dxa" w:w="6192"/>
            <w:tcBorders>
              <w:top w:val="single" w:sz="4" w:space="0" w:color="000000"/>
              <w:left w:val="single" w:sz="4" w:space="0" w:color="000000"/>
              <w:bottom w:val="single" w:sz="4" w:space="0" w:color="000000"/>
              <w:right w:val="single" w:sz="4" w:space="0" w:color="000000"/>
            </w:tcBorders>
          </w:tcPr>
          <w:p>
            <w:r>
              <w:rPr>
                <w:b/>
                <w:sz w:val="20"/>
              </w:rPr>
              <w:t>Introduction</w:t>
            </w:r>
          </w:p>
        </w:tc>
        <w:tc>
          <w:tcPr>
            <w:tcW w:type="dxa" w:w="1584"/>
            <w:tcBorders>
              <w:top w:val="single" w:sz="4" w:space="0" w:color="000000"/>
              <w:left w:val="single" w:sz="4" w:space="0" w:color="000000"/>
              <w:bottom w:val="single" w:sz="4" w:space="0" w:color="000000"/>
              <w:right w:val="single" w:sz="4" w:space="0" w:color="000000"/>
            </w:tcBorders>
          </w:tcPr>
          <w:p>
            <w:r>
              <w:rPr>
                <w:b/>
                <w:sz w:val="20"/>
              </w:rPr>
              <w:t>2</w:t>
            </w:r>
          </w:p>
        </w:tc>
      </w:tr>
      <w:tr>
        <w:tc>
          <w:tcPr>
            <w:tcW w:type="dxa" w:w="1296"/>
            <w:tcBorders>
              <w:top w:val="single" w:sz="4" w:space="0" w:color="000000"/>
              <w:left w:val="single" w:sz="4" w:space="0" w:color="000000"/>
              <w:bottom w:val="single" w:sz="4" w:space="0" w:color="000000"/>
              <w:right w:val="single" w:sz="4" w:space="0" w:color="000000"/>
            </w:tcBorders>
          </w:tcPr>
          <w:p>
            <w:r>
              <w:rPr>
                <w:sz w:val="20"/>
              </w:rPr>
            </w:r>
          </w:p>
        </w:tc>
        <w:tc>
          <w:tcPr>
            <w:tcW w:type="dxa" w:w="6192"/>
            <w:tcBorders>
              <w:top w:val="single" w:sz="4" w:space="0" w:color="000000"/>
              <w:left w:val="single" w:sz="4" w:space="0" w:color="000000"/>
              <w:bottom w:val="single" w:sz="4" w:space="0" w:color="000000"/>
              <w:right w:val="single" w:sz="4" w:space="0" w:color="000000"/>
            </w:tcBorders>
          </w:tcPr>
          <w:p>
            <w:r>
              <w:rPr>
                <w:sz w:val="20"/>
              </w:rPr>
              <w:t xml:space="preserve">    2.1 Motivation</w:t>
            </w:r>
          </w:p>
        </w:tc>
        <w:tc>
          <w:tcPr>
            <w:tcW w:type="dxa" w:w="1584"/>
            <w:tcBorders>
              <w:top w:val="single" w:sz="4" w:space="0" w:color="000000"/>
              <w:left w:val="single" w:sz="4" w:space="0" w:color="000000"/>
              <w:bottom w:val="single" w:sz="4" w:space="0" w:color="000000"/>
              <w:right w:val="single" w:sz="4" w:space="0" w:color="000000"/>
            </w:tcBorders>
          </w:tcPr>
          <w:p>
            <w:r>
              <w:rPr>
                <w:sz w:val="20"/>
              </w:rPr>
              <w:t>2</w:t>
            </w:r>
          </w:p>
        </w:tc>
      </w:tr>
      <w:tr>
        <w:tc>
          <w:tcPr>
            <w:tcW w:type="dxa" w:w="1296"/>
            <w:tcBorders>
              <w:top w:val="single" w:sz="4" w:space="0" w:color="000000"/>
              <w:left w:val="single" w:sz="4" w:space="0" w:color="000000"/>
              <w:bottom w:val="single" w:sz="4" w:space="0" w:color="000000"/>
              <w:right w:val="single" w:sz="4" w:space="0" w:color="000000"/>
            </w:tcBorders>
          </w:tcPr>
          <w:p>
            <w:r>
              <w:rPr>
                <w:sz w:val="20"/>
              </w:rPr>
            </w:r>
          </w:p>
        </w:tc>
        <w:tc>
          <w:tcPr>
            <w:tcW w:type="dxa" w:w="6192"/>
            <w:tcBorders>
              <w:top w:val="single" w:sz="4" w:space="0" w:color="000000"/>
              <w:left w:val="single" w:sz="4" w:space="0" w:color="000000"/>
              <w:bottom w:val="single" w:sz="4" w:space="0" w:color="000000"/>
              <w:right w:val="single" w:sz="4" w:space="0" w:color="000000"/>
            </w:tcBorders>
          </w:tcPr>
          <w:p>
            <w:r>
              <w:rPr>
                <w:sz w:val="20"/>
              </w:rPr>
              <w:t xml:space="preserve">    2.2 Problem Statement</w:t>
            </w:r>
          </w:p>
        </w:tc>
        <w:tc>
          <w:tcPr>
            <w:tcW w:type="dxa" w:w="1584"/>
            <w:tcBorders>
              <w:top w:val="single" w:sz="4" w:space="0" w:color="000000"/>
              <w:left w:val="single" w:sz="4" w:space="0" w:color="000000"/>
              <w:bottom w:val="single" w:sz="4" w:space="0" w:color="000000"/>
              <w:right w:val="single" w:sz="4" w:space="0" w:color="000000"/>
            </w:tcBorders>
          </w:tcPr>
          <w:p>
            <w:r>
              <w:rPr>
                <w:sz w:val="20"/>
              </w:rPr>
              <w:t>3</w:t>
            </w:r>
          </w:p>
        </w:tc>
      </w:tr>
      <w:tr>
        <w:tc>
          <w:tcPr>
            <w:tcW w:type="dxa" w:w="1296"/>
            <w:tcBorders>
              <w:top w:val="single" w:sz="4" w:space="0" w:color="000000"/>
              <w:left w:val="single" w:sz="4" w:space="0" w:color="000000"/>
              <w:bottom w:val="single" w:sz="4" w:space="0" w:color="000000"/>
              <w:right w:val="single" w:sz="4" w:space="0" w:color="000000"/>
            </w:tcBorders>
          </w:tcPr>
          <w:p>
            <w:r>
              <w:rPr>
                <w:sz w:val="20"/>
              </w:rPr>
            </w:r>
          </w:p>
        </w:tc>
        <w:tc>
          <w:tcPr>
            <w:tcW w:type="dxa" w:w="6192"/>
            <w:tcBorders>
              <w:top w:val="single" w:sz="4" w:space="0" w:color="000000"/>
              <w:left w:val="single" w:sz="4" w:space="0" w:color="000000"/>
              <w:bottom w:val="single" w:sz="4" w:space="0" w:color="000000"/>
              <w:right w:val="single" w:sz="4" w:space="0" w:color="000000"/>
            </w:tcBorders>
          </w:tcPr>
          <w:p>
            <w:r>
              <w:rPr>
                <w:sz w:val="20"/>
              </w:rPr>
              <w:t xml:space="preserve">    2.3 Purpose / Objective and Goals</w:t>
            </w:r>
          </w:p>
        </w:tc>
        <w:tc>
          <w:tcPr>
            <w:tcW w:type="dxa" w:w="1584"/>
            <w:tcBorders>
              <w:top w:val="single" w:sz="4" w:space="0" w:color="000000"/>
              <w:left w:val="single" w:sz="4" w:space="0" w:color="000000"/>
              <w:bottom w:val="single" w:sz="4" w:space="0" w:color="000000"/>
              <w:right w:val="single" w:sz="4" w:space="0" w:color="000000"/>
            </w:tcBorders>
          </w:tcPr>
          <w:p>
            <w:r>
              <w:rPr>
                <w:sz w:val="20"/>
              </w:rPr>
              <w:t>3</w:t>
            </w:r>
          </w:p>
        </w:tc>
      </w:tr>
      <w:tr>
        <w:tc>
          <w:tcPr>
            <w:tcW w:type="dxa" w:w="1296"/>
            <w:tcBorders>
              <w:top w:val="single" w:sz="4" w:space="0" w:color="000000"/>
              <w:left w:val="single" w:sz="4" w:space="0" w:color="000000"/>
              <w:bottom w:val="single" w:sz="4" w:space="0" w:color="000000"/>
              <w:right w:val="single" w:sz="4" w:space="0" w:color="000000"/>
            </w:tcBorders>
          </w:tcPr>
          <w:p>
            <w:r>
              <w:rPr>
                <w:sz w:val="20"/>
              </w:rPr>
            </w:r>
          </w:p>
        </w:tc>
        <w:tc>
          <w:tcPr>
            <w:tcW w:type="dxa" w:w="6192"/>
            <w:tcBorders>
              <w:top w:val="single" w:sz="4" w:space="0" w:color="000000"/>
              <w:left w:val="single" w:sz="4" w:space="0" w:color="000000"/>
              <w:bottom w:val="single" w:sz="4" w:space="0" w:color="000000"/>
              <w:right w:val="single" w:sz="4" w:space="0" w:color="000000"/>
            </w:tcBorders>
          </w:tcPr>
          <w:p>
            <w:r>
              <w:rPr>
                <w:sz w:val="20"/>
              </w:rPr>
              <w:t xml:space="preserve">    2.4 Literature Survey</w:t>
            </w:r>
          </w:p>
        </w:tc>
        <w:tc>
          <w:tcPr>
            <w:tcW w:type="dxa" w:w="1584"/>
            <w:tcBorders>
              <w:top w:val="single" w:sz="4" w:space="0" w:color="000000"/>
              <w:left w:val="single" w:sz="4" w:space="0" w:color="000000"/>
              <w:bottom w:val="single" w:sz="4" w:space="0" w:color="000000"/>
              <w:right w:val="single" w:sz="4" w:space="0" w:color="000000"/>
            </w:tcBorders>
          </w:tcPr>
          <w:p>
            <w:r>
              <w:rPr>
                <w:sz w:val="20"/>
              </w:rPr>
              <w:t>4</w:t>
            </w:r>
          </w:p>
        </w:tc>
      </w:tr>
      <w:tr>
        <w:tc>
          <w:tcPr>
            <w:tcW w:type="dxa" w:w="1296"/>
            <w:tcBorders>
              <w:top w:val="single" w:sz="4" w:space="0" w:color="000000"/>
              <w:left w:val="single" w:sz="4" w:space="0" w:color="000000"/>
              <w:bottom w:val="single" w:sz="4" w:space="0" w:color="000000"/>
              <w:right w:val="single" w:sz="4" w:space="0" w:color="000000"/>
            </w:tcBorders>
          </w:tcPr>
          <w:p>
            <w:r>
              <w:rPr>
                <w:sz w:val="20"/>
              </w:rPr>
            </w:r>
          </w:p>
        </w:tc>
        <w:tc>
          <w:tcPr>
            <w:tcW w:type="dxa" w:w="6192"/>
            <w:tcBorders>
              <w:top w:val="single" w:sz="4" w:space="0" w:color="000000"/>
              <w:left w:val="single" w:sz="4" w:space="0" w:color="000000"/>
              <w:bottom w:val="single" w:sz="4" w:space="0" w:color="000000"/>
              <w:right w:val="single" w:sz="4" w:space="0" w:color="000000"/>
            </w:tcBorders>
          </w:tcPr>
          <w:p>
            <w:r>
              <w:rPr>
                <w:sz w:val="20"/>
              </w:rPr>
              <w:t xml:space="preserve">    2.5 Project Scope</w:t>
            </w:r>
          </w:p>
        </w:tc>
        <w:tc>
          <w:tcPr>
            <w:tcW w:type="dxa" w:w="1584"/>
            <w:tcBorders>
              <w:top w:val="single" w:sz="4" w:space="0" w:color="000000"/>
              <w:left w:val="single" w:sz="4" w:space="0" w:color="000000"/>
              <w:bottom w:val="single" w:sz="4" w:space="0" w:color="000000"/>
              <w:right w:val="single" w:sz="4" w:space="0" w:color="000000"/>
            </w:tcBorders>
          </w:tcPr>
          <w:p>
            <w:r>
              <w:rPr>
                <w:sz w:val="20"/>
              </w:rPr>
              <w:t>5</w:t>
            </w:r>
          </w:p>
        </w:tc>
      </w:tr>
      <w:tr>
        <w:tc>
          <w:tcPr>
            <w:tcW w:type="dxa" w:w="1296"/>
            <w:tcBorders>
              <w:top w:val="single" w:sz="4" w:space="0" w:color="000000"/>
              <w:left w:val="single" w:sz="4" w:space="0" w:color="000000"/>
              <w:bottom w:val="single" w:sz="4" w:space="0" w:color="000000"/>
              <w:right w:val="single" w:sz="4" w:space="0" w:color="000000"/>
            </w:tcBorders>
          </w:tcPr>
          <w:p>
            <w:r>
              <w:rPr>
                <w:b/>
                <w:sz w:val="20"/>
              </w:rPr>
              <w:t>3.</w:t>
            </w:r>
          </w:p>
        </w:tc>
        <w:tc>
          <w:tcPr>
            <w:tcW w:type="dxa" w:w="6192"/>
            <w:tcBorders>
              <w:top w:val="single" w:sz="4" w:space="0" w:color="000000"/>
              <w:left w:val="single" w:sz="4" w:space="0" w:color="000000"/>
              <w:bottom w:val="single" w:sz="4" w:space="0" w:color="000000"/>
              <w:right w:val="single" w:sz="4" w:space="0" w:color="000000"/>
            </w:tcBorders>
          </w:tcPr>
          <w:p>
            <w:r>
              <w:rPr>
                <w:b/>
                <w:sz w:val="20"/>
              </w:rPr>
              <w:t>System Analysis</w:t>
            </w:r>
          </w:p>
        </w:tc>
        <w:tc>
          <w:tcPr>
            <w:tcW w:type="dxa" w:w="1584"/>
            <w:tcBorders>
              <w:top w:val="single" w:sz="4" w:space="0" w:color="000000"/>
              <w:left w:val="single" w:sz="4" w:space="0" w:color="000000"/>
              <w:bottom w:val="single" w:sz="4" w:space="0" w:color="000000"/>
              <w:right w:val="single" w:sz="4" w:space="0" w:color="000000"/>
            </w:tcBorders>
          </w:tcPr>
          <w:p>
            <w:r>
              <w:rPr>
                <w:b/>
                <w:sz w:val="20"/>
              </w:rPr>
              <w:t>6</w:t>
            </w:r>
          </w:p>
        </w:tc>
      </w:tr>
      <w:tr>
        <w:tc>
          <w:tcPr>
            <w:tcW w:type="dxa" w:w="1296"/>
            <w:tcBorders>
              <w:top w:val="single" w:sz="4" w:space="0" w:color="000000"/>
              <w:left w:val="single" w:sz="4" w:space="0" w:color="000000"/>
              <w:bottom w:val="single" w:sz="4" w:space="0" w:color="000000"/>
              <w:right w:val="single" w:sz="4" w:space="0" w:color="000000"/>
            </w:tcBorders>
          </w:tcPr>
          <w:p>
            <w:r>
              <w:rPr>
                <w:sz w:val="20"/>
              </w:rPr>
            </w:r>
          </w:p>
        </w:tc>
        <w:tc>
          <w:tcPr>
            <w:tcW w:type="dxa" w:w="6192"/>
            <w:tcBorders>
              <w:top w:val="single" w:sz="4" w:space="0" w:color="000000"/>
              <w:left w:val="single" w:sz="4" w:space="0" w:color="000000"/>
              <w:bottom w:val="single" w:sz="4" w:space="0" w:color="000000"/>
              <w:right w:val="single" w:sz="4" w:space="0" w:color="000000"/>
            </w:tcBorders>
          </w:tcPr>
          <w:p>
            <w:r>
              <w:rPr>
                <w:sz w:val="20"/>
              </w:rPr>
              <w:t xml:space="preserve">    3.1 Existing Systems</w:t>
            </w:r>
          </w:p>
        </w:tc>
        <w:tc>
          <w:tcPr>
            <w:tcW w:type="dxa" w:w="1584"/>
            <w:tcBorders>
              <w:top w:val="single" w:sz="4" w:space="0" w:color="000000"/>
              <w:left w:val="single" w:sz="4" w:space="0" w:color="000000"/>
              <w:bottom w:val="single" w:sz="4" w:space="0" w:color="000000"/>
              <w:right w:val="single" w:sz="4" w:space="0" w:color="000000"/>
            </w:tcBorders>
          </w:tcPr>
          <w:p>
            <w:r>
              <w:rPr>
                <w:sz w:val="20"/>
              </w:rPr>
              <w:t>6</w:t>
            </w:r>
          </w:p>
        </w:tc>
      </w:tr>
      <w:tr>
        <w:tc>
          <w:tcPr>
            <w:tcW w:type="dxa" w:w="1296"/>
            <w:tcBorders>
              <w:top w:val="single" w:sz="4" w:space="0" w:color="000000"/>
              <w:left w:val="single" w:sz="4" w:space="0" w:color="000000"/>
              <w:bottom w:val="single" w:sz="4" w:space="0" w:color="000000"/>
              <w:right w:val="single" w:sz="4" w:space="0" w:color="000000"/>
            </w:tcBorders>
          </w:tcPr>
          <w:p>
            <w:r>
              <w:rPr>
                <w:sz w:val="20"/>
              </w:rPr>
            </w:r>
          </w:p>
        </w:tc>
        <w:tc>
          <w:tcPr>
            <w:tcW w:type="dxa" w:w="6192"/>
            <w:tcBorders>
              <w:top w:val="single" w:sz="4" w:space="0" w:color="000000"/>
              <w:left w:val="single" w:sz="4" w:space="0" w:color="000000"/>
              <w:bottom w:val="single" w:sz="4" w:space="0" w:color="000000"/>
              <w:right w:val="single" w:sz="4" w:space="0" w:color="000000"/>
            </w:tcBorders>
          </w:tcPr>
          <w:p>
            <w:r>
              <w:rPr>
                <w:sz w:val="20"/>
              </w:rPr>
              <w:t xml:space="preserve">    3.2 Scope and Limitations of Existing Systems</w:t>
            </w:r>
          </w:p>
        </w:tc>
        <w:tc>
          <w:tcPr>
            <w:tcW w:type="dxa" w:w="1584"/>
            <w:tcBorders>
              <w:top w:val="single" w:sz="4" w:space="0" w:color="000000"/>
              <w:left w:val="single" w:sz="4" w:space="0" w:color="000000"/>
              <w:bottom w:val="single" w:sz="4" w:space="0" w:color="000000"/>
              <w:right w:val="single" w:sz="4" w:space="0" w:color="000000"/>
            </w:tcBorders>
          </w:tcPr>
          <w:p>
            <w:r>
              <w:rPr>
                <w:sz w:val="20"/>
              </w:rPr>
              <w:t>7</w:t>
            </w:r>
          </w:p>
        </w:tc>
      </w:tr>
      <w:tr>
        <w:tc>
          <w:tcPr>
            <w:tcW w:type="dxa" w:w="1296"/>
            <w:tcBorders>
              <w:top w:val="single" w:sz="4" w:space="0" w:color="000000"/>
              <w:left w:val="single" w:sz="4" w:space="0" w:color="000000"/>
              <w:bottom w:val="single" w:sz="4" w:space="0" w:color="000000"/>
              <w:right w:val="single" w:sz="4" w:space="0" w:color="000000"/>
            </w:tcBorders>
          </w:tcPr>
          <w:p>
            <w:r>
              <w:rPr>
                <w:sz w:val="20"/>
              </w:rPr>
            </w:r>
          </w:p>
        </w:tc>
        <w:tc>
          <w:tcPr>
            <w:tcW w:type="dxa" w:w="6192"/>
            <w:tcBorders>
              <w:top w:val="single" w:sz="4" w:space="0" w:color="000000"/>
              <w:left w:val="single" w:sz="4" w:space="0" w:color="000000"/>
              <w:bottom w:val="single" w:sz="4" w:space="0" w:color="000000"/>
              <w:right w:val="single" w:sz="4" w:space="0" w:color="000000"/>
            </w:tcBorders>
          </w:tcPr>
          <w:p>
            <w:r>
              <w:rPr>
                <w:sz w:val="20"/>
              </w:rPr>
              <w:t xml:space="preserve">    3.3 Project Perspective, Features</w:t>
            </w:r>
          </w:p>
        </w:tc>
        <w:tc>
          <w:tcPr>
            <w:tcW w:type="dxa" w:w="1584"/>
            <w:tcBorders>
              <w:top w:val="single" w:sz="4" w:space="0" w:color="000000"/>
              <w:left w:val="single" w:sz="4" w:space="0" w:color="000000"/>
              <w:bottom w:val="single" w:sz="4" w:space="0" w:color="000000"/>
              <w:right w:val="single" w:sz="4" w:space="0" w:color="000000"/>
            </w:tcBorders>
          </w:tcPr>
          <w:p>
            <w:r>
              <w:rPr>
                <w:sz w:val="20"/>
              </w:rPr>
              <w:t>7</w:t>
            </w:r>
          </w:p>
        </w:tc>
      </w:tr>
      <w:tr>
        <w:tc>
          <w:tcPr>
            <w:tcW w:type="dxa" w:w="1296"/>
            <w:tcBorders>
              <w:top w:val="single" w:sz="4" w:space="0" w:color="000000"/>
              <w:left w:val="single" w:sz="4" w:space="0" w:color="000000"/>
              <w:bottom w:val="single" w:sz="4" w:space="0" w:color="000000"/>
              <w:right w:val="single" w:sz="4" w:space="0" w:color="000000"/>
            </w:tcBorders>
          </w:tcPr>
          <w:p>
            <w:r>
              <w:rPr>
                <w:sz w:val="20"/>
              </w:rPr>
            </w:r>
          </w:p>
        </w:tc>
        <w:tc>
          <w:tcPr>
            <w:tcW w:type="dxa" w:w="6192"/>
            <w:tcBorders>
              <w:top w:val="single" w:sz="4" w:space="0" w:color="000000"/>
              <w:left w:val="single" w:sz="4" w:space="0" w:color="000000"/>
              <w:bottom w:val="single" w:sz="4" w:space="0" w:color="000000"/>
              <w:right w:val="single" w:sz="4" w:space="0" w:color="000000"/>
            </w:tcBorders>
          </w:tcPr>
          <w:p>
            <w:r>
              <w:rPr>
                <w:sz w:val="20"/>
              </w:rPr>
              <w:t xml:space="preserve">    3.4 Stakeholders</w:t>
            </w:r>
          </w:p>
        </w:tc>
        <w:tc>
          <w:tcPr>
            <w:tcW w:type="dxa" w:w="1584"/>
            <w:tcBorders>
              <w:top w:val="single" w:sz="4" w:space="0" w:color="000000"/>
              <w:left w:val="single" w:sz="4" w:space="0" w:color="000000"/>
              <w:bottom w:val="single" w:sz="4" w:space="0" w:color="000000"/>
              <w:right w:val="single" w:sz="4" w:space="0" w:color="000000"/>
            </w:tcBorders>
          </w:tcPr>
          <w:p>
            <w:r>
              <w:rPr>
                <w:sz w:val="20"/>
              </w:rPr>
              <w:t>8</w:t>
            </w:r>
          </w:p>
        </w:tc>
      </w:tr>
      <w:tr>
        <w:tc>
          <w:tcPr>
            <w:tcW w:type="dxa" w:w="1296"/>
            <w:tcBorders>
              <w:top w:val="single" w:sz="4" w:space="0" w:color="000000"/>
              <w:left w:val="single" w:sz="4" w:space="0" w:color="000000"/>
              <w:bottom w:val="single" w:sz="4" w:space="0" w:color="000000"/>
              <w:right w:val="single" w:sz="4" w:space="0" w:color="000000"/>
            </w:tcBorders>
          </w:tcPr>
          <w:p>
            <w:r>
              <w:rPr>
                <w:sz w:val="20"/>
              </w:rPr>
            </w:r>
          </w:p>
        </w:tc>
        <w:tc>
          <w:tcPr>
            <w:tcW w:type="dxa" w:w="6192"/>
            <w:tcBorders>
              <w:top w:val="single" w:sz="4" w:space="0" w:color="000000"/>
              <w:left w:val="single" w:sz="4" w:space="0" w:color="000000"/>
              <w:bottom w:val="single" w:sz="4" w:space="0" w:color="000000"/>
              <w:right w:val="single" w:sz="4" w:space="0" w:color="000000"/>
            </w:tcBorders>
          </w:tcPr>
          <w:p>
            <w:r>
              <w:rPr>
                <w:sz w:val="20"/>
              </w:rPr>
              <w:t xml:space="preserve">    3.5 Requirement Analysis (Functional, Performance, Security)</w:t>
            </w:r>
          </w:p>
        </w:tc>
        <w:tc>
          <w:tcPr>
            <w:tcW w:type="dxa" w:w="1584"/>
            <w:tcBorders>
              <w:top w:val="single" w:sz="4" w:space="0" w:color="000000"/>
              <w:left w:val="single" w:sz="4" w:space="0" w:color="000000"/>
              <w:bottom w:val="single" w:sz="4" w:space="0" w:color="000000"/>
              <w:right w:val="single" w:sz="4" w:space="0" w:color="000000"/>
            </w:tcBorders>
          </w:tcPr>
          <w:p>
            <w:r>
              <w:rPr>
                <w:sz w:val="20"/>
              </w:rPr>
              <w:t>9</w:t>
            </w:r>
          </w:p>
        </w:tc>
      </w:tr>
      <w:tr>
        <w:tc>
          <w:tcPr>
            <w:tcW w:type="dxa" w:w="1296"/>
            <w:tcBorders>
              <w:top w:val="single" w:sz="4" w:space="0" w:color="000000"/>
              <w:left w:val="single" w:sz="4" w:space="0" w:color="000000"/>
              <w:bottom w:val="single" w:sz="4" w:space="0" w:color="000000"/>
              <w:right w:val="single" w:sz="4" w:space="0" w:color="000000"/>
            </w:tcBorders>
          </w:tcPr>
          <w:p>
            <w:r>
              <w:rPr>
                <w:b/>
                <w:sz w:val="20"/>
              </w:rPr>
              <w:t>4.</w:t>
            </w:r>
          </w:p>
        </w:tc>
        <w:tc>
          <w:tcPr>
            <w:tcW w:type="dxa" w:w="6192"/>
            <w:tcBorders>
              <w:top w:val="single" w:sz="4" w:space="0" w:color="000000"/>
              <w:left w:val="single" w:sz="4" w:space="0" w:color="000000"/>
              <w:bottom w:val="single" w:sz="4" w:space="0" w:color="000000"/>
              <w:right w:val="single" w:sz="4" w:space="0" w:color="000000"/>
            </w:tcBorders>
          </w:tcPr>
          <w:p>
            <w:r>
              <w:rPr>
                <w:b/>
                <w:sz w:val="20"/>
              </w:rPr>
              <w:t>System Design</w:t>
            </w:r>
          </w:p>
        </w:tc>
        <w:tc>
          <w:tcPr>
            <w:tcW w:type="dxa" w:w="1584"/>
            <w:tcBorders>
              <w:top w:val="single" w:sz="4" w:space="0" w:color="000000"/>
              <w:left w:val="single" w:sz="4" w:space="0" w:color="000000"/>
              <w:bottom w:val="single" w:sz="4" w:space="0" w:color="000000"/>
              <w:right w:val="single" w:sz="4" w:space="0" w:color="000000"/>
            </w:tcBorders>
          </w:tcPr>
          <w:p>
            <w:r>
              <w:rPr>
                <w:b/>
                <w:sz w:val="20"/>
              </w:rPr>
              <w:t>10</w:t>
            </w:r>
          </w:p>
        </w:tc>
      </w:tr>
      <w:tr>
        <w:tc>
          <w:tcPr>
            <w:tcW w:type="dxa" w:w="1296"/>
            <w:tcBorders>
              <w:top w:val="single" w:sz="4" w:space="0" w:color="000000"/>
              <w:left w:val="single" w:sz="4" w:space="0" w:color="000000"/>
              <w:bottom w:val="single" w:sz="4" w:space="0" w:color="000000"/>
              <w:right w:val="single" w:sz="4" w:space="0" w:color="000000"/>
            </w:tcBorders>
          </w:tcPr>
          <w:p>
            <w:r>
              <w:rPr>
                <w:sz w:val="20"/>
              </w:rPr>
            </w:r>
          </w:p>
        </w:tc>
        <w:tc>
          <w:tcPr>
            <w:tcW w:type="dxa" w:w="6192"/>
            <w:tcBorders>
              <w:top w:val="single" w:sz="4" w:space="0" w:color="000000"/>
              <w:left w:val="single" w:sz="4" w:space="0" w:color="000000"/>
              <w:bottom w:val="single" w:sz="4" w:space="0" w:color="000000"/>
              <w:right w:val="single" w:sz="4" w:space="0" w:color="000000"/>
            </w:tcBorders>
          </w:tcPr>
          <w:p>
            <w:r>
              <w:rPr>
                <w:sz w:val="20"/>
              </w:rPr>
              <w:t xml:space="preserve">    4.1 Design Constraints</w:t>
            </w:r>
          </w:p>
        </w:tc>
        <w:tc>
          <w:tcPr>
            <w:tcW w:type="dxa" w:w="1584"/>
            <w:tcBorders>
              <w:top w:val="single" w:sz="4" w:space="0" w:color="000000"/>
              <w:left w:val="single" w:sz="4" w:space="0" w:color="000000"/>
              <w:bottom w:val="single" w:sz="4" w:space="0" w:color="000000"/>
              <w:right w:val="single" w:sz="4" w:space="0" w:color="000000"/>
            </w:tcBorders>
          </w:tcPr>
          <w:p>
            <w:r>
              <w:rPr>
                <w:sz w:val="20"/>
              </w:rPr>
              <w:t>10</w:t>
            </w:r>
          </w:p>
        </w:tc>
      </w:tr>
      <w:tr>
        <w:tc>
          <w:tcPr>
            <w:tcW w:type="dxa" w:w="1296"/>
            <w:tcBorders>
              <w:top w:val="single" w:sz="4" w:space="0" w:color="000000"/>
              <w:left w:val="single" w:sz="4" w:space="0" w:color="000000"/>
              <w:bottom w:val="single" w:sz="4" w:space="0" w:color="000000"/>
              <w:right w:val="single" w:sz="4" w:space="0" w:color="000000"/>
            </w:tcBorders>
          </w:tcPr>
          <w:p>
            <w:r>
              <w:rPr>
                <w:sz w:val="20"/>
              </w:rPr>
            </w:r>
          </w:p>
        </w:tc>
        <w:tc>
          <w:tcPr>
            <w:tcW w:type="dxa" w:w="6192"/>
            <w:tcBorders>
              <w:top w:val="single" w:sz="4" w:space="0" w:color="000000"/>
              <w:left w:val="single" w:sz="4" w:space="0" w:color="000000"/>
              <w:bottom w:val="single" w:sz="4" w:space="0" w:color="000000"/>
              <w:right w:val="single" w:sz="4" w:space="0" w:color="000000"/>
            </w:tcBorders>
          </w:tcPr>
          <w:p>
            <w:r>
              <w:rPr>
                <w:sz w:val="20"/>
              </w:rPr>
              <w:t xml:space="preserve">    4.2 System Model: ERD &amp; DFD (Context Level)</w:t>
            </w:r>
          </w:p>
        </w:tc>
        <w:tc>
          <w:tcPr>
            <w:tcW w:type="dxa" w:w="1584"/>
            <w:tcBorders>
              <w:top w:val="single" w:sz="4" w:space="0" w:color="000000"/>
              <w:left w:val="single" w:sz="4" w:space="0" w:color="000000"/>
              <w:bottom w:val="single" w:sz="4" w:space="0" w:color="000000"/>
              <w:right w:val="single" w:sz="4" w:space="0" w:color="000000"/>
            </w:tcBorders>
          </w:tcPr>
          <w:p>
            <w:r>
              <w:rPr>
                <w:sz w:val="20"/>
              </w:rPr>
              <w:t>11</w:t>
            </w:r>
          </w:p>
        </w:tc>
      </w:tr>
      <w:tr>
        <w:tc>
          <w:tcPr>
            <w:tcW w:type="dxa" w:w="1296"/>
            <w:tcBorders>
              <w:top w:val="single" w:sz="4" w:space="0" w:color="000000"/>
              <w:left w:val="single" w:sz="4" w:space="0" w:color="000000"/>
              <w:bottom w:val="single" w:sz="4" w:space="0" w:color="000000"/>
              <w:right w:val="single" w:sz="4" w:space="0" w:color="000000"/>
            </w:tcBorders>
          </w:tcPr>
          <w:p>
            <w:r>
              <w:rPr>
                <w:sz w:val="20"/>
              </w:rPr>
            </w:r>
          </w:p>
        </w:tc>
        <w:tc>
          <w:tcPr>
            <w:tcW w:type="dxa" w:w="6192"/>
            <w:tcBorders>
              <w:top w:val="single" w:sz="4" w:space="0" w:color="000000"/>
              <w:left w:val="single" w:sz="4" w:space="0" w:color="000000"/>
              <w:bottom w:val="single" w:sz="4" w:space="0" w:color="000000"/>
              <w:right w:val="single" w:sz="4" w:space="0" w:color="000000"/>
            </w:tcBorders>
          </w:tcPr>
          <w:p>
            <w:r>
              <w:rPr>
                <w:sz w:val="20"/>
              </w:rPr>
              <w:t xml:space="preserve">    4.3 Data Model</w:t>
            </w:r>
          </w:p>
        </w:tc>
        <w:tc>
          <w:tcPr>
            <w:tcW w:type="dxa" w:w="1584"/>
            <w:tcBorders>
              <w:top w:val="single" w:sz="4" w:space="0" w:color="000000"/>
              <w:left w:val="single" w:sz="4" w:space="0" w:color="000000"/>
              <w:bottom w:val="single" w:sz="4" w:space="0" w:color="000000"/>
              <w:right w:val="single" w:sz="4" w:space="0" w:color="000000"/>
            </w:tcBorders>
          </w:tcPr>
          <w:p>
            <w:r>
              <w:rPr>
                <w:sz w:val="20"/>
              </w:rPr>
              <w:t>13</w:t>
            </w:r>
          </w:p>
        </w:tc>
      </w:tr>
      <w:tr>
        <w:tc>
          <w:tcPr>
            <w:tcW w:type="dxa" w:w="1296"/>
            <w:tcBorders>
              <w:top w:val="single" w:sz="4" w:space="0" w:color="000000"/>
              <w:left w:val="single" w:sz="4" w:space="0" w:color="000000"/>
              <w:bottom w:val="single" w:sz="4" w:space="0" w:color="000000"/>
              <w:right w:val="single" w:sz="4" w:space="0" w:color="000000"/>
            </w:tcBorders>
          </w:tcPr>
          <w:p>
            <w:r>
              <w:rPr>
                <w:sz w:val="20"/>
              </w:rPr>
            </w:r>
          </w:p>
        </w:tc>
        <w:tc>
          <w:tcPr>
            <w:tcW w:type="dxa" w:w="6192"/>
            <w:tcBorders>
              <w:top w:val="single" w:sz="4" w:space="0" w:color="000000"/>
              <w:left w:val="single" w:sz="4" w:space="0" w:color="000000"/>
              <w:bottom w:val="single" w:sz="4" w:space="0" w:color="000000"/>
              <w:right w:val="single" w:sz="4" w:space="0" w:color="000000"/>
            </w:tcBorders>
          </w:tcPr>
          <w:p>
            <w:r>
              <w:rPr>
                <w:sz w:val="20"/>
              </w:rPr>
              <w:t xml:space="preserve">    4.4 User Interface</w:t>
            </w:r>
          </w:p>
        </w:tc>
        <w:tc>
          <w:tcPr>
            <w:tcW w:type="dxa" w:w="1584"/>
            <w:tcBorders>
              <w:top w:val="single" w:sz="4" w:space="0" w:color="000000"/>
              <w:left w:val="single" w:sz="4" w:space="0" w:color="000000"/>
              <w:bottom w:val="single" w:sz="4" w:space="0" w:color="000000"/>
              <w:right w:val="single" w:sz="4" w:space="0" w:color="000000"/>
            </w:tcBorders>
          </w:tcPr>
          <w:p>
            <w:r>
              <w:rPr>
                <w:sz w:val="20"/>
              </w:rPr>
              <w:t>15</w:t>
            </w:r>
          </w:p>
        </w:tc>
      </w:tr>
      <w:tr>
        <w:tc>
          <w:tcPr>
            <w:tcW w:type="dxa" w:w="1296"/>
            <w:tcBorders>
              <w:top w:val="single" w:sz="4" w:space="0" w:color="000000"/>
              <w:left w:val="single" w:sz="4" w:space="0" w:color="000000"/>
              <w:bottom w:val="single" w:sz="4" w:space="0" w:color="000000"/>
              <w:right w:val="single" w:sz="4" w:space="0" w:color="000000"/>
            </w:tcBorders>
          </w:tcPr>
          <w:p>
            <w:r>
              <w:rPr>
                <w:b/>
                <w:sz w:val="20"/>
              </w:rPr>
              <w:t>5.</w:t>
            </w:r>
          </w:p>
        </w:tc>
        <w:tc>
          <w:tcPr>
            <w:tcW w:type="dxa" w:w="6192"/>
            <w:tcBorders>
              <w:top w:val="single" w:sz="4" w:space="0" w:color="000000"/>
              <w:left w:val="single" w:sz="4" w:space="0" w:color="000000"/>
              <w:bottom w:val="single" w:sz="4" w:space="0" w:color="000000"/>
              <w:right w:val="single" w:sz="4" w:space="0" w:color="000000"/>
            </w:tcBorders>
          </w:tcPr>
          <w:p>
            <w:r>
              <w:rPr>
                <w:b/>
                <w:sz w:val="20"/>
              </w:rPr>
              <w:t>Implementation Details</w:t>
            </w:r>
          </w:p>
        </w:tc>
        <w:tc>
          <w:tcPr>
            <w:tcW w:type="dxa" w:w="1584"/>
            <w:tcBorders>
              <w:top w:val="single" w:sz="4" w:space="0" w:color="000000"/>
              <w:left w:val="single" w:sz="4" w:space="0" w:color="000000"/>
              <w:bottom w:val="single" w:sz="4" w:space="0" w:color="000000"/>
              <w:right w:val="single" w:sz="4" w:space="0" w:color="000000"/>
            </w:tcBorders>
          </w:tcPr>
          <w:p>
            <w:r>
              <w:rPr>
                <w:b/>
                <w:sz w:val="20"/>
              </w:rPr>
              <w:t>17</w:t>
            </w:r>
          </w:p>
        </w:tc>
      </w:tr>
      <w:tr>
        <w:tc>
          <w:tcPr>
            <w:tcW w:type="dxa" w:w="1296"/>
            <w:tcBorders>
              <w:top w:val="single" w:sz="4" w:space="0" w:color="000000"/>
              <w:left w:val="single" w:sz="4" w:space="0" w:color="000000"/>
              <w:bottom w:val="single" w:sz="4" w:space="0" w:color="000000"/>
              <w:right w:val="single" w:sz="4" w:space="0" w:color="000000"/>
            </w:tcBorders>
          </w:tcPr>
          <w:p>
            <w:r>
              <w:rPr>
                <w:sz w:val="20"/>
              </w:rPr>
            </w:r>
          </w:p>
        </w:tc>
        <w:tc>
          <w:tcPr>
            <w:tcW w:type="dxa" w:w="6192"/>
            <w:tcBorders>
              <w:top w:val="single" w:sz="4" w:space="0" w:color="000000"/>
              <w:left w:val="single" w:sz="4" w:space="0" w:color="000000"/>
              <w:bottom w:val="single" w:sz="4" w:space="0" w:color="000000"/>
              <w:right w:val="single" w:sz="4" w:space="0" w:color="000000"/>
            </w:tcBorders>
          </w:tcPr>
          <w:p>
            <w:r>
              <w:rPr>
                <w:sz w:val="20"/>
              </w:rPr>
              <w:t xml:space="preserve">    5.1 Software / Hardware Specifications</w:t>
            </w:r>
          </w:p>
        </w:tc>
        <w:tc>
          <w:tcPr>
            <w:tcW w:type="dxa" w:w="1584"/>
            <w:tcBorders>
              <w:top w:val="single" w:sz="4" w:space="0" w:color="000000"/>
              <w:left w:val="single" w:sz="4" w:space="0" w:color="000000"/>
              <w:bottom w:val="single" w:sz="4" w:space="0" w:color="000000"/>
              <w:right w:val="single" w:sz="4" w:space="0" w:color="000000"/>
            </w:tcBorders>
          </w:tcPr>
          <w:p>
            <w:r>
              <w:rPr>
                <w:sz w:val="20"/>
              </w:rPr>
              <w:t>17</w:t>
            </w:r>
          </w:p>
        </w:tc>
      </w:tr>
      <w:tr>
        <w:tc>
          <w:tcPr>
            <w:tcW w:type="dxa" w:w="1296"/>
            <w:tcBorders>
              <w:top w:val="single" w:sz="4" w:space="0" w:color="000000"/>
              <w:left w:val="single" w:sz="4" w:space="0" w:color="000000"/>
              <w:bottom w:val="single" w:sz="4" w:space="0" w:color="000000"/>
              <w:right w:val="single" w:sz="4" w:space="0" w:color="000000"/>
            </w:tcBorders>
          </w:tcPr>
          <w:p>
            <w:r>
              <w:rPr>
                <w:b/>
                <w:sz w:val="20"/>
              </w:rPr>
              <w:t>6.</w:t>
            </w:r>
          </w:p>
        </w:tc>
        <w:tc>
          <w:tcPr>
            <w:tcW w:type="dxa" w:w="6192"/>
            <w:tcBorders>
              <w:top w:val="single" w:sz="4" w:space="0" w:color="000000"/>
              <w:left w:val="single" w:sz="4" w:space="0" w:color="000000"/>
              <w:bottom w:val="single" w:sz="4" w:space="0" w:color="000000"/>
              <w:right w:val="single" w:sz="4" w:space="0" w:color="000000"/>
            </w:tcBorders>
          </w:tcPr>
          <w:p>
            <w:r>
              <w:rPr>
                <w:b/>
                <w:sz w:val="20"/>
              </w:rPr>
              <w:t>System Outputs and Validation</w:t>
            </w:r>
          </w:p>
        </w:tc>
        <w:tc>
          <w:tcPr>
            <w:tcW w:type="dxa" w:w="1584"/>
            <w:tcBorders>
              <w:top w:val="single" w:sz="4" w:space="0" w:color="000000"/>
              <w:left w:val="single" w:sz="4" w:space="0" w:color="000000"/>
              <w:bottom w:val="single" w:sz="4" w:space="0" w:color="000000"/>
              <w:right w:val="single" w:sz="4" w:space="0" w:color="000000"/>
            </w:tcBorders>
          </w:tcPr>
          <w:p>
            <w:r>
              <w:rPr>
                <w:b/>
                <w:sz w:val="20"/>
              </w:rPr>
              <w:t>19</w:t>
            </w:r>
          </w:p>
        </w:tc>
      </w:tr>
      <w:tr>
        <w:tc>
          <w:tcPr>
            <w:tcW w:type="dxa" w:w="1296"/>
            <w:tcBorders>
              <w:top w:val="single" w:sz="4" w:space="0" w:color="000000"/>
              <w:left w:val="single" w:sz="4" w:space="0" w:color="000000"/>
              <w:bottom w:val="single" w:sz="4" w:space="0" w:color="000000"/>
              <w:right w:val="single" w:sz="4" w:space="0" w:color="000000"/>
            </w:tcBorders>
          </w:tcPr>
          <w:p>
            <w:r>
              <w:rPr>
                <w:sz w:val="20"/>
              </w:rPr>
            </w:r>
          </w:p>
        </w:tc>
        <w:tc>
          <w:tcPr>
            <w:tcW w:type="dxa" w:w="6192"/>
            <w:tcBorders>
              <w:top w:val="single" w:sz="4" w:space="0" w:color="000000"/>
              <w:left w:val="single" w:sz="4" w:space="0" w:color="000000"/>
              <w:bottom w:val="single" w:sz="4" w:space="0" w:color="000000"/>
              <w:right w:val="single" w:sz="4" w:space="0" w:color="000000"/>
            </w:tcBorders>
          </w:tcPr>
          <w:p>
            <w:r>
              <w:rPr>
                <w:sz w:val="20"/>
              </w:rPr>
              <w:t xml:space="preserve">    6.1 Output Screen</w:t>
            </w:r>
          </w:p>
        </w:tc>
        <w:tc>
          <w:tcPr>
            <w:tcW w:type="dxa" w:w="1584"/>
            <w:tcBorders>
              <w:top w:val="single" w:sz="4" w:space="0" w:color="000000"/>
              <w:left w:val="single" w:sz="4" w:space="0" w:color="000000"/>
              <w:bottom w:val="single" w:sz="4" w:space="0" w:color="000000"/>
              <w:right w:val="single" w:sz="4" w:space="0" w:color="000000"/>
            </w:tcBorders>
          </w:tcPr>
          <w:p>
            <w:r>
              <w:rPr>
                <w:sz w:val="20"/>
              </w:rPr>
              <w:t>19</w:t>
            </w:r>
          </w:p>
        </w:tc>
      </w:tr>
      <w:tr>
        <w:tc>
          <w:tcPr>
            <w:tcW w:type="dxa" w:w="1296"/>
            <w:tcBorders>
              <w:top w:val="single" w:sz="4" w:space="0" w:color="000000"/>
              <w:left w:val="single" w:sz="4" w:space="0" w:color="000000"/>
              <w:bottom w:val="single" w:sz="4" w:space="0" w:color="000000"/>
              <w:right w:val="single" w:sz="4" w:space="0" w:color="000000"/>
            </w:tcBorders>
          </w:tcPr>
          <w:p>
            <w:r>
              <w:rPr>
                <w:sz w:val="20"/>
              </w:rPr>
            </w:r>
          </w:p>
        </w:tc>
        <w:tc>
          <w:tcPr>
            <w:tcW w:type="dxa" w:w="6192"/>
            <w:tcBorders>
              <w:top w:val="single" w:sz="4" w:space="0" w:color="000000"/>
              <w:left w:val="single" w:sz="4" w:space="0" w:color="000000"/>
              <w:bottom w:val="single" w:sz="4" w:space="0" w:color="000000"/>
              <w:right w:val="single" w:sz="4" w:space="0" w:color="000000"/>
            </w:tcBorders>
          </w:tcPr>
          <w:p>
            <w:r>
              <w:rPr>
                <w:sz w:val="20"/>
              </w:rPr>
              <w:t xml:space="preserve">    6.2 Input Validation</w:t>
            </w:r>
          </w:p>
        </w:tc>
        <w:tc>
          <w:tcPr>
            <w:tcW w:type="dxa" w:w="1584"/>
            <w:tcBorders>
              <w:top w:val="single" w:sz="4" w:space="0" w:color="000000"/>
              <w:left w:val="single" w:sz="4" w:space="0" w:color="000000"/>
              <w:bottom w:val="single" w:sz="4" w:space="0" w:color="000000"/>
              <w:right w:val="single" w:sz="4" w:space="0" w:color="000000"/>
            </w:tcBorders>
          </w:tcPr>
          <w:p>
            <w:r>
              <w:rPr>
                <w:sz w:val="20"/>
              </w:rPr>
              <w:t>21</w:t>
            </w:r>
          </w:p>
        </w:tc>
      </w:tr>
      <w:tr>
        <w:tc>
          <w:tcPr>
            <w:tcW w:type="dxa" w:w="1296"/>
            <w:tcBorders>
              <w:top w:val="single" w:sz="4" w:space="0" w:color="000000"/>
              <w:left w:val="single" w:sz="4" w:space="0" w:color="000000"/>
              <w:bottom w:val="single" w:sz="4" w:space="0" w:color="000000"/>
              <w:right w:val="single" w:sz="4" w:space="0" w:color="000000"/>
            </w:tcBorders>
          </w:tcPr>
          <w:p>
            <w:r>
              <w:rPr>
                <w:sz w:val="20"/>
              </w:rPr>
            </w:r>
          </w:p>
        </w:tc>
        <w:tc>
          <w:tcPr>
            <w:tcW w:type="dxa" w:w="6192"/>
            <w:tcBorders>
              <w:top w:val="single" w:sz="4" w:space="0" w:color="000000"/>
              <w:left w:val="single" w:sz="4" w:space="0" w:color="000000"/>
              <w:bottom w:val="single" w:sz="4" w:space="0" w:color="000000"/>
              <w:right w:val="single" w:sz="4" w:space="0" w:color="000000"/>
            </w:tcBorders>
          </w:tcPr>
          <w:p>
            <w:r>
              <w:rPr>
                <w:sz w:val="20"/>
              </w:rPr>
              <w:t xml:space="preserve">    6.3 Report Format</w:t>
            </w:r>
          </w:p>
        </w:tc>
        <w:tc>
          <w:tcPr>
            <w:tcW w:type="dxa" w:w="1584"/>
            <w:tcBorders>
              <w:top w:val="single" w:sz="4" w:space="0" w:color="000000"/>
              <w:left w:val="single" w:sz="4" w:space="0" w:color="000000"/>
              <w:bottom w:val="single" w:sz="4" w:space="0" w:color="000000"/>
              <w:right w:val="single" w:sz="4" w:space="0" w:color="000000"/>
            </w:tcBorders>
          </w:tcPr>
          <w:p>
            <w:r>
              <w:rPr>
                <w:sz w:val="20"/>
              </w:rPr>
              <w:t>22</w:t>
            </w:r>
          </w:p>
        </w:tc>
      </w:tr>
      <w:tr>
        <w:tc>
          <w:tcPr>
            <w:tcW w:type="dxa" w:w="1296"/>
            <w:tcBorders>
              <w:top w:val="single" w:sz="4" w:space="0" w:color="000000"/>
              <w:left w:val="single" w:sz="4" w:space="0" w:color="000000"/>
              <w:bottom w:val="single" w:sz="4" w:space="0" w:color="000000"/>
              <w:right w:val="single" w:sz="4" w:space="0" w:color="000000"/>
            </w:tcBorders>
          </w:tcPr>
          <w:p>
            <w:r>
              <w:rPr>
                <w:b/>
                <w:sz w:val="20"/>
              </w:rPr>
              <w:t>7.</w:t>
            </w:r>
          </w:p>
        </w:tc>
        <w:tc>
          <w:tcPr>
            <w:tcW w:type="dxa" w:w="6192"/>
            <w:tcBorders>
              <w:top w:val="single" w:sz="4" w:space="0" w:color="000000"/>
              <w:left w:val="single" w:sz="4" w:space="0" w:color="000000"/>
              <w:bottom w:val="single" w:sz="4" w:space="0" w:color="000000"/>
              <w:right w:val="single" w:sz="4" w:space="0" w:color="000000"/>
            </w:tcBorders>
          </w:tcPr>
          <w:p>
            <w:r>
              <w:rPr>
                <w:b/>
                <w:sz w:val="20"/>
              </w:rPr>
              <w:t>Conclusion and Recommendations Limitations &amp; Future Scope</w:t>
            </w:r>
          </w:p>
        </w:tc>
        <w:tc>
          <w:tcPr>
            <w:tcW w:type="dxa" w:w="1584"/>
            <w:tcBorders>
              <w:top w:val="single" w:sz="4" w:space="0" w:color="000000"/>
              <w:left w:val="single" w:sz="4" w:space="0" w:color="000000"/>
              <w:bottom w:val="single" w:sz="4" w:space="0" w:color="000000"/>
              <w:right w:val="single" w:sz="4" w:space="0" w:color="000000"/>
            </w:tcBorders>
          </w:tcPr>
          <w:p>
            <w:r>
              <w:rPr>
                <w:b/>
                <w:sz w:val="20"/>
              </w:rPr>
              <w:t>23</w:t>
            </w:r>
          </w:p>
        </w:tc>
      </w:tr>
      <w:tr>
        <w:tc>
          <w:tcPr>
            <w:tcW w:type="dxa" w:w="1296"/>
            <w:tcBorders>
              <w:top w:val="single" w:sz="4" w:space="0" w:color="000000"/>
              <w:left w:val="single" w:sz="4" w:space="0" w:color="000000"/>
              <w:bottom w:val="single" w:sz="4" w:space="0" w:color="000000"/>
              <w:right w:val="single" w:sz="4" w:space="0" w:color="000000"/>
            </w:tcBorders>
          </w:tcPr>
          <w:p>
            <w:r>
              <w:rPr>
                <w:b/>
                <w:sz w:val="20"/>
              </w:rPr>
              <w:t>8.</w:t>
            </w:r>
          </w:p>
        </w:tc>
        <w:tc>
          <w:tcPr>
            <w:tcW w:type="dxa" w:w="6192"/>
            <w:tcBorders>
              <w:top w:val="single" w:sz="4" w:space="0" w:color="000000"/>
              <w:left w:val="single" w:sz="4" w:space="0" w:color="000000"/>
              <w:bottom w:val="single" w:sz="4" w:space="0" w:color="000000"/>
              <w:right w:val="single" w:sz="4" w:space="0" w:color="000000"/>
            </w:tcBorders>
          </w:tcPr>
          <w:p>
            <w:r>
              <w:rPr>
                <w:b/>
                <w:sz w:val="20"/>
              </w:rPr>
              <w:t>Bibliography and References</w:t>
            </w:r>
          </w:p>
        </w:tc>
        <w:tc>
          <w:tcPr>
            <w:tcW w:type="dxa" w:w="1584"/>
            <w:tcBorders>
              <w:top w:val="single" w:sz="4" w:space="0" w:color="000000"/>
              <w:left w:val="single" w:sz="4" w:space="0" w:color="000000"/>
              <w:bottom w:val="single" w:sz="4" w:space="0" w:color="000000"/>
              <w:right w:val="single" w:sz="4" w:space="0" w:color="000000"/>
            </w:tcBorders>
          </w:tcPr>
          <w:p>
            <w:r>
              <w:rPr>
                <w:b/>
                <w:sz w:val="20"/>
              </w:rPr>
              <w:t>25</w:t>
            </w:r>
          </w:p>
        </w:tc>
      </w:tr>
    </w:tbl>
    <w:p>
      <w:r>
        <w:br w:type="page"/>
      </w:r>
    </w:p>
    <w:p>
      <w:pPr>
        <w:spacing w:before="120" w:after="240"/>
        <w:jc w:val="left"/>
      </w:pPr>
      <w:r>
        <w:rPr>
          <w:rFonts w:ascii="Times New Roman" w:hAnsi="Times New Roman"/>
          <w:b/>
          <w:sz w:val="32"/>
        </w:rPr>
        <w:t>1. Abstract</w:t>
      </w:r>
    </w:p>
    <w:p>
      <w:pPr>
        <w:spacing w:after="120"/>
        <w:jc w:val="both"/>
      </w:pPr>
      <w:r>
        <w:rPr>
          <w:rFonts w:ascii="Times New Roman" w:hAnsi="Times New Roman"/>
          <w:sz w:val="24"/>
        </w:rPr>
        <w:t>The project "NEXTCAMPUS - COLLEGE STUDENT &amp; LIBRARY MANAGEMENT SYSTEM" is an integrated, role-based desktop and mobile web management platform designed specifically for collegiate academic administration. The system aims to streamline essential academic operations including student profile management, role-based access control (RBAC), library circulation with automated fine calculations, internal examination form enrollment, automated sequential seat number allocation, smart anti-proxy mobile attendance, and subject-wise internal continuous assessment marks tracking.</w:t>
      </w:r>
    </w:p>
    <w:p>
      <w:pPr>
        <w:spacing w:after="120"/>
        <w:jc w:val="both"/>
      </w:pPr>
      <w:r>
        <w:rPr>
          <w:rFonts w:ascii="Times New Roman" w:hAnsi="Times New Roman"/>
          <w:sz w:val="24"/>
        </w:rPr>
        <w:t>In educational institutions, manual paper-based registers, physical exam forms, and traditional roll calls frequently lead to proxy attendance, library overdue fine disputes, seat number allocation delays, and scattered records. NextCampus resolves these challenges by combining a desktop Java Swing application for administrative efficiency, a Python Flask mobile service for student self-service over campus Wi-Fi, and a zero-configuration embedded SQLite database.</w:t>
      </w:r>
    </w:p>
    <w:p>
      <w:pPr>
        <w:spacing w:after="120"/>
        <w:jc w:val="both"/>
      </w:pPr>
      <w:r>
        <w:rPr>
          <w:rFonts w:ascii="Times New Roman" w:hAnsi="Times New Roman"/>
          <w:sz w:val="24"/>
        </w:rPr>
        <w:t>By enforcing strict role-based separation (Admin/HOD, Teacher, Librarian, Student), cryptographic 30-second rolling tokens for attendance, 14-day book loans with automated Rs. 5/day fine tracking, and 1-click exam hall ticket generation, NextCampus delivers high operational transparency, eliminates proxy attendance, and elevates academic efficiency at Hutatma Rajguru Mahavidyalaya.</w:t>
      </w:r>
    </w:p>
    <w:p>
      <w:r>
        <w:br w:type="page"/>
      </w:r>
    </w:p>
    <w:p>
      <w:pPr>
        <w:spacing w:before="120" w:after="240"/>
        <w:jc w:val="left"/>
      </w:pPr>
      <w:r>
        <w:rPr>
          <w:rFonts w:ascii="Times New Roman" w:hAnsi="Times New Roman"/>
          <w:b/>
          <w:sz w:val="32"/>
        </w:rPr>
        <w:t>2. Introduction</w:t>
      </w:r>
    </w:p>
    <w:p>
      <w:pPr>
        <w:spacing w:before="200" w:after="80"/>
        <w:jc w:val="left"/>
      </w:pPr>
      <w:r>
        <w:rPr>
          <w:rFonts w:ascii="Times New Roman" w:hAnsi="Times New Roman"/>
          <w:b/>
          <w:sz w:val="26"/>
        </w:rPr>
        <w:t>2.1 Motivation</w:t>
      </w:r>
    </w:p>
    <w:p>
      <w:pPr>
        <w:spacing w:after="120"/>
        <w:jc w:val="both"/>
      </w:pPr>
      <w:r>
        <w:rPr>
          <w:rFonts w:ascii="Times New Roman" w:hAnsi="Times New Roman"/>
          <w:sz w:val="24"/>
        </w:rPr>
        <w:t>In modern colleges like Hutatma Rajguru Mahavidyalaya, administrative staff and faculty invest substantial hours each week handling repetitive paperwork: manually maintaining library registers, computing overdue book fines, managing paper exam forms, sorting students to assign seat numbers, distributing hall tickets, and conducting attendance roll calls where proxy attendance is common. Experiencing these bottlenecks firsthand during the TYBBA(CA) program served as the primary motivation to build NextCampus: a unified, secure, click-driven software solution that centralizes and modernizes collegiate administration.</w:t>
      </w:r>
    </w:p>
    <w:p>
      <w:pPr>
        <w:spacing w:before="200" w:after="80"/>
        <w:jc w:val="left"/>
      </w:pPr>
      <w:r>
        <w:rPr>
          <w:rFonts w:ascii="Times New Roman" w:hAnsi="Times New Roman"/>
          <w:b/>
          <w:sz w:val="26"/>
        </w:rPr>
        <w:t>2.2 Problem Statement</w:t>
      </w:r>
    </w:p>
    <w:p>
      <w:pPr>
        <w:spacing w:after="120"/>
        <w:jc w:val="both"/>
      </w:pPr>
      <w:r>
        <w:rPr>
          <w:rFonts w:ascii="Times New Roman" w:hAnsi="Times New Roman"/>
          <w:sz w:val="24"/>
        </w:rPr>
        <w:t>Existing departmental processes rely on manual logs and disjointed spreadsheets, resulting in serious operational deficiencies:</w:t>
      </w:r>
    </w:p>
    <w:p>
      <w:pPr>
        <w:pStyle w:val="ListBullet"/>
        <w:spacing w:after="80"/>
        <w:jc w:val="both"/>
      </w:pPr>
      <w:r>
        <w:rPr>
          <w:rFonts w:ascii="Times New Roman" w:hAnsi="Times New Roman"/>
          <w:sz w:val="23"/>
        </w:rPr>
        <w:t>Library Borrowing Bottlenecks: Manual ledgers cause delays, misplaced cards, and frequent disputes over late fines.</w:t>
      </w:r>
    </w:p>
    <w:p>
      <w:pPr>
        <w:pStyle w:val="ListBullet"/>
        <w:spacing w:after="80"/>
        <w:jc w:val="both"/>
      </w:pPr>
      <w:r>
        <w:rPr>
          <w:rFonts w:ascii="Times New Roman" w:hAnsi="Times New Roman"/>
          <w:sz w:val="23"/>
        </w:rPr>
        <w:t>Exam Enrollment &amp; Hall Ticket Delays: Students endure long queues to submit exam forms, while faculty spend days manually assigning seat numbers.</w:t>
      </w:r>
    </w:p>
    <w:p>
      <w:pPr>
        <w:pStyle w:val="ListBullet"/>
        <w:spacing w:after="80"/>
        <w:jc w:val="both"/>
      </w:pPr>
      <w:r>
        <w:rPr>
          <w:rFonts w:ascii="Times New Roman" w:hAnsi="Times New Roman"/>
          <w:sz w:val="23"/>
        </w:rPr>
        <w:t>Classroom Attendance Proxy: Paper roll calls and static QR codes permit absent students to have friends mark attendance for them.</w:t>
      </w:r>
    </w:p>
    <w:p>
      <w:pPr>
        <w:pStyle w:val="ListBullet"/>
        <w:spacing w:after="80"/>
        <w:jc w:val="both"/>
      </w:pPr>
      <w:r>
        <w:rPr>
          <w:rFonts w:ascii="Times New Roman" w:hAnsi="Times New Roman"/>
          <w:sz w:val="23"/>
        </w:rPr>
        <w:t>Scattered Student Records: Academic profiles, marks, library loans, and attendance exist in separate registers, preventing a unified 360-degree view.</w:t>
      </w:r>
    </w:p>
    <w:p>
      <w:pPr>
        <w:spacing w:before="200" w:after="80"/>
        <w:jc w:val="left"/>
      </w:pPr>
      <w:r>
        <w:rPr>
          <w:rFonts w:ascii="Times New Roman" w:hAnsi="Times New Roman"/>
          <w:b/>
          <w:sz w:val="26"/>
        </w:rPr>
        <w:t>2.3 Purpose / Objective and Goals</w:t>
      </w:r>
    </w:p>
    <w:p>
      <w:pPr>
        <w:spacing w:after="120"/>
        <w:jc w:val="both"/>
      </w:pPr>
      <w:r>
        <w:rPr>
          <w:rFonts w:ascii="Times New Roman" w:hAnsi="Times New Roman"/>
          <w:sz w:val="24"/>
        </w:rPr>
        <w:t>The primary purpose of NextCampus is to establish an offline-first, high-speed college information and ERP system. Key objectives include:</w:t>
      </w:r>
    </w:p>
    <w:p>
      <w:pPr>
        <w:pStyle w:val="ListBullet"/>
        <w:spacing w:after="80"/>
        <w:jc w:val="both"/>
      </w:pPr>
      <w:r>
        <w:rPr>
          <w:rFonts w:ascii="Times New Roman" w:hAnsi="Times New Roman"/>
          <w:sz w:val="23"/>
        </w:rPr>
        <w:t>Zero-Configuration Database: Utilize embedded SQLite (college_sms.db) requiring zero server installation or maintenance.</w:t>
      </w:r>
    </w:p>
    <w:p>
      <w:pPr>
        <w:pStyle w:val="ListBullet"/>
        <w:spacing w:after="80"/>
        <w:jc w:val="both"/>
      </w:pPr>
      <w:r>
        <w:rPr>
          <w:rFonts w:ascii="Times New Roman" w:hAnsi="Times New Roman"/>
          <w:sz w:val="23"/>
        </w:rPr>
        <w:t>Integrated Library Engine: Automate cataloging, real-time availability checks, 14-day loan policies, and Rs. 5/day overdue fine billing.</w:t>
      </w:r>
    </w:p>
    <w:p>
      <w:pPr>
        <w:pStyle w:val="ListBullet"/>
        <w:spacing w:after="80"/>
        <w:jc w:val="both"/>
      </w:pPr>
      <w:r>
        <w:rPr>
          <w:rFonts w:ascii="Times New Roman" w:hAnsi="Times New Roman"/>
          <w:sz w:val="23"/>
        </w:rPr>
        <w:t>Automated Exam Seat Allocation: Enable 1-click student exam enrollment, faculty review, sequential seat numbers (e.g. BBA5-S101), and digital hall tickets.</w:t>
      </w:r>
    </w:p>
    <w:p>
      <w:pPr>
        <w:pStyle w:val="ListBullet"/>
        <w:spacing w:after="80"/>
        <w:jc w:val="both"/>
      </w:pPr>
      <w:r>
        <w:rPr>
          <w:rFonts w:ascii="Times New Roman" w:hAnsi="Times New Roman"/>
          <w:sz w:val="23"/>
        </w:rPr>
        <w:t>Smart Anti-Proxy Mobile Attendance: Implement 30-second cryptographic rolling classroom tokens and smartphone hardware binding.</w:t>
      </w:r>
    </w:p>
    <w:p>
      <w:pPr>
        <w:pStyle w:val="ListBullet"/>
        <w:spacing w:after="80"/>
        <w:jc w:val="both"/>
      </w:pPr>
      <w:r>
        <w:rPr>
          <w:rFonts w:ascii="Times New Roman" w:hAnsi="Times New Roman"/>
          <w:sz w:val="23"/>
        </w:rPr>
        <w:t>Role-Based Security: Provide dedicated dashboards and permissions for Admin/HOD, Teachers, Librarians, and Students.</w:t>
      </w:r>
    </w:p>
    <w:p>
      <w:pPr>
        <w:spacing w:before="200" w:after="80"/>
        <w:jc w:val="left"/>
      </w:pPr>
      <w:r>
        <w:rPr>
          <w:rFonts w:ascii="Times New Roman" w:hAnsi="Times New Roman"/>
          <w:b/>
          <w:sz w:val="26"/>
        </w:rPr>
        <w:t>2.4 Literature Survey</w:t>
      </w:r>
    </w:p>
    <w:p>
      <w:pPr>
        <w:spacing w:after="120"/>
        <w:jc w:val="both"/>
      </w:pPr>
      <w:r>
        <w:rPr>
          <w:rFonts w:ascii="Times New Roman" w:hAnsi="Times New Roman"/>
          <w:sz w:val="24"/>
        </w:rPr>
        <w:t>A survey of current educational management systems highlighted clear trade-offs:</w:t>
      </w:r>
    </w:p>
    <w:p>
      <w:pPr>
        <w:pStyle w:val="ListBullet"/>
        <w:spacing w:after="80"/>
        <w:jc w:val="both"/>
      </w:pPr>
      <w:r>
        <w:rPr>
          <w:rFonts w:ascii="Times New Roman" w:hAnsi="Times New Roman"/>
          <w:sz w:val="23"/>
        </w:rPr>
        <w:t>Commercial ERPs (SAP Campus, ERPNext): Powerful but require expensive annual licenses, dedicated cloud servers, and complex training.</w:t>
      </w:r>
    </w:p>
    <w:p>
      <w:pPr>
        <w:pStyle w:val="ListBullet"/>
        <w:spacing w:after="80"/>
        <w:jc w:val="both"/>
      </w:pPr>
      <w:r>
        <w:rPr>
          <w:rFonts w:ascii="Times New Roman" w:hAnsi="Times New Roman"/>
          <w:sz w:val="23"/>
        </w:rPr>
        <w:t>Standalone Library Software (Koha): Manages books effectively but is completely detached from college exam seats and student attendance.</w:t>
      </w:r>
    </w:p>
    <w:p>
      <w:pPr>
        <w:pStyle w:val="ListBullet"/>
        <w:spacing w:after="80"/>
        <w:jc w:val="both"/>
      </w:pPr>
      <w:r>
        <w:rPr>
          <w:rFonts w:ascii="Times New Roman" w:hAnsi="Times New Roman"/>
          <w:sz w:val="23"/>
        </w:rPr>
        <w:t>Legacy Desktop Tools (VB6, MS Access): Outdated interfaces, prone to database corruption, and lack mobile network integration.</w:t>
      </w:r>
    </w:p>
    <w:p>
      <w:pPr>
        <w:pStyle w:val="ListBullet"/>
        <w:spacing w:after="80"/>
        <w:jc w:val="both"/>
      </w:pPr>
      <w:r>
        <w:rPr>
          <w:rFonts w:ascii="Times New Roman" w:hAnsi="Times New Roman"/>
          <w:sz w:val="23"/>
        </w:rPr>
        <w:t>Static QR Code Attendance Apps: Easily bypassed by students photographing and sharing QR codes via messaging apps.</w:t>
      </w:r>
    </w:p>
    <w:p>
      <w:pPr>
        <w:spacing w:after="120"/>
        <w:jc w:val="both"/>
      </w:pPr>
      <w:r>
        <w:rPr>
          <w:rFonts w:ascii="Times New Roman" w:hAnsi="Times New Roman"/>
          <w:sz w:val="24"/>
        </w:rPr>
        <w:t>Inference: NextCampus bridges these gaps by pairing Java Swing desktop robustness with lightweight Python Flask mobile capabilities and zero-config embedded storage, providing an affordable, robust solution tailored for college departments.</w:t>
      </w:r>
    </w:p>
    <w:p>
      <w:pPr>
        <w:spacing w:before="200" w:after="80"/>
        <w:jc w:val="left"/>
      </w:pPr>
      <w:r>
        <w:rPr>
          <w:rFonts w:ascii="Times New Roman" w:hAnsi="Times New Roman"/>
          <w:b/>
          <w:sz w:val="26"/>
        </w:rPr>
        <w:t>2.5 Project Scope</w:t>
      </w:r>
    </w:p>
    <w:p>
      <w:pPr>
        <w:spacing w:after="120"/>
        <w:jc w:val="both"/>
      </w:pPr>
      <w:r>
        <w:rPr>
          <w:rFonts w:ascii="Times New Roman" w:hAnsi="Times New Roman"/>
          <w:sz w:val="24"/>
        </w:rPr>
        <w:t>The scope of NextCampus covers the 3-year undergraduate BBA(CA) curriculum across Semester 1 to Semester 6, focusing on:</w:t>
      </w:r>
    </w:p>
    <w:p>
      <w:pPr>
        <w:pStyle w:val="ListBullet"/>
        <w:spacing w:after="80"/>
        <w:jc w:val="both"/>
      </w:pPr>
      <w:r>
        <w:rPr>
          <w:rFonts w:ascii="Times New Roman" w:hAnsi="Times New Roman"/>
          <w:sz w:val="23"/>
        </w:rPr>
        <w:t>Core Academic Modules: Student Directory, Multi-Role Authentication, Library Circulation, Internal Exam Enrollment &amp; Hall Tickets, Timetable Management, and Smart Attendance.</w:t>
      </w:r>
    </w:p>
    <w:p>
      <w:pPr>
        <w:pStyle w:val="ListBullet"/>
        <w:spacing w:after="80"/>
        <w:jc w:val="both"/>
      </w:pPr>
      <w:r>
        <w:rPr>
          <w:rFonts w:ascii="Times New Roman" w:hAnsi="Times New Roman"/>
          <w:sz w:val="23"/>
        </w:rPr>
        <w:t>Hardware &amp; Network Scope: Departmental local area network (LAN/Wi-Fi) operation without internet or cloud hosting dependency.</w:t>
      </w:r>
    </w:p>
    <w:p>
      <w:r>
        <w:br w:type="page"/>
      </w:r>
    </w:p>
    <w:p>
      <w:pPr>
        <w:spacing w:before="120" w:after="240"/>
        <w:jc w:val="left"/>
      </w:pPr>
      <w:r>
        <w:rPr>
          <w:rFonts w:ascii="Times New Roman" w:hAnsi="Times New Roman"/>
          <w:b/>
          <w:sz w:val="32"/>
        </w:rPr>
        <w:t>3. System Analysis</w:t>
      </w:r>
    </w:p>
    <w:p>
      <w:pPr>
        <w:spacing w:before="200" w:after="80"/>
        <w:jc w:val="left"/>
      </w:pPr>
      <w:r>
        <w:rPr>
          <w:rFonts w:ascii="Times New Roman" w:hAnsi="Times New Roman"/>
          <w:b/>
          <w:sz w:val="26"/>
        </w:rPr>
        <w:t>3.1 Existing Systems</w:t>
      </w:r>
    </w:p>
    <w:p>
      <w:pPr>
        <w:spacing w:after="120"/>
        <w:jc w:val="both"/>
      </w:pPr>
      <w:r>
        <w:rPr>
          <w:rFonts w:ascii="Times New Roman" w:hAnsi="Times New Roman"/>
          <w:sz w:val="24"/>
        </w:rPr>
        <w:t>Currently, department operations at the college rely on a combination of handwritten registers and standalone spreadsheet files. Library issues are documented on physical borrower cards. Exam applications are collected via printed paper forms, and attendance is recorded using roll-call registers.</w:t>
      </w:r>
    </w:p>
    <w:p>
      <w:pPr>
        <w:spacing w:before="200" w:after="80"/>
        <w:jc w:val="left"/>
      </w:pPr>
      <w:r>
        <w:rPr>
          <w:rFonts w:ascii="Times New Roman" w:hAnsi="Times New Roman"/>
          <w:b/>
          <w:sz w:val="26"/>
        </w:rPr>
        <w:t>3.2 Scope and Limitations of Existing Systems</w:t>
      </w:r>
    </w:p>
    <w:p>
      <w:pPr>
        <w:pStyle w:val="ListBullet"/>
        <w:spacing w:after="80"/>
        <w:jc w:val="both"/>
      </w:pPr>
      <w:r>
        <w:rPr>
          <w:rFonts w:ascii="Times New Roman" w:hAnsi="Times New Roman"/>
          <w:sz w:val="23"/>
        </w:rPr>
        <w:t>Data Redundancy &amp; Inconsistency: Student information is duplicated across library records, exam sheets, and attendance registers.</w:t>
      </w:r>
    </w:p>
    <w:p>
      <w:pPr>
        <w:pStyle w:val="ListBullet"/>
        <w:spacing w:after="80"/>
        <w:jc w:val="both"/>
      </w:pPr>
      <w:r>
        <w:rPr>
          <w:rFonts w:ascii="Times New Roman" w:hAnsi="Times New Roman"/>
          <w:sz w:val="23"/>
        </w:rPr>
        <w:t>Proxy Attendance: Traditional roll call allows students to respond on behalf of absent peers without verification.</w:t>
      </w:r>
    </w:p>
    <w:p>
      <w:pPr>
        <w:pStyle w:val="ListBullet"/>
        <w:spacing w:after="80"/>
        <w:jc w:val="both"/>
      </w:pPr>
      <w:r>
        <w:rPr>
          <w:rFonts w:ascii="Times New Roman" w:hAnsi="Times New Roman"/>
          <w:sz w:val="23"/>
        </w:rPr>
        <w:t>Human Error in Fine Calculation: Manual calculation of overdue library fines is time-consuming and prone to computational errors.</w:t>
      </w:r>
    </w:p>
    <w:p>
      <w:pPr>
        <w:pStyle w:val="ListBullet"/>
        <w:spacing w:after="80"/>
        <w:jc w:val="both"/>
      </w:pPr>
      <w:r>
        <w:rPr>
          <w:rFonts w:ascii="Times New Roman" w:hAnsi="Times New Roman"/>
          <w:sz w:val="23"/>
        </w:rPr>
        <w:t>Paper Wastage &amp; Storage Vulnerability: Physical registers deteriorate over time and risk data loss from physical damage.</w:t>
      </w:r>
    </w:p>
    <w:p>
      <w:pPr>
        <w:spacing w:before="200" w:after="80"/>
        <w:jc w:val="left"/>
      </w:pPr>
      <w:r>
        <w:rPr>
          <w:rFonts w:ascii="Times New Roman" w:hAnsi="Times New Roman"/>
          <w:b/>
          <w:sz w:val="26"/>
        </w:rPr>
        <w:t>3.3 Project Perspective, Features</w:t>
      </w:r>
    </w:p>
    <w:p>
      <w:pPr>
        <w:spacing w:after="120"/>
        <w:jc w:val="both"/>
      </w:pPr>
      <w:r>
        <w:rPr>
          <w:rFonts w:ascii="Times New Roman" w:hAnsi="Times New Roman"/>
          <w:sz w:val="24"/>
        </w:rPr>
        <w:t>NextCampus functions as a self-contained intranet academic suite. Key architectural features include:</w:t>
      </w:r>
    </w:p>
    <w:p>
      <w:pPr>
        <w:pStyle w:val="ListBullet"/>
        <w:spacing w:after="80"/>
        <w:jc w:val="both"/>
      </w:pPr>
      <w:r>
        <w:rPr>
          <w:rFonts w:ascii="Times New Roman" w:hAnsi="Times New Roman"/>
          <w:sz w:val="23"/>
        </w:rPr>
        <w:t>Modular multi-tier architecture isolating UI, business logic, and embedded storage.</w:t>
      </w:r>
    </w:p>
    <w:p>
      <w:pPr>
        <w:pStyle w:val="ListBullet"/>
        <w:spacing w:after="80"/>
        <w:jc w:val="both"/>
      </w:pPr>
      <w:r>
        <w:rPr>
          <w:rFonts w:ascii="Times New Roman" w:hAnsi="Times New Roman"/>
          <w:sz w:val="23"/>
        </w:rPr>
        <w:t>Dynamic dual-theme rendering supporting comfortable Midnight Slate Dark Mode and non-glare Executive Light Mode.</w:t>
      </w:r>
    </w:p>
    <w:p>
      <w:pPr>
        <w:pStyle w:val="ListBullet"/>
        <w:spacing w:after="80"/>
        <w:jc w:val="both"/>
      </w:pPr>
      <w:r>
        <w:rPr>
          <w:rFonts w:ascii="Times New Roman" w:hAnsi="Times New Roman"/>
          <w:sz w:val="23"/>
        </w:rPr>
        <w:t>Strict timetable assignment restricted exclusively to faculty registered in the software database.</w:t>
      </w:r>
    </w:p>
    <w:p>
      <w:pPr>
        <w:spacing w:before="200" w:after="80"/>
        <w:jc w:val="left"/>
      </w:pPr>
      <w:r>
        <w:rPr>
          <w:rFonts w:ascii="Times New Roman" w:hAnsi="Times New Roman"/>
          <w:b/>
          <w:sz w:val="26"/>
        </w:rPr>
        <w:t>3.4 Stakeholders</w:t>
      </w:r>
    </w:p>
    <w:p>
      <w:pPr>
        <w:pStyle w:val="ListBullet"/>
        <w:spacing w:after="80"/>
        <w:jc w:val="both"/>
      </w:pPr>
      <w:r>
        <w:rPr>
          <w:rFonts w:ascii="Times New Roman" w:hAnsi="Times New Roman"/>
          <w:sz w:val="23"/>
        </w:rPr>
        <w:t>Head of Department (HOD) / Administrator: Full system oversight, student record management, timetable configuration, and exam activation.</w:t>
      </w:r>
    </w:p>
    <w:p>
      <w:pPr>
        <w:pStyle w:val="ListBullet"/>
        <w:spacing w:after="80"/>
        <w:jc w:val="both"/>
      </w:pPr>
      <w:r>
        <w:rPr>
          <w:rFonts w:ascii="Times New Roman" w:hAnsi="Times New Roman"/>
          <w:sz w:val="23"/>
        </w:rPr>
        <w:t>Teachers / Faculty: Internal continuous assessment mark entry, practical journal verification, and launching live anti-proxy attendance sessions.</w:t>
      </w:r>
    </w:p>
    <w:p>
      <w:pPr>
        <w:pStyle w:val="ListBullet"/>
        <w:spacing w:after="80"/>
        <w:jc w:val="both"/>
      </w:pPr>
      <w:r>
        <w:rPr>
          <w:rFonts w:ascii="Times New Roman" w:hAnsi="Times New Roman"/>
          <w:sz w:val="23"/>
        </w:rPr>
        <w:t>Librarians: Catalog management, issuing/returning books, monitoring copy availability, and collecting overdue fines.</w:t>
      </w:r>
    </w:p>
    <w:p>
      <w:pPr>
        <w:pStyle w:val="ListBullet"/>
        <w:spacing w:after="80"/>
        <w:jc w:val="both"/>
      </w:pPr>
      <w:r>
        <w:rPr>
          <w:rFonts w:ascii="Times New Roman" w:hAnsi="Times New Roman"/>
          <w:sz w:val="23"/>
        </w:rPr>
        <w:t>Students: Accessing academic profiles, submitting exam forms, viewing allocated seat numbers, downloading hall tickets, and marking mobile attendance.</w:t>
      </w:r>
    </w:p>
    <w:p>
      <w:pPr>
        <w:spacing w:before="200" w:after="80"/>
        <w:jc w:val="left"/>
      </w:pPr>
      <w:r>
        <w:rPr>
          <w:rFonts w:ascii="Times New Roman" w:hAnsi="Times New Roman"/>
          <w:b/>
          <w:sz w:val="26"/>
        </w:rPr>
        <w:t>3.5 Requirement Analysis</w:t>
      </w:r>
    </w:p>
    <w:p>
      <w:pPr>
        <w:spacing w:after="120"/>
        <w:jc w:val="both"/>
      </w:pPr>
      <w:r>
        <w:rPr>
          <w:rFonts w:ascii="Times New Roman" w:hAnsi="Times New Roman"/>
          <w:sz w:val="24"/>
        </w:rPr>
        <w:t>1. Functional Requirements:</w:t>
      </w:r>
    </w:p>
    <w:p>
      <w:pPr>
        <w:pStyle w:val="ListBullet"/>
        <w:spacing w:after="80"/>
        <w:jc w:val="both"/>
      </w:pPr>
      <w:r>
        <w:rPr>
          <w:rFonts w:ascii="Times New Roman" w:hAnsi="Times New Roman"/>
          <w:sz w:val="23"/>
        </w:rPr>
        <w:t>User Authentication: Multi-role authentication (Admin, Teacher, Librarian, Student) with hashed credential verification.</w:t>
      </w:r>
    </w:p>
    <w:p>
      <w:pPr>
        <w:pStyle w:val="ListBullet"/>
        <w:spacing w:after="80"/>
        <w:jc w:val="both"/>
      </w:pPr>
      <w:r>
        <w:rPr>
          <w:rFonts w:ascii="Times New Roman" w:hAnsi="Times New Roman"/>
          <w:sz w:val="23"/>
        </w:rPr>
        <w:t>Library Management: Real-time inventory tracking, 14-day borrowing rules, automated fine computation at Rs. 5 per day.</w:t>
      </w:r>
    </w:p>
    <w:p>
      <w:pPr>
        <w:pStyle w:val="ListBullet"/>
        <w:spacing w:after="80"/>
        <w:jc w:val="both"/>
      </w:pPr>
      <w:r>
        <w:rPr>
          <w:rFonts w:ascii="Times New Roman" w:hAnsi="Times New Roman"/>
          <w:sz w:val="23"/>
        </w:rPr>
        <w:t>Exam Management: Form status verification, auto-generation of sequential seat numbers (BBA5-S101), and digital hall tickets.</w:t>
      </w:r>
    </w:p>
    <w:p>
      <w:pPr>
        <w:pStyle w:val="ListBullet"/>
        <w:spacing w:after="80"/>
        <w:jc w:val="both"/>
      </w:pPr>
      <w:r>
        <w:rPr>
          <w:rFonts w:ascii="Times New Roman" w:hAnsi="Times New Roman"/>
          <w:sz w:val="23"/>
        </w:rPr>
        <w:t>Smart Presenty: Rolling 30-second token generation and device fingerprint verification to prevent proxy.</w:t>
      </w:r>
    </w:p>
    <w:p>
      <w:pPr>
        <w:spacing w:after="120"/>
        <w:jc w:val="both"/>
      </w:pPr>
      <w:r>
        <w:rPr>
          <w:rFonts w:ascii="Times New Roman" w:hAnsi="Times New Roman"/>
          <w:sz w:val="24"/>
        </w:rPr>
        <w:t>2. Performance Requirements:</w:t>
      </w:r>
    </w:p>
    <w:p>
      <w:pPr>
        <w:pStyle w:val="ListBullet"/>
        <w:spacing w:after="80"/>
        <w:jc w:val="both"/>
      </w:pPr>
      <w:r>
        <w:rPr>
          <w:rFonts w:ascii="Times New Roman" w:hAnsi="Times New Roman"/>
          <w:sz w:val="23"/>
        </w:rPr>
        <w:t>Query Execution Speed: Sub-second response times for all database queries (&lt; 50ms) via indexed SQLite tables.</w:t>
      </w:r>
    </w:p>
    <w:p>
      <w:pPr>
        <w:pStyle w:val="ListBullet"/>
        <w:spacing w:after="80"/>
        <w:jc w:val="both"/>
      </w:pPr>
      <w:r>
        <w:rPr>
          <w:rFonts w:ascii="Times New Roman" w:hAnsi="Times New Roman"/>
          <w:sz w:val="23"/>
        </w:rPr>
        <w:t>Lightweight Resource Consumption: Native Java GUI requiring under 150 MB RAM, suitable for standard college lab PCs.</w:t>
      </w:r>
    </w:p>
    <w:p>
      <w:pPr>
        <w:spacing w:after="120"/>
        <w:jc w:val="both"/>
      </w:pPr>
      <w:r>
        <w:rPr>
          <w:rFonts w:ascii="Times New Roman" w:hAnsi="Times New Roman"/>
          <w:sz w:val="24"/>
        </w:rPr>
        <w:t>3. Security Requirements:</w:t>
      </w:r>
    </w:p>
    <w:p>
      <w:pPr>
        <w:pStyle w:val="ListBullet"/>
        <w:spacing w:after="80"/>
        <w:jc w:val="both"/>
      </w:pPr>
      <w:r>
        <w:rPr>
          <w:rFonts w:ascii="Times New Roman" w:hAnsi="Times New Roman"/>
          <w:sz w:val="23"/>
        </w:rPr>
        <w:t>Role-Based Access Control: Unauthorized roles cannot access administrative or librarian panels.</w:t>
      </w:r>
    </w:p>
    <w:p>
      <w:pPr>
        <w:pStyle w:val="ListBullet"/>
        <w:spacing w:after="80"/>
        <w:jc w:val="both"/>
      </w:pPr>
      <w:r>
        <w:rPr>
          <w:rFonts w:ascii="Times New Roman" w:hAnsi="Times New Roman"/>
          <w:sz w:val="23"/>
        </w:rPr>
        <w:t>Hardware Binding: Enforces 1 physical smartphone to 1 registered roll number, preventing multi-student sign-ins.</w:t>
      </w:r>
    </w:p>
    <w:p>
      <w:r>
        <w:br w:type="page"/>
      </w:r>
    </w:p>
    <w:p>
      <w:pPr>
        <w:spacing w:before="120" w:after="240"/>
        <w:jc w:val="left"/>
      </w:pPr>
      <w:r>
        <w:rPr>
          <w:rFonts w:ascii="Times New Roman" w:hAnsi="Times New Roman"/>
          <w:b/>
          <w:sz w:val="32"/>
        </w:rPr>
        <w:t>4. System Design</w:t>
      </w:r>
    </w:p>
    <w:p>
      <w:pPr>
        <w:spacing w:before="200" w:after="80"/>
        <w:jc w:val="left"/>
      </w:pPr>
      <w:r>
        <w:rPr>
          <w:rFonts w:ascii="Times New Roman" w:hAnsi="Times New Roman"/>
          <w:b/>
          <w:sz w:val="26"/>
        </w:rPr>
        <w:t>4.1 Design Constraints</w:t>
      </w:r>
    </w:p>
    <w:p>
      <w:pPr>
        <w:spacing w:after="120"/>
        <w:jc w:val="both"/>
      </w:pPr>
      <w:r>
        <w:rPr>
          <w:rFonts w:ascii="Times New Roman" w:hAnsi="Times New Roman"/>
          <w:sz w:val="24"/>
        </w:rPr>
        <w:t>The system is designed with specific operational constraints to ensure maximum reliability in educational laboratories:</w:t>
      </w:r>
    </w:p>
    <w:p>
      <w:pPr>
        <w:pStyle w:val="ListBullet"/>
        <w:spacing w:after="80"/>
        <w:jc w:val="both"/>
      </w:pPr>
      <w:r>
        <w:rPr>
          <w:rFonts w:ascii="Times New Roman" w:hAnsi="Times New Roman"/>
          <w:sz w:val="23"/>
        </w:rPr>
        <w:t>Zero External Server Setup: Must run self-contained on Windows/Linux without requiring XAMPP, MySQL Server, or Docker.</w:t>
      </w:r>
    </w:p>
    <w:p>
      <w:pPr>
        <w:pStyle w:val="ListBullet"/>
        <w:spacing w:after="80"/>
        <w:jc w:val="both"/>
      </w:pPr>
      <w:r>
        <w:rPr>
          <w:rFonts w:ascii="Times New Roman" w:hAnsi="Times New Roman"/>
          <w:sz w:val="23"/>
        </w:rPr>
        <w:t>Campus Intranet Operation: Mobile student attendance operates over the local Wi-Fi router without requiring active external internet access.</w:t>
      </w:r>
    </w:p>
    <w:p>
      <w:pPr>
        <w:pStyle w:val="ListBullet"/>
        <w:spacing w:after="80"/>
        <w:jc w:val="both"/>
      </w:pPr>
      <w:r>
        <w:rPr>
          <w:rFonts w:ascii="Times New Roman" w:hAnsi="Times New Roman"/>
          <w:sz w:val="23"/>
        </w:rPr>
        <w:t>Role Separation: Timetable faculty assignment must strictly come from registered users with TEACHER, HOD, or ADMIN roles.</w:t>
      </w:r>
    </w:p>
    <w:p>
      <w:pPr>
        <w:spacing w:before="200" w:after="80"/>
        <w:jc w:val="left"/>
      </w:pPr>
      <w:r>
        <w:rPr>
          <w:rFonts w:ascii="Times New Roman" w:hAnsi="Times New Roman"/>
          <w:b/>
          <w:sz w:val="26"/>
        </w:rPr>
        <w:t>4.2 System Model: ERD &amp; DFD (Context Level)</w:t>
      </w:r>
    </w:p>
    <w:p>
      <w:pPr>
        <w:spacing w:after="120"/>
        <w:jc w:val="both"/>
      </w:pPr>
      <w:r>
        <w:rPr>
          <w:rFonts w:ascii="Times New Roman" w:hAnsi="Times New Roman"/>
          <w:sz w:val="24"/>
        </w:rPr>
        <w:t>The Entity-Relationship Diagram (ERD) defines the core database entities and relational associations across NextCampus:</w:t>
      </w:r>
    </w:p>
    <w:p>
      <w:pPr>
        <w:spacing w:before="120" w:after="80"/>
        <w:jc w:val="center"/>
      </w:pPr>
      <w:r>
        <w:drawing>
          <wp:inline xmlns:a="http://schemas.openxmlformats.org/drawingml/2006/main" xmlns:pic="http://schemas.openxmlformats.org/drawingml/2006/picture">
            <wp:extent cx="5029200" cy="2514600"/>
            <wp:docPr id="3" name="Picture 3"/>
            <wp:cNvGraphicFramePr>
              <a:graphicFrameLocks noChangeAspect="1"/>
            </wp:cNvGraphicFramePr>
            <a:graphic>
              <a:graphicData uri="http://schemas.openxmlformats.org/drawingml/2006/picture">
                <pic:pic>
                  <pic:nvPicPr>
                    <pic:cNvPr id="0" name="erd_diagram.png"/>
                    <pic:cNvPicPr/>
                  </pic:nvPicPr>
                  <pic:blipFill>
                    <a:blip r:embed="rId10"/>
                    <a:stretch>
                      <a:fillRect/>
                    </a:stretch>
                  </pic:blipFill>
                  <pic:spPr>
                    <a:xfrm>
                      <a:off x="0" y="0"/>
                      <a:ext cx="5029200" cy="2514600"/>
                    </a:xfrm>
                    <a:prstGeom prst="rect"/>
                  </pic:spPr>
                </pic:pic>
              </a:graphicData>
            </a:graphic>
          </wp:inline>
        </w:drawing>
      </w:r>
    </w:p>
    <w:p>
      <w:pPr>
        <w:jc w:val="center"/>
      </w:pPr>
      <w:r>
        <w:rPr>
          <w:b/>
          <w:sz w:val="21"/>
        </w:rPr>
        <w:t>Figure 4.1: Entity-Relationship Diagram (ERD) of NextCampus</w:t>
      </w:r>
    </w:p>
    <w:p>
      <w:pPr>
        <w:spacing w:after="120"/>
        <w:jc w:val="both"/>
      </w:pPr>
      <w:r>
        <w:rPr>
          <w:rFonts w:ascii="Times New Roman" w:hAnsi="Times New Roman"/>
          <w:sz w:val="24"/>
        </w:rPr>
        <w:t>The Data Flow Diagram (DFD Context Level &amp; Level 1) below demonstrates information flow between Students, Faculty, Librarians, and the Database Engine:</w:t>
      </w:r>
    </w:p>
    <w:p>
      <w:pPr>
        <w:spacing w:before="120" w:after="80"/>
        <w:jc w:val="center"/>
      </w:pPr>
      <w:r>
        <w:drawing>
          <wp:inline xmlns:a="http://schemas.openxmlformats.org/drawingml/2006/main" xmlns:pic="http://schemas.openxmlformats.org/drawingml/2006/picture">
            <wp:extent cx="5029200" cy="2514600"/>
            <wp:docPr id="4" name="Picture 4"/>
            <wp:cNvGraphicFramePr>
              <a:graphicFrameLocks noChangeAspect="1"/>
            </wp:cNvGraphicFramePr>
            <a:graphic>
              <a:graphicData uri="http://schemas.openxmlformats.org/drawingml/2006/picture">
                <pic:pic>
                  <pic:nvPicPr>
                    <pic:cNvPr id="0" name="dfd_diagram.png"/>
                    <pic:cNvPicPr/>
                  </pic:nvPicPr>
                  <pic:blipFill>
                    <a:blip r:embed="rId11"/>
                    <a:stretch>
                      <a:fillRect/>
                    </a:stretch>
                  </pic:blipFill>
                  <pic:spPr>
                    <a:xfrm>
                      <a:off x="0" y="0"/>
                      <a:ext cx="5029200" cy="2514600"/>
                    </a:xfrm>
                    <a:prstGeom prst="rect"/>
                  </pic:spPr>
                </pic:pic>
              </a:graphicData>
            </a:graphic>
          </wp:inline>
        </w:drawing>
      </w:r>
    </w:p>
    <w:p>
      <w:pPr>
        <w:jc w:val="center"/>
      </w:pPr>
      <w:r>
        <w:rPr>
          <w:b/>
          <w:sz w:val="21"/>
        </w:rPr>
        <w:t>Figure 4.2: Data Flow Diagram (DFD Context Level &amp; Level 1)</w:t>
      </w:r>
    </w:p>
    <w:p>
      <w:pPr>
        <w:spacing w:before="200" w:after="80"/>
        <w:jc w:val="left"/>
      </w:pPr>
      <w:r>
        <w:rPr>
          <w:rFonts w:ascii="Times New Roman" w:hAnsi="Times New Roman"/>
          <w:b/>
          <w:sz w:val="26"/>
        </w:rPr>
        <w:t>4.3 Data Model (Database Schema &amp; Tables)</w:t>
      </w:r>
    </w:p>
    <w:p>
      <w:pPr>
        <w:spacing w:after="120"/>
        <w:jc w:val="both"/>
      </w:pPr>
      <w:r>
        <w:rPr>
          <w:rFonts w:ascii="Times New Roman" w:hAnsi="Times New Roman"/>
          <w:sz w:val="24"/>
        </w:rPr>
        <w:t>The database is structured in SQLite (college_sms.db) with 8 primary relational tables:</w:t>
      </w:r>
    </w:p>
    <w:p>
      <w:pPr>
        <w:pStyle w:val="ListBullet"/>
        <w:spacing w:after="80"/>
        <w:jc w:val="both"/>
      </w:pPr>
      <w:r>
        <w:rPr>
          <w:rFonts w:ascii="Times New Roman" w:hAnsi="Times New Roman"/>
          <w:sz w:val="23"/>
        </w:rPr>
        <w:t>Table 'users': user_id (PK), username, password_hash, full_name, role (HOD/TEACHER/LIBRARIAN/STUDENT)</w:t>
      </w:r>
    </w:p>
    <w:p>
      <w:pPr>
        <w:pStyle w:val="ListBullet"/>
        <w:spacing w:after="80"/>
        <w:jc w:val="both"/>
      </w:pPr>
      <w:r>
        <w:rPr>
          <w:rFonts w:ascii="Times New Roman" w:hAnsi="Times New Roman"/>
          <w:sz w:val="23"/>
        </w:rPr>
        <w:t>Table 'students': student_id (PK), roll_no (UNIQUE), name, class_name, email, phone, created_at</w:t>
      </w:r>
    </w:p>
    <w:p>
      <w:pPr>
        <w:pStyle w:val="ListBullet"/>
        <w:spacing w:after="80"/>
        <w:jc w:val="both"/>
      </w:pPr>
      <w:r>
        <w:rPr>
          <w:rFonts w:ascii="Times New Roman" w:hAnsi="Times New Roman"/>
          <w:sz w:val="23"/>
        </w:rPr>
        <w:t>Table 'books': book_id (PK), isbn (UNIQUE), title, author, category, total_copies, available_copies</w:t>
      </w:r>
    </w:p>
    <w:p>
      <w:pPr>
        <w:pStyle w:val="ListBullet"/>
        <w:spacing w:after="80"/>
        <w:jc w:val="both"/>
      </w:pPr>
      <w:r>
        <w:rPr>
          <w:rFonts w:ascii="Times New Roman" w:hAnsi="Times New Roman"/>
          <w:sz w:val="23"/>
        </w:rPr>
        <w:t>Table 'book_issues': issue_id (PK), book_id (FK), student_id (FK), issue_date, due_date, return_date, fine_amount, status</w:t>
      </w:r>
    </w:p>
    <w:p>
      <w:pPr>
        <w:pStyle w:val="ListBullet"/>
        <w:spacing w:after="80"/>
        <w:jc w:val="both"/>
      </w:pPr>
      <w:r>
        <w:rPr>
          <w:rFonts w:ascii="Times New Roman" w:hAnsi="Times New Roman"/>
          <w:sz w:val="23"/>
        </w:rPr>
        <w:t>Table 'exams': exam_id (PK), exam_name, semester, academic_year, exam_date, is_active</w:t>
      </w:r>
    </w:p>
    <w:p>
      <w:pPr>
        <w:pStyle w:val="ListBullet"/>
        <w:spacing w:after="80"/>
        <w:jc w:val="both"/>
      </w:pPr>
      <w:r>
        <w:rPr>
          <w:rFonts w:ascii="Times New Roman" w:hAnsi="Times New Roman"/>
          <w:sz w:val="23"/>
        </w:rPr>
        <w:t>Table 'exam_enrollments': enrollment_id (PK), exam_id (FK), student_id (FK), seat_number, form_status, hall_ticket_status</w:t>
      </w:r>
    </w:p>
    <w:p>
      <w:pPr>
        <w:pStyle w:val="ListBullet"/>
        <w:spacing w:after="80"/>
        <w:jc w:val="both"/>
      </w:pPr>
      <w:r>
        <w:rPr>
          <w:rFonts w:ascii="Times New Roman" w:hAnsi="Times New Roman"/>
          <w:sz w:val="23"/>
        </w:rPr>
        <w:t>Table 'attendance_sessions': session_id (PK), teacher_id (FK), subject, classroom, token_secret, created_at</w:t>
      </w:r>
    </w:p>
    <w:p>
      <w:pPr>
        <w:pStyle w:val="ListBullet"/>
        <w:spacing w:after="80"/>
        <w:jc w:val="both"/>
      </w:pPr>
      <w:r>
        <w:rPr>
          <w:rFonts w:ascii="Times New Roman" w:hAnsi="Times New Roman"/>
          <w:sz w:val="23"/>
        </w:rPr>
        <w:t>Table 'attendance_records': record_id (PK), session_id (FK), student_id (FK), roll_no, marked_at, device_fingerprint</w:t>
      </w:r>
    </w:p>
    <w:p>
      <w:pPr>
        <w:spacing w:before="200" w:after="80"/>
        <w:jc w:val="left"/>
      </w:pPr>
      <w:r>
        <w:rPr>
          <w:rFonts w:ascii="Times New Roman" w:hAnsi="Times New Roman"/>
          <w:b/>
          <w:sz w:val="26"/>
        </w:rPr>
        <w:t>4.4 User Interface Design</w:t>
      </w:r>
    </w:p>
    <w:p>
      <w:pPr>
        <w:spacing w:after="120"/>
        <w:jc w:val="both"/>
      </w:pPr>
      <w:r>
        <w:rPr>
          <w:rFonts w:ascii="Times New Roman" w:hAnsi="Times New Roman"/>
          <w:sz w:val="24"/>
        </w:rPr>
        <w:t>The user interface follows modern human-interface design principles, featuring dynamic role-based menus, one-click demo login credentials for viva assessment, and dynamic Light/Dark slate themes to minimize eye fatigue in computer labs.</w:t>
      </w:r>
    </w:p>
    <w:p>
      <w:r>
        <w:br w:type="page"/>
      </w:r>
    </w:p>
    <w:p>
      <w:pPr>
        <w:spacing w:before="120" w:after="240"/>
        <w:jc w:val="left"/>
      </w:pPr>
      <w:r>
        <w:rPr>
          <w:rFonts w:ascii="Times New Roman" w:hAnsi="Times New Roman"/>
          <w:b/>
          <w:sz w:val="32"/>
        </w:rPr>
        <w:t>5. Implementation Details</w:t>
      </w:r>
    </w:p>
    <w:p>
      <w:pPr>
        <w:spacing w:before="200" w:after="80"/>
        <w:jc w:val="left"/>
      </w:pPr>
      <w:r>
        <w:rPr>
          <w:rFonts w:ascii="Times New Roman" w:hAnsi="Times New Roman"/>
          <w:b/>
          <w:sz w:val="26"/>
        </w:rPr>
        <w:t>5.1 Software / Hardware Specifications</w:t>
      </w:r>
    </w:p>
    <w:p>
      <w:pPr>
        <w:spacing w:after="120"/>
        <w:jc w:val="both"/>
      </w:pPr>
      <w:r>
        <w:rPr>
          <w:rFonts w:ascii="Times New Roman" w:hAnsi="Times New Roman"/>
          <w:sz w:val="24"/>
        </w:rPr>
        <w:t>1. Hardware Specifications:</w:t>
      </w:r>
    </w:p>
    <w:tbl>
      <w:tblPr>
        <w:tblW w:type="auto" w:w="0"/>
        <w:jc w:val="center"/>
        <w:tblLook w:firstColumn="1" w:firstRow="1" w:lastColumn="0" w:lastRow="0" w:noHBand="0" w:noVBand="1" w:val="04A0"/>
      </w:tblPr>
      <w:tblGrid>
        <w:gridCol w:w="2890"/>
        <w:gridCol w:w="2890"/>
        <w:gridCol w:w="2890"/>
      </w:tblGrid>
      <w:tr>
        <w:tc>
          <w:tcPr>
            <w:tcW w:type="dxa" w:w="2592"/>
            <w:tcBorders>
              <w:top w:val="single" w:sz="4" w:space="0" w:color="000000"/>
              <w:left w:val="single" w:sz="4" w:space="0" w:color="000000"/>
              <w:bottom w:val="single" w:sz="4" w:space="0" w:color="000000"/>
              <w:right w:val="single" w:sz="4" w:space="0" w:color="000000"/>
            </w:tcBorders>
            <w:shd w:fill="F1F5F9"/>
          </w:tcPr>
          <w:p>
            <w:r>
              <w:rPr>
                <w:b/>
              </w:rPr>
              <w:t>Component</w:t>
            </w:r>
          </w:p>
        </w:tc>
        <w:tc>
          <w:tcPr>
            <w:tcW w:type="dxa" w:w="3168"/>
            <w:tcBorders>
              <w:top w:val="single" w:sz="4" w:space="0" w:color="000000"/>
              <w:left w:val="single" w:sz="4" w:space="0" w:color="000000"/>
              <w:bottom w:val="single" w:sz="4" w:space="0" w:color="000000"/>
              <w:right w:val="single" w:sz="4" w:space="0" w:color="000000"/>
            </w:tcBorders>
            <w:shd w:fill="F1F5F9"/>
          </w:tcPr>
          <w:p>
            <w:r>
              <w:rPr>
                <w:b/>
              </w:rPr>
              <w:t>Minimum Specification</w:t>
            </w:r>
          </w:p>
        </w:tc>
        <w:tc>
          <w:tcPr>
            <w:tcW w:type="dxa" w:w="3312"/>
            <w:tcBorders>
              <w:top w:val="single" w:sz="4" w:space="0" w:color="000000"/>
              <w:left w:val="single" w:sz="4" w:space="0" w:color="000000"/>
              <w:bottom w:val="single" w:sz="4" w:space="0" w:color="000000"/>
              <w:right w:val="single" w:sz="4" w:space="0" w:color="000000"/>
            </w:tcBorders>
            <w:shd w:fill="F1F5F9"/>
          </w:tcPr>
          <w:p>
            <w:r>
              <w:rPr>
                <w:b/>
              </w:rPr>
              <w:t>Recommended Specification</w:t>
            </w:r>
          </w:p>
        </w:tc>
      </w:tr>
      <w:tr>
        <w:tc>
          <w:tcPr>
            <w:tcW w:type="dxa" w:w="2592"/>
            <w:tcBorders>
              <w:top w:val="single" w:sz="4" w:space="0" w:color="000000"/>
              <w:left w:val="single" w:sz="4" w:space="0" w:color="000000"/>
              <w:bottom w:val="single" w:sz="4" w:space="0" w:color="000000"/>
              <w:right w:val="single" w:sz="4" w:space="0" w:color="000000"/>
            </w:tcBorders>
          </w:tcPr>
          <w:p>
            <w:r>
              <w:rPr>
                <w:b/>
                <w:sz w:val="20"/>
              </w:rPr>
              <w:t>Processor</w:t>
            </w:r>
          </w:p>
        </w:tc>
        <w:tc>
          <w:tcPr>
            <w:tcW w:type="dxa" w:w="3168"/>
            <w:tcBorders>
              <w:top w:val="single" w:sz="4" w:space="0" w:color="000000"/>
              <w:left w:val="single" w:sz="4" w:space="0" w:color="000000"/>
              <w:bottom w:val="single" w:sz="4" w:space="0" w:color="000000"/>
              <w:right w:val="single" w:sz="4" w:space="0" w:color="000000"/>
            </w:tcBorders>
          </w:tcPr>
          <w:p>
            <w:r>
              <w:rPr>
                <w:sz w:val="20"/>
              </w:rPr>
              <w:t>Intel Core i3 (2.0 GHz) or equivalent</w:t>
            </w:r>
          </w:p>
        </w:tc>
        <w:tc>
          <w:tcPr>
            <w:tcW w:type="dxa" w:w="3312"/>
            <w:tcBorders>
              <w:top w:val="single" w:sz="4" w:space="0" w:color="000000"/>
              <w:left w:val="single" w:sz="4" w:space="0" w:color="000000"/>
              <w:bottom w:val="single" w:sz="4" w:space="0" w:color="000000"/>
              <w:right w:val="single" w:sz="4" w:space="0" w:color="000000"/>
            </w:tcBorders>
          </w:tcPr>
          <w:p>
            <w:r>
              <w:rPr>
                <w:sz w:val="20"/>
              </w:rPr>
              <w:t>Intel Core i5 / AMD Ryzen 5 or higher</w:t>
            </w:r>
          </w:p>
        </w:tc>
      </w:tr>
      <w:tr>
        <w:tc>
          <w:tcPr>
            <w:tcW w:type="dxa" w:w="2592"/>
            <w:tcBorders>
              <w:top w:val="single" w:sz="4" w:space="0" w:color="000000"/>
              <w:left w:val="single" w:sz="4" w:space="0" w:color="000000"/>
              <w:bottom w:val="single" w:sz="4" w:space="0" w:color="000000"/>
              <w:right w:val="single" w:sz="4" w:space="0" w:color="000000"/>
            </w:tcBorders>
          </w:tcPr>
          <w:p>
            <w:r>
              <w:rPr>
                <w:b/>
                <w:sz w:val="20"/>
              </w:rPr>
              <w:t>RAM</w:t>
            </w:r>
          </w:p>
        </w:tc>
        <w:tc>
          <w:tcPr>
            <w:tcW w:type="dxa" w:w="3168"/>
            <w:tcBorders>
              <w:top w:val="single" w:sz="4" w:space="0" w:color="000000"/>
              <w:left w:val="single" w:sz="4" w:space="0" w:color="000000"/>
              <w:bottom w:val="single" w:sz="4" w:space="0" w:color="000000"/>
              <w:right w:val="single" w:sz="4" w:space="0" w:color="000000"/>
            </w:tcBorders>
          </w:tcPr>
          <w:p>
            <w:r>
              <w:rPr>
                <w:sz w:val="20"/>
              </w:rPr>
              <w:t>4 GB DDR3/DDR4</w:t>
            </w:r>
          </w:p>
        </w:tc>
        <w:tc>
          <w:tcPr>
            <w:tcW w:type="dxa" w:w="3312"/>
            <w:tcBorders>
              <w:top w:val="single" w:sz="4" w:space="0" w:color="000000"/>
              <w:left w:val="single" w:sz="4" w:space="0" w:color="000000"/>
              <w:bottom w:val="single" w:sz="4" w:space="0" w:color="000000"/>
              <w:right w:val="single" w:sz="4" w:space="0" w:color="000000"/>
            </w:tcBorders>
          </w:tcPr>
          <w:p>
            <w:r>
              <w:rPr>
                <w:sz w:val="20"/>
              </w:rPr>
              <w:t>8 GB DDR4 or more</w:t>
            </w:r>
          </w:p>
        </w:tc>
      </w:tr>
      <w:tr>
        <w:tc>
          <w:tcPr>
            <w:tcW w:type="dxa" w:w="2592"/>
            <w:tcBorders>
              <w:top w:val="single" w:sz="4" w:space="0" w:color="000000"/>
              <w:left w:val="single" w:sz="4" w:space="0" w:color="000000"/>
              <w:bottom w:val="single" w:sz="4" w:space="0" w:color="000000"/>
              <w:right w:val="single" w:sz="4" w:space="0" w:color="000000"/>
            </w:tcBorders>
          </w:tcPr>
          <w:p>
            <w:r>
              <w:rPr>
                <w:b/>
                <w:sz w:val="20"/>
              </w:rPr>
              <w:t>Hard Disk</w:t>
            </w:r>
          </w:p>
        </w:tc>
        <w:tc>
          <w:tcPr>
            <w:tcW w:type="dxa" w:w="3168"/>
            <w:tcBorders>
              <w:top w:val="single" w:sz="4" w:space="0" w:color="000000"/>
              <w:left w:val="single" w:sz="4" w:space="0" w:color="000000"/>
              <w:bottom w:val="single" w:sz="4" w:space="0" w:color="000000"/>
              <w:right w:val="single" w:sz="4" w:space="0" w:color="000000"/>
            </w:tcBorders>
          </w:tcPr>
          <w:p>
            <w:r>
              <w:rPr>
                <w:sz w:val="20"/>
              </w:rPr>
              <w:t>250 GB HDD (500 MB free space)</w:t>
            </w:r>
          </w:p>
        </w:tc>
        <w:tc>
          <w:tcPr>
            <w:tcW w:type="dxa" w:w="3312"/>
            <w:tcBorders>
              <w:top w:val="single" w:sz="4" w:space="0" w:color="000000"/>
              <w:left w:val="single" w:sz="4" w:space="0" w:color="000000"/>
              <w:bottom w:val="single" w:sz="4" w:space="0" w:color="000000"/>
              <w:right w:val="single" w:sz="4" w:space="0" w:color="000000"/>
            </w:tcBorders>
          </w:tcPr>
          <w:p>
            <w:r>
              <w:rPr>
                <w:sz w:val="20"/>
              </w:rPr>
              <w:t>512 GB NVMe SSD</w:t>
            </w:r>
          </w:p>
        </w:tc>
      </w:tr>
      <w:tr>
        <w:tc>
          <w:tcPr>
            <w:tcW w:type="dxa" w:w="2592"/>
            <w:tcBorders>
              <w:top w:val="single" w:sz="4" w:space="0" w:color="000000"/>
              <w:left w:val="single" w:sz="4" w:space="0" w:color="000000"/>
              <w:bottom w:val="single" w:sz="4" w:space="0" w:color="000000"/>
              <w:right w:val="single" w:sz="4" w:space="0" w:color="000000"/>
            </w:tcBorders>
          </w:tcPr>
          <w:p>
            <w:r>
              <w:rPr>
                <w:b/>
                <w:sz w:val="20"/>
              </w:rPr>
              <w:t>Display</w:t>
            </w:r>
          </w:p>
        </w:tc>
        <w:tc>
          <w:tcPr>
            <w:tcW w:type="dxa" w:w="3168"/>
            <w:tcBorders>
              <w:top w:val="single" w:sz="4" w:space="0" w:color="000000"/>
              <w:left w:val="single" w:sz="4" w:space="0" w:color="000000"/>
              <w:bottom w:val="single" w:sz="4" w:space="0" w:color="000000"/>
              <w:right w:val="single" w:sz="4" w:space="0" w:color="000000"/>
            </w:tcBorders>
          </w:tcPr>
          <w:p>
            <w:r>
              <w:rPr>
                <w:sz w:val="20"/>
              </w:rPr>
              <w:t>1366 x 768 Screen Resolution</w:t>
            </w:r>
          </w:p>
        </w:tc>
        <w:tc>
          <w:tcPr>
            <w:tcW w:type="dxa" w:w="3312"/>
            <w:tcBorders>
              <w:top w:val="single" w:sz="4" w:space="0" w:color="000000"/>
              <w:left w:val="single" w:sz="4" w:space="0" w:color="000000"/>
              <w:bottom w:val="single" w:sz="4" w:space="0" w:color="000000"/>
              <w:right w:val="single" w:sz="4" w:space="0" w:color="000000"/>
            </w:tcBorders>
          </w:tcPr>
          <w:p>
            <w:r>
              <w:rPr>
                <w:sz w:val="20"/>
              </w:rPr>
              <w:t>1920 x 1080 Full HD IPS Display</w:t>
            </w:r>
          </w:p>
        </w:tc>
      </w:tr>
    </w:tbl>
    <w:p>
      <w:pPr>
        <w:spacing w:after="120"/>
        <w:jc w:val="both"/>
      </w:pPr>
      <w:r>
        <w:rPr>
          <w:rFonts w:ascii="Times New Roman" w:hAnsi="Times New Roman"/>
          <w:sz w:val="24"/>
        </w:rPr>
        <w:br/>
        <w:t>2. Software Specifications:</w:t>
      </w:r>
    </w:p>
    <w:tbl>
      <w:tblPr>
        <w:tblW w:type="auto" w:w="0"/>
        <w:jc w:val="center"/>
        <w:tblLook w:firstColumn="1" w:firstRow="1" w:lastColumn="0" w:lastRow="0" w:noHBand="0" w:noVBand="1" w:val="04A0"/>
      </w:tblPr>
      <w:tblGrid>
        <w:gridCol w:w="2890"/>
        <w:gridCol w:w="2890"/>
        <w:gridCol w:w="2890"/>
      </w:tblGrid>
      <w:tr>
        <w:tc>
          <w:tcPr>
            <w:tcW w:type="dxa" w:w="2592"/>
            <w:tcBorders>
              <w:top w:val="single" w:sz="4" w:space="0" w:color="000000"/>
              <w:left w:val="single" w:sz="4" w:space="0" w:color="000000"/>
              <w:bottom w:val="single" w:sz="4" w:space="0" w:color="000000"/>
              <w:right w:val="single" w:sz="4" w:space="0" w:color="000000"/>
            </w:tcBorders>
            <w:shd w:fill="F1F5F9"/>
          </w:tcPr>
          <w:p>
            <w:r>
              <w:rPr>
                <w:b/>
              </w:rPr>
              <w:t>Category</w:t>
            </w:r>
          </w:p>
        </w:tc>
        <w:tc>
          <w:tcPr>
            <w:tcW w:type="dxa" w:w="3168"/>
            <w:tcBorders>
              <w:top w:val="single" w:sz="4" w:space="0" w:color="000000"/>
              <w:left w:val="single" w:sz="4" w:space="0" w:color="000000"/>
              <w:bottom w:val="single" w:sz="4" w:space="0" w:color="000000"/>
              <w:right w:val="single" w:sz="4" w:space="0" w:color="000000"/>
            </w:tcBorders>
            <w:shd w:fill="F1F5F9"/>
          </w:tcPr>
          <w:p>
            <w:r>
              <w:rPr>
                <w:b/>
              </w:rPr>
              <w:t>Software Environment</w:t>
            </w:r>
          </w:p>
        </w:tc>
        <w:tc>
          <w:tcPr>
            <w:tcW w:type="dxa" w:w="3312"/>
            <w:tcBorders>
              <w:top w:val="single" w:sz="4" w:space="0" w:color="000000"/>
              <w:left w:val="single" w:sz="4" w:space="0" w:color="000000"/>
              <w:bottom w:val="single" w:sz="4" w:space="0" w:color="000000"/>
              <w:right w:val="single" w:sz="4" w:space="0" w:color="000000"/>
            </w:tcBorders>
            <w:shd w:fill="F1F5F9"/>
          </w:tcPr>
          <w:p>
            <w:r>
              <w:rPr>
                <w:b/>
              </w:rPr>
              <w:t>Functional Role</w:t>
            </w:r>
          </w:p>
        </w:tc>
      </w:tr>
      <w:tr>
        <w:tc>
          <w:tcPr>
            <w:tcW w:type="dxa" w:w="2592"/>
            <w:tcBorders>
              <w:top w:val="single" w:sz="4" w:space="0" w:color="000000"/>
              <w:left w:val="single" w:sz="4" w:space="0" w:color="000000"/>
              <w:bottom w:val="single" w:sz="4" w:space="0" w:color="000000"/>
              <w:right w:val="single" w:sz="4" w:space="0" w:color="000000"/>
            </w:tcBorders>
          </w:tcPr>
          <w:p>
            <w:r>
              <w:rPr>
                <w:b/>
                <w:sz w:val="20"/>
              </w:rPr>
              <w:t>Operating System</w:t>
            </w:r>
          </w:p>
        </w:tc>
        <w:tc>
          <w:tcPr>
            <w:tcW w:type="dxa" w:w="3168"/>
            <w:tcBorders>
              <w:top w:val="single" w:sz="4" w:space="0" w:color="000000"/>
              <w:left w:val="single" w:sz="4" w:space="0" w:color="000000"/>
              <w:bottom w:val="single" w:sz="4" w:space="0" w:color="000000"/>
              <w:right w:val="single" w:sz="4" w:space="0" w:color="000000"/>
            </w:tcBorders>
          </w:tcPr>
          <w:p>
            <w:r>
              <w:rPr>
                <w:sz w:val="20"/>
              </w:rPr>
              <w:t>Windows 10 / 11, Linux (Ubuntu)</w:t>
            </w:r>
          </w:p>
        </w:tc>
        <w:tc>
          <w:tcPr>
            <w:tcW w:type="dxa" w:w="3312"/>
            <w:tcBorders>
              <w:top w:val="single" w:sz="4" w:space="0" w:color="000000"/>
              <w:left w:val="single" w:sz="4" w:space="0" w:color="000000"/>
              <w:bottom w:val="single" w:sz="4" w:space="0" w:color="000000"/>
              <w:right w:val="single" w:sz="4" w:space="0" w:color="000000"/>
            </w:tcBorders>
          </w:tcPr>
          <w:p>
            <w:r>
              <w:rPr>
                <w:sz w:val="20"/>
              </w:rPr>
              <w:t>Core host execution environment</w:t>
            </w:r>
          </w:p>
        </w:tc>
      </w:tr>
      <w:tr>
        <w:tc>
          <w:tcPr>
            <w:tcW w:type="dxa" w:w="2592"/>
            <w:tcBorders>
              <w:top w:val="single" w:sz="4" w:space="0" w:color="000000"/>
              <w:left w:val="single" w:sz="4" w:space="0" w:color="000000"/>
              <w:bottom w:val="single" w:sz="4" w:space="0" w:color="000000"/>
              <w:right w:val="single" w:sz="4" w:space="0" w:color="000000"/>
            </w:tcBorders>
          </w:tcPr>
          <w:p>
            <w:r>
              <w:rPr>
                <w:b/>
                <w:sz w:val="20"/>
              </w:rPr>
              <w:t>Desktop GUI Runtime</w:t>
            </w:r>
          </w:p>
        </w:tc>
        <w:tc>
          <w:tcPr>
            <w:tcW w:type="dxa" w:w="3168"/>
            <w:tcBorders>
              <w:top w:val="single" w:sz="4" w:space="0" w:color="000000"/>
              <w:left w:val="single" w:sz="4" w:space="0" w:color="000000"/>
              <w:bottom w:val="single" w:sz="4" w:space="0" w:color="000000"/>
              <w:right w:val="single" w:sz="4" w:space="0" w:color="000000"/>
            </w:tcBorders>
          </w:tcPr>
          <w:p>
            <w:r>
              <w:rPr>
                <w:sz w:val="20"/>
              </w:rPr>
              <w:t>Java JDK 17 / 21 (Swing Architecture)</w:t>
            </w:r>
          </w:p>
        </w:tc>
        <w:tc>
          <w:tcPr>
            <w:tcW w:type="dxa" w:w="3312"/>
            <w:tcBorders>
              <w:top w:val="single" w:sz="4" w:space="0" w:color="000000"/>
              <w:left w:val="single" w:sz="4" w:space="0" w:color="000000"/>
              <w:bottom w:val="single" w:sz="4" w:space="0" w:color="000000"/>
              <w:right w:val="single" w:sz="4" w:space="0" w:color="000000"/>
            </w:tcBorders>
          </w:tcPr>
          <w:p>
            <w:r>
              <w:rPr>
                <w:sz w:val="20"/>
              </w:rPr>
              <w:t>High-performance administrative interface</w:t>
            </w:r>
          </w:p>
        </w:tc>
      </w:tr>
      <w:tr>
        <w:tc>
          <w:tcPr>
            <w:tcW w:type="dxa" w:w="2592"/>
            <w:tcBorders>
              <w:top w:val="single" w:sz="4" w:space="0" w:color="000000"/>
              <w:left w:val="single" w:sz="4" w:space="0" w:color="000000"/>
              <w:bottom w:val="single" w:sz="4" w:space="0" w:color="000000"/>
              <w:right w:val="single" w:sz="4" w:space="0" w:color="000000"/>
            </w:tcBorders>
          </w:tcPr>
          <w:p>
            <w:r>
              <w:rPr>
                <w:b/>
                <w:sz w:val="20"/>
              </w:rPr>
              <w:t>Mobile Web Framework</w:t>
            </w:r>
          </w:p>
        </w:tc>
        <w:tc>
          <w:tcPr>
            <w:tcW w:type="dxa" w:w="3168"/>
            <w:tcBorders>
              <w:top w:val="single" w:sz="4" w:space="0" w:color="000000"/>
              <w:left w:val="single" w:sz="4" w:space="0" w:color="000000"/>
              <w:bottom w:val="single" w:sz="4" w:space="0" w:color="000000"/>
              <w:right w:val="single" w:sz="4" w:space="0" w:color="000000"/>
            </w:tcBorders>
          </w:tcPr>
          <w:p>
            <w:r>
              <w:rPr>
                <w:sz w:val="20"/>
              </w:rPr>
              <w:t>Python 3.10+ / Flask Microframework</w:t>
            </w:r>
          </w:p>
        </w:tc>
        <w:tc>
          <w:tcPr>
            <w:tcW w:type="dxa" w:w="3312"/>
            <w:tcBorders>
              <w:top w:val="single" w:sz="4" w:space="0" w:color="000000"/>
              <w:left w:val="single" w:sz="4" w:space="0" w:color="000000"/>
              <w:bottom w:val="single" w:sz="4" w:space="0" w:color="000000"/>
              <w:right w:val="single" w:sz="4" w:space="0" w:color="000000"/>
            </w:tcBorders>
          </w:tcPr>
          <w:p>
            <w:r>
              <w:rPr>
                <w:sz w:val="20"/>
              </w:rPr>
              <w:t>Lightweight student mobile attendance service</w:t>
            </w:r>
          </w:p>
        </w:tc>
      </w:tr>
      <w:tr>
        <w:tc>
          <w:tcPr>
            <w:tcW w:type="dxa" w:w="2592"/>
            <w:tcBorders>
              <w:top w:val="single" w:sz="4" w:space="0" w:color="000000"/>
              <w:left w:val="single" w:sz="4" w:space="0" w:color="000000"/>
              <w:bottom w:val="single" w:sz="4" w:space="0" w:color="000000"/>
              <w:right w:val="single" w:sz="4" w:space="0" w:color="000000"/>
            </w:tcBorders>
          </w:tcPr>
          <w:p>
            <w:r>
              <w:rPr>
                <w:b/>
                <w:sz w:val="20"/>
              </w:rPr>
              <w:t>Database Engine</w:t>
            </w:r>
          </w:p>
        </w:tc>
        <w:tc>
          <w:tcPr>
            <w:tcW w:type="dxa" w:w="3168"/>
            <w:tcBorders>
              <w:top w:val="single" w:sz="4" w:space="0" w:color="000000"/>
              <w:left w:val="single" w:sz="4" w:space="0" w:color="000000"/>
              <w:bottom w:val="single" w:sz="4" w:space="0" w:color="000000"/>
              <w:right w:val="single" w:sz="4" w:space="0" w:color="000000"/>
            </w:tcBorders>
          </w:tcPr>
          <w:p>
            <w:r>
              <w:rPr>
                <w:sz w:val="20"/>
              </w:rPr>
              <w:t>SQLite 3 (college_sms.db)</w:t>
            </w:r>
          </w:p>
        </w:tc>
        <w:tc>
          <w:tcPr>
            <w:tcW w:type="dxa" w:w="3312"/>
            <w:tcBorders>
              <w:top w:val="single" w:sz="4" w:space="0" w:color="000000"/>
              <w:left w:val="single" w:sz="4" w:space="0" w:color="000000"/>
              <w:bottom w:val="single" w:sz="4" w:space="0" w:color="000000"/>
              <w:right w:val="single" w:sz="4" w:space="0" w:color="000000"/>
            </w:tcBorders>
          </w:tcPr>
          <w:p>
            <w:r>
              <w:rPr>
                <w:sz w:val="20"/>
              </w:rPr>
              <w:t>Zero-configuration embedded ACID database</w:t>
            </w:r>
          </w:p>
        </w:tc>
      </w:tr>
      <w:tr>
        <w:tc>
          <w:tcPr>
            <w:tcW w:type="dxa" w:w="2592"/>
            <w:tcBorders>
              <w:top w:val="single" w:sz="4" w:space="0" w:color="000000"/>
              <w:left w:val="single" w:sz="4" w:space="0" w:color="000000"/>
              <w:bottom w:val="single" w:sz="4" w:space="0" w:color="000000"/>
              <w:right w:val="single" w:sz="4" w:space="0" w:color="000000"/>
            </w:tcBorders>
          </w:tcPr>
          <w:p>
            <w:r>
              <w:rPr>
                <w:b/>
                <w:sz w:val="20"/>
              </w:rPr>
              <w:t>Development Tools</w:t>
            </w:r>
          </w:p>
        </w:tc>
        <w:tc>
          <w:tcPr>
            <w:tcW w:type="dxa" w:w="3168"/>
            <w:tcBorders>
              <w:top w:val="single" w:sz="4" w:space="0" w:color="000000"/>
              <w:left w:val="single" w:sz="4" w:space="0" w:color="000000"/>
              <w:bottom w:val="single" w:sz="4" w:space="0" w:color="000000"/>
              <w:right w:val="single" w:sz="4" w:space="0" w:color="000000"/>
            </w:tcBorders>
          </w:tcPr>
          <w:p>
            <w:r>
              <w:rPr>
                <w:sz w:val="20"/>
              </w:rPr>
              <w:t>VS Code / IntelliJ IDEA / javac, pip</w:t>
            </w:r>
          </w:p>
        </w:tc>
        <w:tc>
          <w:tcPr>
            <w:tcW w:type="dxa" w:w="3312"/>
            <w:tcBorders>
              <w:top w:val="single" w:sz="4" w:space="0" w:color="000000"/>
              <w:left w:val="single" w:sz="4" w:space="0" w:color="000000"/>
              <w:bottom w:val="single" w:sz="4" w:space="0" w:color="000000"/>
              <w:right w:val="single" w:sz="4" w:space="0" w:color="000000"/>
            </w:tcBorders>
          </w:tcPr>
          <w:p>
            <w:r>
              <w:rPr>
                <w:sz w:val="20"/>
              </w:rPr>
              <w:t>Integrated development and build toolchain</w:t>
            </w:r>
          </w:p>
        </w:tc>
      </w:tr>
    </w:tbl>
    <w:p>
      <w:r>
        <w:br w:type="page"/>
      </w:r>
    </w:p>
    <w:p>
      <w:pPr>
        <w:spacing w:before="120" w:after="240"/>
        <w:jc w:val="left"/>
      </w:pPr>
      <w:r>
        <w:rPr>
          <w:rFonts w:ascii="Times New Roman" w:hAnsi="Times New Roman"/>
          <w:b/>
          <w:sz w:val="32"/>
        </w:rPr>
        <w:t>6. System Outputs and Validation</w:t>
      </w:r>
    </w:p>
    <w:p>
      <w:pPr>
        <w:spacing w:before="200" w:after="80"/>
        <w:jc w:val="left"/>
      </w:pPr>
      <w:r>
        <w:rPr>
          <w:rFonts w:ascii="Times New Roman" w:hAnsi="Times New Roman"/>
          <w:b/>
          <w:sz w:val="26"/>
        </w:rPr>
        <w:t>6.1 Output Screen</w:t>
      </w:r>
    </w:p>
    <w:p>
      <w:pPr>
        <w:spacing w:after="120"/>
        <w:jc w:val="both"/>
      </w:pPr>
      <w:r>
        <w:rPr>
          <w:rFonts w:ascii="Times New Roman" w:hAnsi="Times New Roman"/>
          <w:sz w:val="24"/>
        </w:rPr>
        <w:t>The following screenshots depict the primary operational interfaces and verified outputs generated by NextCampus:</w:t>
      </w:r>
    </w:p>
    <w:p>
      <w:pPr>
        <w:spacing w:after="120"/>
        <w:jc w:val="both"/>
      </w:pPr>
      <w:r>
        <w:rPr>
          <w:rFonts w:ascii="Times New Roman" w:hAnsi="Times New Roman"/>
          <w:sz w:val="24"/>
        </w:rPr>
        <w:t>Screen 1: Multi-Role Login Interface with Dynamic Theme Engine:</w:t>
      </w:r>
    </w:p>
    <w:p>
      <w:pPr>
        <w:spacing w:after="240"/>
        <w:jc w:val="center"/>
      </w:pPr>
      <w:r>
        <w:drawing>
          <wp:inline xmlns:a="http://schemas.openxmlformats.org/drawingml/2006/main" xmlns:pic="http://schemas.openxmlformats.org/drawingml/2006/picture">
            <wp:extent cx="4937760" cy="2844579"/>
            <wp:docPr id="5" name="Picture 5"/>
            <wp:cNvGraphicFramePr>
              <a:graphicFrameLocks noChangeAspect="1"/>
            </wp:cNvGraphicFramePr>
            <a:graphic>
              <a:graphicData uri="http://schemas.openxmlformats.org/drawingml/2006/picture">
                <pic:pic>
                  <pic:nvPicPr>
                    <pic:cNvPr id="0" name="screen1_login.png"/>
                    <pic:cNvPicPr/>
                  </pic:nvPicPr>
                  <pic:blipFill>
                    <a:blip r:embed="rId12"/>
                    <a:stretch>
                      <a:fillRect/>
                    </a:stretch>
                  </pic:blipFill>
                  <pic:spPr>
                    <a:xfrm>
                      <a:off x="0" y="0"/>
                      <a:ext cx="4937760" cy="2844579"/>
                    </a:xfrm>
                    <a:prstGeom prst="rect"/>
                  </pic:spPr>
                </pic:pic>
              </a:graphicData>
            </a:graphic>
          </wp:inline>
        </w:drawing>
      </w:r>
    </w:p>
    <w:p>
      <w:pPr>
        <w:spacing w:after="120"/>
        <w:jc w:val="both"/>
      </w:pPr>
      <w:r>
        <w:rPr>
          <w:rFonts w:ascii="Times New Roman" w:hAnsi="Times New Roman"/>
          <w:sz w:val="24"/>
        </w:rPr>
        <w:t>Screen 2: Student Academic Portal with Internal Exam Enrollment &amp; Seat Allocation:</w:t>
      </w:r>
    </w:p>
    <w:p>
      <w:pPr>
        <w:spacing w:after="240"/>
        <w:jc w:val="center"/>
      </w:pPr>
      <w:r>
        <w:drawing>
          <wp:inline xmlns:a="http://schemas.openxmlformats.org/drawingml/2006/main" xmlns:pic="http://schemas.openxmlformats.org/drawingml/2006/picture">
            <wp:extent cx="4937760" cy="2844579"/>
            <wp:docPr id="6" name="Picture 6"/>
            <wp:cNvGraphicFramePr>
              <a:graphicFrameLocks noChangeAspect="1"/>
            </wp:cNvGraphicFramePr>
            <a:graphic>
              <a:graphicData uri="http://schemas.openxmlformats.org/drawingml/2006/picture">
                <pic:pic>
                  <pic:nvPicPr>
                    <pic:cNvPr id="0" name="screen2_student_exam.png"/>
                    <pic:cNvPicPr/>
                  </pic:nvPicPr>
                  <pic:blipFill>
                    <a:blip r:embed="rId13"/>
                    <a:stretch>
                      <a:fillRect/>
                    </a:stretch>
                  </pic:blipFill>
                  <pic:spPr>
                    <a:xfrm>
                      <a:off x="0" y="0"/>
                      <a:ext cx="4937760" cy="2844579"/>
                    </a:xfrm>
                    <a:prstGeom prst="rect"/>
                  </pic:spPr>
                </pic:pic>
              </a:graphicData>
            </a:graphic>
          </wp:inline>
        </w:drawing>
      </w:r>
    </w:p>
    <w:p>
      <w:pPr>
        <w:spacing w:after="120"/>
        <w:jc w:val="both"/>
      </w:pPr>
      <w:r>
        <w:rPr>
          <w:rFonts w:ascii="Times New Roman" w:hAnsi="Times New Roman"/>
          <w:sz w:val="24"/>
        </w:rPr>
        <w:t>Screen 3: Integrated Library Circulation Engine &amp; Automated Late Fine Billing:</w:t>
      </w:r>
    </w:p>
    <w:p>
      <w:pPr>
        <w:spacing w:after="240"/>
        <w:jc w:val="center"/>
      </w:pPr>
      <w:r>
        <w:drawing>
          <wp:inline xmlns:a="http://schemas.openxmlformats.org/drawingml/2006/main" xmlns:pic="http://schemas.openxmlformats.org/drawingml/2006/picture">
            <wp:extent cx="4937760" cy="2844579"/>
            <wp:docPr id="7" name="Picture 7"/>
            <wp:cNvGraphicFramePr>
              <a:graphicFrameLocks noChangeAspect="1"/>
            </wp:cNvGraphicFramePr>
            <a:graphic>
              <a:graphicData uri="http://schemas.openxmlformats.org/drawingml/2006/picture">
                <pic:pic>
                  <pic:nvPicPr>
                    <pic:cNvPr id="0" name="screen3_library.png"/>
                    <pic:cNvPicPr/>
                  </pic:nvPicPr>
                  <pic:blipFill>
                    <a:blip r:embed="rId14"/>
                    <a:stretch>
                      <a:fillRect/>
                    </a:stretch>
                  </pic:blipFill>
                  <pic:spPr>
                    <a:xfrm>
                      <a:off x="0" y="0"/>
                      <a:ext cx="4937760" cy="2844579"/>
                    </a:xfrm>
                    <a:prstGeom prst="rect"/>
                  </pic:spPr>
                </pic:pic>
              </a:graphicData>
            </a:graphic>
          </wp:inline>
        </w:drawing>
      </w:r>
    </w:p>
    <w:p>
      <w:pPr>
        <w:spacing w:after="120"/>
        <w:jc w:val="both"/>
      </w:pPr>
      <w:r>
        <w:rPr>
          <w:rFonts w:ascii="Times New Roman" w:hAnsi="Times New Roman"/>
          <w:sz w:val="24"/>
        </w:rPr>
        <w:t>Screen 4: Department Timetable (Restricted to Registered Teachers) &amp; Anti-Proxy Token Display:</w:t>
      </w:r>
    </w:p>
    <w:p>
      <w:pPr>
        <w:spacing w:after="240"/>
        <w:jc w:val="center"/>
      </w:pPr>
      <w:r>
        <w:drawing>
          <wp:inline xmlns:a="http://schemas.openxmlformats.org/drawingml/2006/main" xmlns:pic="http://schemas.openxmlformats.org/drawingml/2006/picture">
            <wp:extent cx="4937760" cy="2844579"/>
            <wp:docPr id="8" name="Picture 8"/>
            <wp:cNvGraphicFramePr>
              <a:graphicFrameLocks noChangeAspect="1"/>
            </wp:cNvGraphicFramePr>
            <a:graphic>
              <a:graphicData uri="http://schemas.openxmlformats.org/drawingml/2006/picture">
                <pic:pic>
                  <pic:nvPicPr>
                    <pic:cNvPr id="0" name="screen4_timetable.png"/>
                    <pic:cNvPicPr/>
                  </pic:nvPicPr>
                  <pic:blipFill>
                    <a:blip r:embed="rId15"/>
                    <a:stretch>
                      <a:fillRect/>
                    </a:stretch>
                  </pic:blipFill>
                  <pic:spPr>
                    <a:xfrm>
                      <a:off x="0" y="0"/>
                      <a:ext cx="4937760" cy="2844579"/>
                    </a:xfrm>
                    <a:prstGeom prst="rect"/>
                  </pic:spPr>
                </pic:pic>
              </a:graphicData>
            </a:graphic>
          </wp:inline>
        </w:drawing>
      </w:r>
    </w:p>
    <w:p>
      <w:pPr>
        <w:spacing w:after="120"/>
        <w:jc w:val="both"/>
      </w:pPr>
      <w:r>
        <w:rPr>
          <w:rFonts w:ascii="Times New Roman" w:hAnsi="Times New Roman"/>
          <w:sz w:val="24"/>
        </w:rPr>
        <w:t>Screen 5: Official Digital Examination Hall Ticket Output:</w:t>
      </w:r>
    </w:p>
    <w:p>
      <w:pPr>
        <w:spacing w:after="240"/>
        <w:jc w:val="center"/>
      </w:pPr>
      <w:r>
        <w:drawing>
          <wp:inline xmlns:a="http://schemas.openxmlformats.org/drawingml/2006/main" xmlns:pic="http://schemas.openxmlformats.org/drawingml/2006/picture">
            <wp:extent cx="4937760" cy="2468880"/>
            <wp:docPr id="9" name="Picture 9"/>
            <wp:cNvGraphicFramePr>
              <a:graphicFrameLocks noChangeAspect="1"/>
            </wp:cNvGraphicFramePr>
            <a:graphic>
              <a:graphicData uri="http://schemas.openxmlformats.org/drawingml/2006/picture">
                <pic:pic>
                  <pic:nvPicPr>
                    <pic:cNvPr id="0" name="hall_ticket_mockup.png"/>
                    <pic:cNvPicPr/>
                  </pic:nvPicPr>
                  <pic:blipFill>
                    <a:blip r:embed="rId16"/>
                    <a:stretch>
                      <a:fillRect/>
                    </a:stretch>
                  </pic:blipFill>
                  <pic:spPr>
                    <a:xfrm>
                      <a:off x="0" y="0"/>
                      <a:ext cx="4937760" cy="2468880"/>
                    </a:xfrm>
                    <a:prstGeom prst="rect"/>
                  </pic:spPr>
                </pic:pic>
              </a:graphicData>
            </a:graphic>
          </wp:inline>
        </w:drawing>
      </w:r>
    </w:p>
    <w:p>
      <w:pPr>
        <w:spacing w:before="200" w:after="80"/>
        <w:jc w:val="left"/>
      </w:pPr>
      <w:r>
        <w:rPr>
          <w:rFonts w:ascii="Times New Roman" w:hAnsi="Times New Roman"/>
          <w:b/>
          <w:sz w:val="26"/>
        </w:rPr>
        <w:t>6.2 Input Validation</w:t>
      </w:r>
    </w:p>
    <w:p>
      <w:pPr>
        <w:spacing w:after="120"/>
        <w:jc w:val="both"/>
      </w:pPr>
      <w:r>
        <w:rPr>
          <w:rFonts w:ascii="Times New Roman" w:hAnsi="Times New Roman"/>
          <w:sz w:val="24"/>
        </w:rPr>
        <w:t>Robust validation checks are enforced across all data input dialogs:</w:t>
      </w:r>
    </w:p>
    <w:p>
      <w:pPr>
        <w:pStyle w:val="ListBullet"/>
        <w:spacing w:after="80"/>
        <w:jc w:val="both"/>
      </w:pPr>
      <w:r>
        <w:rPr>
          <w:rFonts w:ascii="Times New Roman" w:hAnsi="Times New Roman"/>
          <w:sz w:val="23"/>
        </w:rPr>
        <w:t>Student PRN &amp; Roll Number Validation: Enforces unique constraint; duplicate entries are rejected immediately.</w:t>
      </w:r>
    </w:p>
    <w:p>
      <w:pPr>
        <w:pStyle w:val="ListBullet"/>
        <w:spacing w:after="80"/>
        <w:jc w:val="both"/>
      </w:pPr>
      <w:r>
        <w:rPr>
          <w:rFonts w:ascii="Times New Roman" w:hAnsi="Times New Roman"/>
          <w:sz w:val="23"/>
        </w:rPr>
        <w:t>Library Borrowing Boundary Rules: Prevents issuing books when available copies count equals 0.</w:t>
      </w:r>
    </w:p>
    <w:p>
      <w:pPr>
        <w:pStyle w:val="ListBullet"/>
        <w:spacing w:after="80"/>
        <w:jc w:val="both"/>
      </w:pPr>
      <w:r>
        <w:rPr>
          <w:rFonts w:ascii="Times New Roman" w:hAnsi="Times New Roman"/>
          <w:sz w:val="23"/>
        </w:rPr>
        <w:t>Date Bounds &amp; Automatic Fine Billing: Enforces 14-day borrowing; overdue returns trigger automatic fine computation at Rs. 5 per day.</w:t>
      </w:r>
    </w:p>
    <w:p>
      <w:pPr>
        <w:pStyle w:val="ListBullet"/>
        <w:spacing w:after="80"/>
        <w:jc w:val="both"/>
      </w:pPr>
      <w:r>
        <w:rPr>
          <w:rFonts w:ascii="Times New Roman" w:hAnsi="Times New Roman"/>
          <w:sz w:val="23"/>
        </w:rPr>
        <w:t>Timetable Teacher Constraint: Dropdown is populated exclusively from database users registered with TEACHER, HOD, or ADMIN roles.</w:t>
      </w:r>
    </w:p>
    <w:p>
      <w:pPr>
        <w:pStyle w:val="ListBullet"/>
        <w:spacing w:after="80"/>
        <w:jc w:val="both"/>
      </w:pPr>
      <w:r>
        <w:rPr>
          <w:rFonts w:ascii="Times New Roman" w:hAnsi="Times New Roman"/>
          <w:sz w:val="23"/>
        </w:rPr>
        <w:t>Attendance Anti-Proxy Constraints: Rejects attendance submissions if token is expired (&gt; 30s) or device fingerprint is already recorded.</w:t>
      </w:r>
    </w:p>
    <w:p>
      <w:pPr>
        <w:spacing w:before="200" w:after="80"/>
        <w:jc w:val="left"/>
      </w:pPr>
      <w:r>
        <w:rPr>
          <w:rFonts w:ascii="Times New Roman" w:hAnsi="Times New Roman"/>
          <w:b/>
          <w:sz w:val="26"/>
        </w:rPr>
        <w:t>6.3 Report Format</w:t>
      </w:r>
    </w:p>
    <w:p>
      <w:pPr>
        <w:spacing w:after="120"/>
        <w:jc w:val="both"/>
      </w:pPr>
      <w:r>
        <w:rPr>
          <w:rFonts w:ascii="Times New Roman" w:hAnsi="Times New Roman"/>
          <w:sz w:val="24"/>
        </w:rPr>
        <w:t>NextCampus produces standardized, printable academic reports:</w:t>
      </w:r>
    </w:p>
    <w:p>
      <w:pPr>
        <w:pStyle w:val="ListBullet"/>
        <w:spacing w:after="80"/>
        <w:jc w:val="both"/>
      </w:pPr>
      <w:r>
        <w:rPr>
          <w:rFonts w:ascii="Times New Roman" w:hAnsi="Times New Roman"/>
          <w:sz w:val="23"/>
        </w:rPr>
        <w:t>Digital Examination Hall Ticket: Official admit card featuring student photo placeholder, assigned Seat Number (e.g. BBA5-S102), exam timetable, center details, and guide signature block.</w:t>
      </w:r>
    </w:p>
    <w:p>
      <w:pPr>
        <w:pStyle w:val="ListBullet"/>
        <w:spacing w:after="80"/>
        <w:jc w:val="both"/>
      </w:pPr>
      <w:r>
        <w:rPr>
          <w:rFonts w:ascii="Times New Roman" w:hAnsi="Times New Roman"/>
          <w:sz w:val="23"/>
        </w:rPr>
        <w:t>Library Circulation &amp; Fine Receipts: Detailed slips itemizing issued book titles, due dates, return timestamps, and collected fine amounts.</w:t>
      </w:r>
    </w:p>
    <w:p>
      <w:pPr>
        <w:pStyle w:val="ListBullet"/>
        <w:spacing w:after="80"/>
        <w:jc w:val="both"/>
      </w:pPr>
      <w:r>
        <w:rPr>
          <w:rFonts w:ascii="Times New Roman" w:hAnsi="Times New Roman"/>
          <w:sz w:val="23"/>
        </w:rPr>
        <w:t>Subject Attendance Registers: Comprehensive lecture attendance logs showing student percentages, present/absent tallies, and audit timestamps.</w:t>
      </w:r>
    </w:p>
    <w:p>
      <w:r>
        <w:br w:type="page"/>
      </w:r>
    </w:p>
    <w:p>
      <w:pPr>
        <w:spacing w:before="120" w:after="240"/>
        <w:jc w:val="left"/>
      </w:pPr>
      <w:r>
        <w:rPr>
          <w:rFonts w:ascii="Times New Roman" w:hAnsi="Times New Roman"/>
          <w:b/>
          <w:sz w:val="32"/>
        </w:rPr>
        <w:t>7. Conclusion and Recommendations Limitations &amp; Future Scope</w:t>
      </w:r>
    </w:p>
    <w:p>
      <w:pPr>
        <w:spacing w:before="200" w:after="80"/>
        <w:jc w:val="left"/>
      </w:pPr>
      <w:r>
        <w:rPr>
          <w:rFonts w:ascii="Times New Roman" w:hAnsi="Times New Roman"/>
          <w:b/>
          <w:sz w:val="26"/>
        </w:rPr>
        <w:t>7.1 Conclusion</w:t>
      </w:r>
    </w:p>
    <w:p>
      <w:pPr>
        <w:spacing w:after="120"/>
        <w:jc w:val="both"/>
      </w:pPr>
      <w:r>
        <w:rPr>
          <w:rFonts w:ascii="Times New Roman" w:hAnsi="Times New Roman"/>
          <w:sz w:val="24"/>
        </w:rPr>
        <w:t>The "NEXTCAMPUS - COLLEGE STUDENT &amp; LIBRARY MANAGEMENT SYSTEM" successfully resolves chronic administrative bottlenecks at Hutatma Rajguru Mahavidyalaya. By providing a unified, multi-role platform for student records, library circulation, internal examinations, and timetable scheduling, the application eradicates paper-heavy registers, eliminates proxy attendance, and automates overdue fine calculations. The zero-configuration SQLite architecture ensures maximum reliability without requiring external database servers or recurring software licenses.</w:t>
      </w:r>
    </w:p>
    <w:p>
      <w:pPr>
        <w:spacing w:before="200" w:after="80"/>
        <w:jc w:val="left"/>
      </w:pPr>
      <w:r>
        <w:rPr>
          <w:rFonts w:ascii="Times New Roman" w:hAnsi="Times New Roman"/>
          <w:b/>
          <w:sz w:val="26"/>
        </w:rPr>
        <w:t>7.2 System Limitations</w:t>
      </w:r>
    </w:p>
    <w:p>
      <w:pPr>
        <w:pStyle w:val="ListBullet"/>
        <w:spacing w:after="80"/>
        <w:jc w:val="both"/>
      </w:pPr>
      <w:r>
        <w:rPr>
          <w:rFonts w:ascii="Times New Roman" w:hAnsi="Times New Roman"/>
          <w:sz w:val="23"/>
        </w:rPr>
        <w:t>Local Network Scope: Designed primarily for campus intranet / LAN deployment; cross-campus access requires VPN or dedicated hosting.</w:t>
      </w:r>
    </w:p>
    <w:p>
      <w:pPr>
        <w:pStyle w:val="ListBullet"/>
        <w:spacing w:after="80"/>
        <w:jc w:val="both"/>
      </w:pPr>
      <w:r>
        <w:rPr>
          <w:rFonts w:ascii="Times New Roman" w:hAnsi="Times New Roman"/>
          <w:sz w:val="23"/>
        </w:rPr>
        <w:t>Local Database Backup Management: As an embedded file-based database, regular automated copies of college_sms.db must be maintained.</w:t>
      </w:r>
    </w:p>
    <w:p>
      <w:pPr>
        <w:pStyle w:val="ListBullet"/>
        <w:spacing w:after="80"/>
        <w:jc w:val="both"/>
      </w:pPr>
      <w:r>
        <w:rPr>
          <w:rFonts w:ascii="Times New Roman" w:hAnsi="Times New Roman"/>
          <w:sz w:val="23"/>
        </w:rPr>
        <w:t>Device Hardware Reset: If a student changes or loses their mobile phone, an administrator must manually reset the registered device binding.</w:t>
      </w:r>
    </w:p>
    <w:p>
      <w:pPr>
        <w:spacing w:before="200" w:after="80"/>
        <w:jc w:val="left"/>
      </w:pPr>
      <w:r>
        <w:rPr>
          <w:rFonts w:ascii="Times New Roman" w:hAnsi="Times New Roman"/>
          <w:b/>
          <w:sz w:val="26"/>
        </w:rPr>
        <w:t>7.3 Future Scope &amp; Recommendations</w:t>
      </w:r>
    </w:p>
    <w:p>
      <w:pPr>
        <w:pStyle w:val="ListBullet"/>
        <w:spacing w:after="80"/>
        <w:jc w:val="both"/>
      </w:pPr>
      <w:r>
        <w:rPr>
          <w:rFonts w:ascii="Times New Roman" w:hAnsi="Times New Roman"/>
          <w:sz w:val="23"/>
        </w:rPr>
        <w:t>Mobile Application Expansion: Build dedicated Android and iOS native mobile apps using Flutter with push notification support.</w:t>
      </w:r>
    </w:p>
    <w:p>
      <w:pPr>
        <w:pStyle w:val="ListBullet"/>
        <w:spacing w:after="80"/>
        <w:jc w:val="both"/>
      </w:pPr>
      <w:r>
        <w:rPr>
          <w:rFonts w:ascii="Times New Roman" w:hAnsi="Times New Roman"/>
          <w:sz w:val="23"/>
        </w:rPr>
        <w:t>Online Fee &amp; Fine Payment Gateway: Integrate UPI and debit card gateways for seamless digital fine collection.</w:t>
      </w:r>
    </w:p>
    <w:p>
      <w:pPr>
        <w:pStyle w:val="ListBullet"/>
        <w:spacing w:after="80"/>
        <w:jc w:val="both"/>
      </w:pPr>
      <w:r>
        <w:rPr>
          <w:rFonts w:ascii="Times New Roman" w:hAnsi="Times New Roman"/>
          <w:sz w:val="23"/>
        </w:rPr>
        <w:t>Automated SMS &amp; WhatsApp Alerts: Incorporate SMS gateways to dispatch overdue book alerts and upcoming exam schedule reminders.</w:t>
      </w:r>
    </w:p>
    <w:p>
      <w:pPr>
        <w:pStyle w:val="ListBullet"/>
        <w:spacing w:after="80"/>
        <w:jc w:val="both"/>
      </w:pPr>
      <w:r>
        <w:rPr>
          <w:rFonts w:ascii="Times New Roman" w:hAnsi="Times New Roman"/>
          <w:sz w:val="23"/>
        </w:rPr>
        <w:t>RFID Library Self-Checkout: Integrate RFID tags and self-service kiosks for instant book issuance without librarian manual scanning.</w:t>
      </w:r>
    </w:p>
    <w:p>
      <w:r>
        <w:br w:type="page"/>
      </w:r>
    </w:p>
    <w:p>
      <w:pPr>
        <w:spacing w:before="120" w:after="240"/>
        <w:jc w:val="left"/>
      </w:pPr>
      <w:r>
        <w:rPr>
          <w:rFonts w:ascii="Times New Roman" w:hAnsi="Times New Roman"/>
          <w:b/>
          <w:sz w:val="32"/>
        </w:rPr>
        <w:t>8. Bibliography and References</w:t>
      </w:r>
    </w:p>
    <w:p>
      <w:pPr>
        <w:spacing w:before="200" w:after="80"/>
        <w:jc w:val="left"/>
      </w:pPr>
      <w:r>
        <w:rPr>
          <w:rFonts w:ascii="Times New Roman" w:hAnsi="Times New Roman"/>
          <w:b/>
          <w:sz w:val="26"/>
        </w:rPr>
        <w:t>Academic Textbooks &amp; Literature:</w:t>
      </w:r>
    </w:p>
    <w:p>
      <w:pPr>
        <w:pStyle w:val="ListBullet"/>
        <w:spacing w:after="80"/>
        <w:jc w:val="both"/>
      </w:pPr>
      <w:r>
        <w:rPr>
          <w:rFonts w:ascii="Times New Roman" w:hAnsi="Times New Roman"/>
          <w:sz w:val="23"/>
        </w:rPr>
        <w:t>Schildt, Herbert. Java: The Complete Reference. 12th ed., McGraw-Hill Education, 2021.</w:t>
      </w:r>
    </w:p>
    <w:p>
      <w:pPr>
        <w:pStyle w:val="ListBullet"/>
        <w:spacing w:after="80"/>
        <w:jc w:val="both"/>
      </w:pPr>
      <w:r>
        <w:rPr>
          <w:rFonts w:ascii="Times New Roman" w:hAnsi="Times New Roman"/>
          <w:sz w:val="23"/>
        </w:rPr>
        <w:t>Silberschatz, Abraham, Henry F. Korth, and S. Sudarshan. Database System Concepts. 7th ed., McGraw-Hill, 2019.</w:t>
      </w:r>
    </w:p>
    <w:p>
      <w:pPr>
        <w:pStyle w:val="ListBullet"/>
        <w:spacing w:after="80"/>
        <w:jc w:val="both"/>
      </w:pPr>
      <w:r>
        <w:rPr>
          <w:rFonts w:ascii="Times New Roman" w:hAnsi="Times New Roman"/>
          <w:sz w:val="23"/>
        </w:rPr>
        <w:t>Grinberg, Miguel. Flask Web Development: Developing Web Applications with Python. 2nd ed., O'Reilly Media, 2018.</w:t>
      </w:r>
    </w:p>
    <w:p>
      <w:pPr>
        <w:pStyle w:val="ListBullet"/>
        <w:spacing w:after="80"/>
        <w:jc w:val="both"/>
      </w:pPr>
      <w:r>
        <w:rPr>
          <w:rFonts w:ascii="Times New Roman" w:hAnsi="Times New Roman"/>
          <w:sz w:val="23"/>
        </w:rPr>
        <w:t>Pressman, Roger S. Software Engineering: A Practitioner's Approach. 8th ed., McGraw-Hill, 2014.</w:t>
      </w:r>
    </w:p>
    <w:p>
      <w:pPr>
        <w:spacing w:before="200" w:after="80"/>
        <w:jc w:val="left"/>
      </w:pPr>
      <w:r>
        <w:rPr>
          <w:rFonts w:ascii="Times New Roman" w:hAnsi="Times New Roman"/>
          <w:b/>
          <w:sz w:val="26"/>
        </w:rPr>
        <w:t>Web Portals &amp; Technical Documentation:</w:t>
      </w:r>
    </w:p>
    <w:p>
      <w:pPr>
        <w:pStyle w:val="ListBullet"/>
        <w:spacing w:after="80"/>
        <w:jc w:val="both"/>
      </w:pPr>
      <w:r>
        <w:rPr>
          <w:rFonts w:ascii="Times New Roman" w:hAnsi="Times New Roman"/>
          <w:sz w:val="23"/>
        </w:rPr>
        <w:t>Savitribai Phule Pune University (SPPU): http://www.unipune.ac.in</w:t>
      </w:r>
    </w:p>
    <w:p>
      <w:pPr>
        <w:pStyle w:val="ListBullet"/>
        <w:spacing w:after="80"/>
        <w:jc w:val="both"/>
      </w:pPr>
      <w:r>
        <w:rPr>
          <w:rFonts w:ascii="Times New Roman" w:hAnsi="Times New Roman"/>
          <w:sz w:val="23"/>
        </w:rPr>
        <w:t>Oracle Java SE Documentation: https://docs.oracle.com/en/java/</w:t>
      </w:r>
    </w:p>
    <w:p>
      <w:pPr>
        <w:pStyle w:val="ListBullet"/>
        <w:spacing w:after="80"/>
        <w:jc w:val="both"/>
      </w:pPr>
      <w:r>
        <w:rPr>
          <w:rFonts w:ascii="Times New Roman" w:hAnsi="Times New Roman"/>
          <w:sz w:val="23"/>
        </w:rPr>
        <w:t>SQLite Relational Database Engine Documentation: https://www.sqlite.org/docs.html</w:t>
      </w:r>
    </w:p>
    <w:p>
      <w:pPr>
        <w:pStyle w:val="ListBullet"/>
        <w:spacing w:after="80"/>
        <w:jc w:val="both"/>
      </w:pPr>
      <w:r>
        <w:rPr>
          <w:rFonts w:ascii="Times New Roman" w:hAnsi="Times New Roman"/>
          <w:sz w:val="23"/>
        </w:rPr>
        <w:t>Flask Microframework Documentation: https://flask.palletsprojects.com/</w:t>
      </w:r>
    </w:p>
    <w:p>
      <w:pPr>
        <w:pStyle w:val="ListBullet"/>
        <w:spacing w:after="80"/>
        <w:jc w:val="both"/>
      </w:pPr>
      <w:r>
        <w:rPr>
          <w:rFonts w:ascii="Times New Roman" w:hAnsi="Times New Roman"/>
          <w:sz w:val="23"/>
        </w:rPr>
        <w:t>MDN Web Docs (Mozilla Developer Network): https://developer.mozilla.org/</w:t>
      </w:r>
    </w:p>
    <w:sectPr w:rsidR="00FC693F" w:rsidRPr="0006063C" w:rsidSect="00034616">
      <w:pgSz w:w="11909" w:h="16834"/>
      <w:pgMar w:top="1440" w:right="144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pPr>
    <w:rPr>
      <w:rFonts w:ascii="Times New Roman" w:hAnsi="Times New Roman"/>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