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04FB" w:rsidRPr="00FD04FB" w:rsidRDefault="00FD04FB" w:rsidP="00FD04F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D04FB">
        <w:rPr>
          <w:rFonts w:ascii="Times New Roman" w:hAnsi="Times New Roman" w:cs="Times New Roman"/>
          <w:b/>
          <w:bCs/>
          <w:sz w:val="44"/>
          <w:szCs w:val="44"/>
        </w:rPr>
        <w:t>MSME CREDIT INVISIBILITY SCORE — POLICY &amp; BUSINESS BRIEF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Project:</w:t>
      </w:r>
      <w:r w:rsidRPr="00FD04FB">
        <w:rPr>
          <w:rFonts w:ascii="Times New Roman" w:hAnsi="Times New Roman" w:cs="Times New Roman"/>
        </w:rPr>
        <w:t xml:space="preserve"> India MSME Alternative Credit Signal Model</w:t>
      </w:r>
      <w:r w:rsidRPr="00FD04FB">
        <w:rPr>
          <w:rFonts w:ascii="Times New Roman" w:hAnsi="Times New Roman" w:cs="Times New Roman"/>
        </w:rPr>
        <w:br/>
      </w:r>
      <w:r w:rsidRPr="00FD04FB">
        <w:rPr>
          <w:rFonts w:ascii="Times New Roman" w:hAnsi="Times New Roman" w:cs="Times New Roman"/>
          <w:b/>
          <w:bCs/>
        </w:rPr>
        <w:t>Author:</w:t>
      </w:r>
      <w:r w:rsidRPr="00FD04FB">
        <w:rPr>
          <w:rFonts w:ascii="Times New Roman" w:hAnsi="Times New Roman" w:cs="Times New Roman"/>
        </w:rPr>
        <w:t xml:space="preserve"> Om </w:t>
      </w:r>
      <w:proofErr w:type="spellStart"/>
      <w:r w:rsidRPr="00FD04FB">
        <w:rPr>
          <w:rFonts w:ascii="Times New Roman" w:hAnsi="Times New Roman" w:cs="Times New Roman"/>
        </w:rPr>
        <w:t>Dadhe</w:t>
      </w:r>
      <w:proofErr w:type="spellEnd"/>
      <w:r w:rsidRPr="00FD04FB">
        <w:rPr>
          <w:rFonts w:ascii="Times New Roman" w:hAnsi="Times New Roman" w:cs="Times New Roman"/>
        </w:rPr>
        <w:t xml:space="preserve"> | Data &amp; Business Analyst</w:t>
      </w:r>
      <w:r w:rsidRPr="00FD04FB">
        <w:rPr>
          <w:rFonts w:ascii="Times New Roman" w:hAnsi="Times New Roman" w:cs="Times New Roman"/>
        </w:rPr>
        <w:br/>
      </w:r>
      <w:r w:rsidRPr="00FD04FB">
        <w:rPr>
          <w:rFonts w:ascii="Times New Roman" w:hAnsi="Times New Roman" w:cs="Times New Roman"/>
          <w:b/>
          <w:bCs/>
        </w:rPr>
        <w:t>Date:</w:t>
      </w:r>
      <w:r w:rsidRPr="00FD04FB">
        <w:rPr>
          <w:rFonts w:ascii="Times New Roman" w:hAnsi="Times New Roman" w:cs="Times New Roman"/>
        </w:rPr>
        <w:t xml:space="preserve"> April 2026</w:t>
      </w:r>
      <w:r w:rsidRPr="00FD04FB">
        <w:rPr>
          <w:rFonts w:ascii="Times New Roman" w:hAnsi="Times New Roman" w:cs="Times New Roman"/>
        </w:rPr>
        <w:br/>
      </w:r>
      <w:r w:rsidRPr="00FD04FB">
        <w:rPr>
          <w:rFonts w:ascii="Times New Roman" w:hAnsi="Times New Roman" w:cs="Times New Roman"/>
          <w:b/>
          <w:bCs/>
        </w:rPr>
        <w:t>Data Sources:</w:t>
      </w:r>
      <w:r w:rsidRPr="00FD04FB">
        <w:rPr>
          <w:rFonts w:ascii="Times New Roman" w:hAnsi="Times New Roman" w:cs="Times New Roman"/>
        </w:rPr>
        <w:t xml:space="preserve"> RBI (Table 154, MCIR July 2025), MSME Ministry Dashboard, SIDBI MSME Pulse June 2025, ICRIER Annual MSME Survey 2025, NITI Aayog MSME Report 2025</w:t>
      </w:r>
      <w:r w:rsidRPr="00FD04FB">
        <w:rPr>
          <w:rFonts w:ascii="Times New Roman" w:hAnsi="Times New Roman" w:cs="Times New Roman"/>
        </w:rPr>
        <w:br/>
      </w:r>
      <w:r w:rsidRPr="00FD04FB">
        <w:rPr>
          <w:rFonts w:ascii="Times New Roman" w:hAnsi="Times New Roman" w:cs="Times New Roman"/>
          <w:b/>
          <w:bCs/>
        </w:rPr>
        <w:t>Model:</w:t>
      </w:r>
      <w:r w:rsidRPr="00FD04FB">
        <w:rPr>
          <w:rFonts w:ascii="Times New Roman" w:hAnsi="Times New Roman" w:cs="Times New Roman"/>
        </w:rPr>
        <w:t xml:space="preserve"> </w:t>
      </w:r>
      <w:proofErr w:type="spellStart"/>
      <w:r w:rsidRPr="00FD04FB">
        <w:rPr>
          <w:rFonts w:ascii="Times New Roman" w:hAnsi="Times New Roman" w:cs="Times New Roman"/>
        </w:rPr>
        <w:t>XGBoost</w:t>
      </w:r>
      <w:proofErr w:type="spellEnd"/>
      <w:r w:rsidRPr="00FD04FB">
        <w:rPr>
          <w:rFonts w:ascii="Times New Roman" w:hAnsi="Times New Roman" w:cs="Times New Roman"/>
        </w:rPr>
        <w:t xml:space="preserve"> (18 alt-signals) + SHAP Explainability | Cross-Val R² = 0.703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79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EXECUTIVE SUMMARY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 xml:space="preserve">India's MSME sector — </w:t>
      </w:r>
      <w:r w:rsidRPr="00FD04FB">
        <w:rPr>
          <w:rFonts w:ascii="Times New Roman" w:hAnsi="Times New Roman" w:cs="Times New Roman"/>
          <w:b/>
          <w:bCs/>
        </w:rPr>
        <w:t>7.94 crore registered enterprises</w:t>
      </w:r>
      <w:r w:rsidRPr="00FD04FB">
        <w:rPr>
          <w:rFonts w:ascii="Times New Roman" w:hAnsi="Times New Roman" w:cs="Times New Roman"/>
        </w:rPr>
        <w:t xml:space="preserve"> generating 35 crore jobs — faces a structural credit exclusion crisis. Despite Udyam registration reforms and CGTMSE guarantees worth ₹13.17 lakh crore, </w:t>
      </w:r>
      <w:r w:rsidRPr="00FD04FB">
        <w:rPr>
          <w:rFonts w:ascii="Times New Roman" w:hAnsi="Times New Roman" w:cs="Times New Roman"/>
          <w:b/>
          <w:bCs/>
        </w:rPr>
        <w:t>only ~20% of MSMEs have ever accessed formal credit</w:t>
      </w:r>
      <w:r w:rsidRPr="00FD04FB">
        <w:rPr>
          <w:rFonts w:ascii="Times New Roman" w:hAnsi="Times New Roman" w:cs="Times New Roman"/>
        </w:rPr>
        <w:t xml:space="preserve">, leaving an addressable gap of </w:t>
      </w:r>
      <w:r w:rsidRPr="00FD04FB">
        <w:rPr>
          <w:rFonts w:ascii="Times New Roman" w:hAnsi="Times New Roman" w:cs="Times New Roman"/>
          <w:b/>
          <w:bCs/>
        </w:rPr>
        <w:t>₹30 lakh crore</w:t>
      </w:r>
      <w:r w:rsidRPr="00FD04FB">
        <w:rPr>
          <w:rFonts w:ascii="Times New Roman" w:hAnsi="Times New Roman" w:cs="Times New Roman"/>
        </w:rPr>
        <w:t xml:space="preserve"> (SIDBI-Crisil 2025).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 xml:space="preserve">This project builds India's first </w:t>
      </w:r>
      <w:r w:rsidRPr="00FD04FB">
        <w:rPr>
          <w:rFonts w:ascii="Times New Roman" w:hAnsi="Times New Roman" w:cs="Times New Roman"/>
          <w:b/>
          <w:bCs/>
        </w:rPr>
        <w:t>state-level MSME Credit Invisibility Score</w:t>
      </w:r>
      <w:r w:rsidRPr="00FD04FB">
        <w:rPr>
          <w:rFonts w:ascii="Times New Roman" w:hAnsi="Times New Roman" w:cs="Times New Roman"/>
        </w:rPr>
        <w:t xml:space="preserve"> using 18 alternative signals — replacing the need for CIBIL scores with observable digital, behavioural, and macro proxies. The model identifies </w:t>
      </w:r>
      <w:r w:rsidRPr="00FD04FB">
        <w:rPr>
          <w:rFonts w:ascii="Times New Roman" w:hAnsi="Times New Roman" w:cs="Times New Roman"/>
          <w:b/>
          <w:bCs/>
        </w:rPr>
        <w:t>which states, sectors, and enterprise types are most credit-invisible</w:t>
      </w:r>
      <w:r w:rsidRPr="00FD04FB">
        <w:rPr>
          <w:rFonts w:ascii="Times New Roman" w:hAnsi="Times New Roman" w:cs="Times New Roman"/>
        </w:rPr>
        <w:t>, and which alternative signals most powerfully predict creditworthiness.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Bottom line:</w:t>
      </w:r>
      <w:r w:rsidRPr="00FD04FB">
        <w:rPr>
          <w:rFonts w:ascii="Times New Roman" w:hAnsi="Times New Roman" w:cs="Times New Roman"/>
        </w:rPr>
        <w:t xml:space="preserve"> Digital footprint (GST compliance + e-commerce integration + UPI adoption) explains </w:t>
      </w:r>
      <w:r w:rsidRPr="00FD04FB">
        <w:rPr>
          <w:rFonts w:ascii="Times New Roman" w:hAnsi="Times New Roman" w:cs="Times New Roman"/>
          <w:b/>
          <w:bCs/>
        </w:rPr>
        <w:t>~63% of the variance</w:t>
      </w:r>
      <w:r w:rsidRPr="00FD04FB">
        <w:rPr>
          <w:rFonts w:ascii="Times New Roman" w:hAnsi="Times New Roman" w:cs="Times New Roman"/>
        </w:rPr>
        <w:t xml:space="preserve"> in MSME formal credit access. States can be ranked by credit invisibility risk, and MSMEs can be scored without any traditional credit bureau data.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0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THE PROBLEM: WHY 80% OF INDIA'S MSMEs ARE CREDIT-INVISIBLE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Scale of the Crisis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331"/>
        <w:gridCol w:w="2494"/>
      </w:tblGrid>
      <w:tr w:rsidR="00FD04FB" w:rsidRPr="00FD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Total registered MSMEs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7.94 crore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MSME Ministry, Mar 2026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Micro enterprises (% of total)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99.3%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MSME Ministry, Mar 2026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MSMEs with any formal credit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SIDBI / NITI Aayog 2025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Addressable credit gap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₹30 lakh crore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SIDBI-Crisil 2025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Women MSME credit gap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NITI Aayog 2025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Trading MSME credit gap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SIDBI Pulse June 2025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RBI FI-Index (March 2025)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67.0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RBI MCIR July 2025</w:t>
            </w:r>
          </w:p>
        </w:tc>
      </w:tr>
    </w:tbl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Why Traditional Credit Assessment Fails MSMEs</w:t>
      </w:r>
    </w:p>
    <w:p w:rsidR="00FD04FB" w:rsidRPr="00FD04FB" w:rsidRDefault="00FD04FB" w:rsidP="00FD04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No CIBIL history</w:t>
      </w:r>
      <w:r w:rsidRPr="00FD04FB">
        <w:rPr>
          <w:rFonts w:ascii="Times New Roman" w:hAnsi="Times New Roman" w:cs="Times New Roman"/>
        </w:rPr>
        <w:t>: 80%+ micro-MSMEs have never borrowed formally. No credit history = automatic rejection.</w:t>
      </w:r>
    </w:p>
    <w:p w:rsidR="00FD04FB" w:rsidRPr="00FD04FB" w:rsidRDefault="00FD04FB" w:rsidP="00FD04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lastRenderedPageBreak/>
        <w:t>No collateral</w:t>
      </w:r>
      <w:r w:rsidRPr="00FD04FB">
        <w:rPr>
          <w:rFonts w:ascii="Times New Roman" w:hAnsi="Times New Roman" w:cs="Times New Roman"/>
        </w:rPr>
        <w:t>: Average fixed assets of unincorporated MSMEs = ₹3.18 lakh (ICRIER 2025). Below most bank thresholds.</w:t>
      </w:r>
    </w:p>
    <w:p w:rsidR="00FD04FB" w:rsidRPr="00FD04FB" w:rsidRDefault="00FD04FB" w:rsidP="00FD04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No audited financials</w:t>
      </w:r>
      <w:r w:rsidRPr="00FD04FB">
        <w:rPr>
          <w:rFonts w:ascii="Times New Roman" w:hAnsi="Times New Roman" w:cs="Times New Roman"/>
        </w:rPr>
        <w:t>: Micro-MSMEs don't maintain P&amp;L statements. Banks have no income verification mechanism.</w:t>
      </w:r>
    </w:p>
    <w:p w:rsidR="00FD04FB" w:rsidRPr="00FD04FB" w:rsidRDefault="00FD04FB" w:rsidP="00FD04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Thin documentation</w:t>
      </w:r>
      <w:r w:rsidRPr="00FD04FB">
        <w:rPr>
          <w:rFonts w:ascii="Times New Roman" w:hAnsi="Times New Roman" w:cs="Times New Roman"/>
        </w:rPr>
        <w:t>: Informal operations, oral contracts, cash transactions — all invisible to traditional lenders.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 xml:space="preserve">The result: </w:t>
      </w:r>
      <w:r w:rsidRPr="00FD04FB">
        <w:rPr>
          <w:rFonts w:ascii="Times New Roman" w:hAnsi="Times New Roman" w:cs="Times New Roman"/>
          <w:b/>
          <w:bCs/>
        </w:rPr>
        <w:t>creditworthy businesses are rejected not because they are risky, but because they are invisible</w:t>
      </w:r>
      <w:r w:rsidRPr="00FD04FB">
        <w:rPr>
          <w:rFonts w:ascii="Times New Roman" w:hAnsi="Times New Roman" w:cs="Times New Roman"/>
        </w:rPr>
        <w:t xml:space="preserve"> to conventional scoring systems.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1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THE SOLUTION: ALTERNATIVE CREDIT SIGNAL FRAMEWORK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5 Signal Pillars (replacing CIBIL)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736"/>
        <w:gridCol w:w="1950"/>
        <w:gridCol w:w="1312"/>
      </w:tblGrid>
      <w:tr w:rsidR="00FD04FB" w:rsidRPr="00FD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Signal Pillar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SHAP Weight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Digital Footprint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GST compliance + e-comm + UPI behaviour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GSTN, NPCI, ICRIER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63.4%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Formalization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GST density + literacy + enterprise mix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GSTN, Census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12.7%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NPA Risk (inverse)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State-level delinquency proxy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RBI / Fintech data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7.4%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Infrastructure Access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Internet + banking branches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TRAI, RBI Table 154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11.5%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Macro Resilience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GSDP + urban mix + business diversity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proofErr w:type="spellStart"/>
            <w:r w:rsidRPr="00FD04FB">
              <w:rPr>
                <w:rFonts w:ascii="Times New Roman" w:hAnsi="Times New Roman" w:cs="Times New Roman"/>
              </w:rPr>
              <w:t>MoSPI</w:t>
            </w:r>
            <w:proofErr w:type="spellEnd"/>
            <w:r w:rsidRPr="00FD04FB">
              <w:rPr>
                <w:rFonts w:ascii="Times New Roman" w:hAnsi="Times New Roman" w:cs="Times New Roman"/>
              </w:rPr>
              <w:t>, Census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5.0%</w:t>
            </w:r>
          </w:p>
        </w:tc>
      </w:tr>
    </w:tbl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Why E-commerce Integration is the Single Strongest Alt-Signal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 xml:space="preserve">ICRIER 2025 found that </w:t>
      </w:r>
      <w:r w:rsidRPr="00FD04FB">
        <w:rPr>
          <w:rFonts w:ascii="Times New Roman" w:hAnsi="Times New Roman" w:cs="Times New Roman"/>
          <w:b/>
          <w:bCs/>
        </w:rPr>
        <w:t>e-commerce-integrated MSMEs are 1.5–2.5× more likely to receive formal credit</w:t>
      </w:r>
      <w:r w:rsidRPr="00FD04FB">
        <w:rPr>
          <w:rFonts w:ascii="Times New Roman" w:hAnsi="Times New Roman" w:cs="Times New Roman"/>
        </w:rPr>
        <w:t xml:space="preserve"> than non-integrated peers. The mechanism is clear: platform transaction history creates a digital cash-flow trail that lenders can assess in real time. Our model confirms this — e-commerce integration % has the second-highest SHAP value after the composite digital footprint score.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Pearson r = 0.89</w:t>
      </w:r>
      <w:r w:rsidRPr="00FD04FB">
        <w:rPr>
          <w:rFonts w:ascii="Times New Roman" w:hAnsi="Times New Roman" w:cs="Times New Roman"/>
        </w:rPr>
        <w:t xml:space="preserve"> between e-commerce integration and formal credit access across states.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2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KEY FINDINGS: CREDIT INVISIBILITY BY STATE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Critical Risk States (Score ≥ 80)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>States where 80%+ of MSMEs are estimated to be credit-invisible: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82"/>
        <w:gridCol w:w="2193"/>
        <w:gridCol w:w="4617"/>
      </w:tblGrid>
      <w:tr w:rsidR="00FD04FB" w:rsidRPr="00FD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Invisible MSMEs (Lakh)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Key Weakness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Uttar Pradesh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85.8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42.8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Low e-comm integration (12.8%), high NPA proxy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Bihar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89.2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25.3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Lowest bank branches/lakh (6.8), poor GST compliance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lastRenderedPageBreak/>
              <w:t>Maharashtra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67.3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49.0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High absolute count despite better ecosystem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Rajasthan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81.8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18.5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Low internet penetration, sparse banking in rural districts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West Bengal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77.6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24.9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Moderate scores across all pillars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Nagaland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91.8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Near-total credit exclusion, weakest digital signals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Bihar + UP alone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68.1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~24% of all credit-invisible MSMEs in just 2 states</w:t>
            </w:r>
          </w:p>
        </w:tc>
      </w:tr>
    </w:tbl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High-Performing States (Score &lt; 65): What They Do Right</w:t>
      </w:r>
    </w:p>
    <w:p w:rsidR="00FD04FB" w:rsidRPr="00FD04FB" w:rsidRDefault="00FD04FB" w:rsidP="00FD0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Delhi (57.5)</w:t>
      </w:r>
      <w:r w:rsidRPr="00FD04FB">
        <w:rPr>
          <w:rFonts w:ascii="Times New Roman" w:hAnsi="Times New Roman" w:cs="Times New Roman"/>
        </w:rPr>
        <w:t xml:space="preserve"> and </w:t>
      </w:r>
      <w:r w:rsidRPr="00FD04FB">
        <w:rPr>
          <w:rFonts w:ascii="Times New Roman" w:hAnsi="Times New Roman" w:cs="Times New Roman"/>
          <w:b/>
          <w:bCs/>
        </w:rPr>
        <w:t>Chandigarh (61.6)</w:t>
      </w:r>
      <w:r w:rsidRPr="00FD04FB">
        <w:rPr>
          <w:rFonts w:ascii="Times New Roman" w:hAnsi="Times New Roman" w:cs="Times New Roman"/>
        </w:rPr>
        <w:t>: Dense banking infrastructure, high UPI adoption, strong e-comm ecosystem</w:t>
      </w:r>
    </w:p>
    <w:p w:rsidR="00FD04FB" w:rsidRPr="00FD04FB" w:rsidRDefault="00FD04FB" w:rsidP="00FD0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Maharashtra and Karnataka</w:t>
      </w:r>
      <w:r w:rsidRPr="00FD04FB">
        <w:rPr>
          <w:rFonts w:ascii="Times New Roman" w:hAnsi="Times New Roman" w:cs="Times New Roman"/>
        </w:rPr>
        <w:t>: Above-average e-comm integration (32.4% and 28.4%) drive credit access despite large MSME bases</w:t>
      </w:r>
    </w:p>
    <w:p w:rsidR="00FD04FB" w:rsidRPr="00FD04FB" w:rsidRDefault="00FD04FB" w:rsidP="00FD04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Tamil Nadu (73.6)</w:t>
      </w:r>
      <w:r w:rsidRPr="00FD04FB">
        <w:rPr>
          <w:rFonts w:ascii="Times New Roman" w:hAnsi="Times New Roman" w:cs="Times New Roman"/>
        </w:rPr>
        <w:t>: High CD ratio (120.5%) and strong GST compliance — but trading MSME concentration limits access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Regional Pattern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>Northeast and Central regions show systemic credit exclusion — not individual firm failure, but ecosystem failure (low internet, sparse branches, low GST density, minimal e-comm infrastructure).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3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WHAT DRIVES CREDIT ACCESS: SHAP INSIGHTS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t xml:space="preserve">Top finding: </w:t>
      </w:r>
      <w:r w:rsidRPr="00FD04FB">
        <w:rPr>
          <w:rFonts w:ascii="Times New Roman" w:hAnsi="Times New Roman" w:cs="Times New Roman"/>
          <w:b/>
          <w:bCs/>
        </w:rPr>
        <w:t>Digital behaviour signals dominate over traditional banking infrastructure</w:t>
      </w:r>
      <w:r w:rsidRPr="00FD04FB">
        <w:rPr>
          <w:rFonts w:ascii="Times New Roman" w:hAnsi="Times New Roman" w:cs="Times New Roman"/>
        </w:rPr>
        <w:t xml:space="preserve"> in predicting credit access. GST compliance + e-commerce + UPI adoption together explain more variance than CD ratio, bank branch density, or GSDP per capita combined.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Implication for lenders</w:t>
      </w:r>
      <w:r w:rsidRPr="00FD04FB">
        <w:rPr>
          <w:rFonts w:ascii="Times New Roman" w:hAnsi="Times New Roman" w:cs="Times New Roman"/>
        </w:rPr>
        <w:t>: Building a credit model that ignores digital footprint data is leaving the most predictive signal on the table.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Implication for policy</w:t>
      </w:r>
      <w:r w:rsidRPr="00FD04FB">
        <w:rPr>
          <w:rFonts w:ascii="Times New Roman" w:hAnsi="Times New Roman" w:cs="Times New Roman"/>
        </w:rPr>
        <w:t>: GSTN data-sharing with lenders (already enabled under Account Aggregator framework) is the single highest-leverage intervention to bridge the credit gap.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Implication for MSMEs</w:t>
      </w:r>
      <w:r w:rsidRPr="00FD04FB">
        <w:rPr>
          <w:rFonts w:ascii="Times New Roman" w:hAnsi="Times New Roman" w:cs="Times New Roman"/>
        </w:rPr>
        <w:t xml:space="preserve">: Getting on an e-commerce platform — even </w:t>
      </w:r>
      <w:proofErr w:type="spellStart"/>
      <w:r w:rsidRPr="00FD04FB">
        <w:rPr>
          <w:rFonts w:ascii="Times New Roman" w:hAnsi="Times New Roman" w:cs="Times New Roman"/>
        </w:rPr>
        <w:t>Meesho</w:t>
      </w:r>
      <w:proofErr w:type="spellEnd"/>
      <w:r w:rsidRPr="00FD04FB">
        <w:rPr>
          <w:rFonts w:ascii="Times New Roman" w:hAnsi="Times New Roman" w:cs="Times New Roman"/>
        </w:rPr>
        <w:t xml:space="preserve"> or </w:t>
      </w:r>
      <w:proofErr w:type="spellStart"/>
      <w:r w:rsidRPr="00FD04FB">
        <w:rPr>
          <w:rFonts w:ascii="Times New Roman" w:hAnsi="Times New Roman" w:cs="Times New Roman"/>
        </w:rPr>
        <w:t>IndiaMART</w:t>
      </w:r>
      <w:proofErr w:type="spellEnd"/>
      <w:r w:rsidRPr="00FD04FB">
        <w:rPr>
          <w:rFonts w:ascii="Times New Roman" w:hAnsi="Times New Roman" w:cs="Times New Roman"/>
        </w:rPr>
        <w:t xml:space="preserve"> — is now a credit-access strategy, not just a sales strategy.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4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BUSINESS RECOMMENDATIONS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For NBFCs / Fintech Lenders</w:t>
      </w:r>
    </w:p>
    <w:p w:rsidR="00FD04FB" w:rsidRPr="00FD04FB" w:rsidRDefault="00FD04FB" w:rsidP="00FD04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Build GST-first underwriting</w:t>
      </w:r>
      <w:r w:rsidRPr="00FD04FB">
        <w:rPr>
          <w:rFonts w:ascii="Times New Roman" w:hAnsi="Times New Roman" w:cs="Times New Roman"/>
        </w:rPr>
        <w:t>: GSTR-1 and GSTR-3B filing patterns are stronger predictors than CIBIL score for MSME segments. Partner with GSTN via AA framework.</w:t>
      </w:r>
    </w:p>
    <w:p w:rsidR="00FD04FB" w:rsidRPr="00FD04FB" w:rsidRDefault="00FD04FB" w:rsidP="00FD04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lastRenderedPageBreak/>
        <w:t>Prioritise e-comm integrated MSMEs</w:t>
      </w:r>
      <w:r w:rsidRPr="00FD04FB">
        <w:rPr>
          <w:rFonts w:ascii="Times New Roman" w:hAnsi="Times New Roman" w:cs="Times New Roman"/>
        </w:rPr>
        <w:t xml:space="preserve">: Platform transaction history provides 24-month cash-flow visibility at near-zero data acquisition cost. Amazon, Flipkart, </w:t>
      </w:r>
      <w:proofErr w:type="spellStart"/>
      <w:r w:rsidRPr="00FD04FB">
        <w:rPr>
          <w:rFonts w:ascii="Times New Roman" w:hAnsi="Times New Roman" w:cs="Times New Roman"/>
        </w:rPr>
        <w:t>Meesho</w:t>
      </w:r>
      <w:proofErr w:type="spellEnd"/>
      <w:r w:rsidRPr="00FD04FB">
        <w:rPr>
          <w:rFonts w:ascii="Times New Roman" w:hAnsi="Times New Roman" w:cs="Times New Roman"/>
        </w:rPr>
        <w:t xml:space="preserve"> seller data is the new credit bureau.</w:t>
      </w:r>
    </w:p>
    <w:p w:rsidR="00FD04FB" w:rsidRPr="00FD04FB" w:rsidRDefault="00FD04FB" w:rsidP="00FD04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Target Bihar and UP with mobile-first products</w:t>
      </w:r>
      <w:r w:rsidRPr="00FD04FB">
        <w:rPr>
          <w:rFonts w:ascii="Times New Roman" w:hAnsi="Times New Roman" w:cs="Times New Roman"/>
        </w:rPr>
        <w:t>: 68 lakh credit-invisible MSMEs in these two states represent the largest untapped addressable market in India.</w:t>
      </w:r>
    </w:p>
    <w:p w:rsidR="00FD04FB" w:rsidRPr="00FD04FB" w:rsidRDefault="00FD04FB" w:rsidP="00FD04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Use UPI history as repayment capacity proxy</w:t>
      </w:r>
      <w:r w:rsidRPr="00FD04FB">
        <w:rPr>
          <w:rFonts w:ascii="Times New Roman" w:hAnsi="Times New Roman" w:cs="Times New Roman"/>
        </w:rPr>
        <w:t xml:space="preserve">: UPI adoption index shows significant SHAP contribution — </w:t>
      </w:r>
      <w:proofErr w:type="spellStart"/>
      <w:r w:rsidRPr="00FD04FB">
        <w:rPr>
          <w:rFonts w:ascii="Times New Roman" w:hAnsi="Times New Roman" w:cs="Times New Roman"/>
        </w:rPr>
        <w:t>Juspay</w:t>
      </w:r>
      <w:proofErr w:type="spellEnd"/>
      <w:r w:rsidRPr="00FD04FB">
        <w:rPr>
          <w:rFonts w:ascii="Times New Roman" w:hAnsi="Times New Roman" w:cs="Times New Roman"/>
        </w:rPr>
        <w:t xml:space="preserve">, </w:t>
      </w:r>
      <w:proofErr w:type="spellStart"/>
      <w:r w:rsidRPr="00FD04FB">
        <w:rPr>
          <w:rFonts w:ascii="Times New Roman" w:hAnsi="Times New Roman" w:cs="Times New Roman"/>
        </w:rPr>
        <w:t>PhonePe</w:t>
      </w:r>
      <w:proofErr w:type="spellEnd"/>
      <w:r w:rsidRPr="00FD04FB">
        <w:rPr>
          <w:rFonts w:ascii="Times New Roman" w:hAnsi="Times New Roman" w:cs="Times New Roman"/>
        </w:rPr>
        <w:t xml:space="preserve"> have transaction-level data that predicts regular payment behaviour.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For Policymakers (RBI / Ministry of MSME)</w:t>
      </w:r>
    </w:p>
    <w:p w:rsidR="00FD04FB" w:rsidRPr="00FD04FB" w:rsidRDefault="00FD04FB" w:rsidP="00FD0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Mandate Account Aggregator integration for all MSME loan applications &lt; ₹25 lakh</w:t>
      </w:r>
      <w:r w:rsidRPr="00FD04FB">
        <w:rPr>
          <w:rFonts w:ascii="Times New Roman" w:hAnsi="Times New Roman" w:cs="Times New Roman"/>
        </w:rPr>
        <w:t>: Remove friction from digital underwriting.</w:t>
      </w:r>
    </w:p>
    <w:p w:rsidR="00FD04FB" w:rsidRPr="00FD04FB" w:rsidRDefault="00FD04FB" w:rsidP="00FD0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Incentivise e-commerce platform onboarding</w:t>
      </w:r>
      <w:r w:rsidRPr="00FD04FB">
        <w:rPr>
          <w:rFonts w:ascii="Times New Roman" w:hAnsi="Times New Roman" w:cs="Times New Roman"/>
        </w:rPr>
        <w:t>: Every MSME on a digital marketplace generates credit-accessible data. E-comm registration should be bundled with Udyam registration.</w:t>
      </w:r>
    </w:p>
    <w:p w:rsidR="00FD04FB" w:rsidRPr="00FD04FB" w:rsidRDefault="00FD04FB" w:rsidP="00FD0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State-specific intervention programs</w:t>
      </w:r>
      <w:r w:rsidRPr="00FD04FB">
        <w:rPr>
          <w:rFonts w:ascii="Times New Roman" w:hAnsi="Times New Roman" w:cs="Times New Roman"/>
        </w:rPr>
        <w:t>: Northeast and Central India require infrastructure-first approach (internet, banking correspondents) before digital credit can scale.</w:t>
      </w:r>
    </w:p>
    <w:p w:rsidR="00FD04FB" w:rsidRPr="00FD04FB" w:rsidRDefault="00FD04FB" w:rsidP="00FD04F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Shared GSTN-CIBIL data bridge</w:t>
      </w:r>
      <w:r w:rsidRPr="00FD04FB">
        <w:rPr>
          <w:rFonts w:ascii="Times New Roman" w:hAnsi="Times New Roman" w:cs="Times New Roman"/>
        </w:rPr>
        <w:t>: Allow lenders to pull GST filing history as credit signal with MSME consent — already technically possible under DPDP Act 2023.</w: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For Banks</w:t>
      </w:r>
    </w:p>
    <w:p w:rsidR="00FD04FB" w:rsidRPr="00FD04FB" w:rsidRDefault="00FD04FB" w:rsidP="00FD04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CD ratio alone is not a sufficient credit deployment signal</w:t>
      </w:r>
      <w:r w:rsidRPr="00FD04FB">
        <w:rPr>
          <w:rFonts w:ascii="Times New Roman" w:hAnsi="Times New Roman" w:cs="Times New Roman"/>
        </w:rPr>
        <w:t>: States like Andhra Pradesh (CD ratio 157%) have sub-30% MSME formal credit access — proving that credit is deployed, but not reaching MSMEs.</w:t>
      </w:r>
    </w:p>
    <w:p w:rsidR="00FD04FB" w:rsidRPr="00FD04FB" w:rsidRDefault="00FD04FB" w:rsidP="00FD04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Establish MSME digital credit desks in Critical-tier states</w:t>
      </w:r>
      <w:r w:rsidRPr="00FD04FB">
        <w:rPr>
          <w:rFonts w:ascii="Times New Roman" w:hAnsi="Times New Roman" w:cs="Times New Roman"/>
        </w:rPr>
        <w:t>: Ladakh (44.2% CD ratio), Himachal Pradesh (39.2%) represent both banking gaps and MSME opportunities.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5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LIMITATIONS &amp; MODEL CAVEATS</w:t>
      </w:r>
    </w:p>
    <w:p w:rsidR="00FD04FB" w:rsidRPr="00FD04FB" w:rsidRDefault="00FD04FB" w:rsidP="00FD04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State-level aggregation masks district variation</w:t>
      </w:r>
      <w:r w:rsidRPr="00FD04FB">
        <w:rPr>
          <w:rFonts w:ascii="Times New Roman" w:hAnsi="Times New Roman" w:cs="Times New Roman"/>
        </w:rPr>
        <w:t>: A state like Maharashtra has extreme intra-state variation (Mumbai vs. Vidarbha). District-level data would improve precision.</w:t>
      </w:r>
    </w:p>
    <w:p w:rsidR="00FD04FB" w:rsidRPr="00FD04FB" w:rsidRDefault="00FD04FB" w:rsidP="00FD04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Proxy variables</w:t>
      </w:r>
      <w:r w:rsidRPr="00FD04FB">
        <w:rPr>
          <w:rFonts w:ascii="Times New Roman" w:hAnsi="Times New Roman" w:cs="Times New Roman"/>
        </w:rPr>
        <w:t>: GST compliance, internet penetration, and UPI adoption are state-level proxies — not individual MSME scores. The model predicts state-level credit access likelihood, not individual creditworthiness.</w:t>
      </w:r>
    </w:p>
    <w:p w:rsidR="00FD04FB" w:rsidRPr="00FD04FB" w:rsidRDefault="00FD04FB" w:rsidP="00FD04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Supervised signal limitation</w:t>
      </w:r>
      <w:r w:rsidRPr="00FD04FB">
        <w:rPr>
          <w:rFonts w:ascii="Times New Roman" w:hAnsi="Times New Roman" w:cs="Times New Roman"/>
        </w:rPr>
        <w:t>: Formal credit access % is itself imperfectly measured — SIDBI estimates vary from 14% to 25% depending on methodology.</w:t>
      </w:r>
    </w:p>
    <w:p w:rsidR="00FD04FB" w:rsidRPr="00FD04FB" w:rsidRDefault="00FD04FB" w:rsidP="00FD04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Cross-validation R² = 0.703</w:t>
      </w:r>
      <w:r w:rsidRPr="00FD04FB">
        <w:rPr>
          <w:rFonts w:ascii="Times New Roman" w:hAnsi="Times New Roman" w:cs="Times New Roman"/>
        </w:rPr>
        <w:t>: Strong for 36 observations across 18 features. Would benefit from district-level disaggregation with more data points.</w:t>
      </w:r>
    </w:p>
    <w:p w:rsidR="00FD04FB" w:rsidRPr="00FD04FB" w:rsidRDefault="00FD04FB" w:rsidP="00FD04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b/>
          <w:bCs/>
        </w:rPr>
        <w:t>Real RBI CD ratio data used</w:t>
      </w:r>
      <w:r w:rsidRPr="00FD04FB">
        <w:rPr>
          <w:rFonts w:ascii="Times New Roman" w:hAnsi="Times New Roman" w:cs="Times New Roman"/>
        </w:rPr>
        <w:t>: RBI Table 154 (uploaded, verified). All other features are research-derived proxies from published government reports.</w: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6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  <w:b/>
          <w:bCs/>
        </w:rPr>
      </w:pPr>
      <w:r w:rsidRPr="00FD04FB">
        <w:rPr>
          <w:rFonts w:ascii="Times New Roman" w:hAnsi="Times New Roman" w:cs="Times New Roman"/>
          <w:b/>
          <w:bCs/>
        </w:rPr>
        <w:t>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585"/>
        <w:gridCol w:w="2568"/>
      </w:tblGrid>
      <w:tr w:rsidR="00FD04FB" w:rsidRPr="00FD0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  <w:b/>
                <w:bCs/>
              </w:rPr>
            </w:pPr>
            <w:r w:rsidRPr="00FD04FB">
              <w:rPr>
                <w:rFonts w:ascii="Times New Roman" w:hAnsi="Times New Roman" w:cs="Times New Roman"/>
                <w:b/>
                <w:bCs/>
              </w:rPr>
              <w:t>Access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RBI Table 154 (uploaded .XLSX)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State-wise CD Ratio 2004–2025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Downloaded from RBI Handbook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MSME Ministry Dashboard (31-03-2026)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National registration, employment, gender, sector data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dashboard.msme.gov.in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RBI MCIR July 2025 (uploaded PDF)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FI-Index 67.0, Digital Payments Index 493.22, MSME lending directions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rbi.org.in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SIDBI MSME Pulse June 2025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Credit gap ₹30L Cr, NTC data, credit penetration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sidbi.in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ICRIER Annual MSME Survey 2025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E-commerce integration %, credit access differential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icrier.org</w:t>
            </w:r>
          </w:p>
        </w:tc>
      </w:tr>
      <w:tr w:rsidR="00FD04FB" w:rsidRPr="00FD04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NITI Aayog MSME Competitiveness Report 2025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Women MSME gap (35%), sector credit gap</w:t>
            </w:r>
          </w:p>
        </w:tc>
        <w:tc>
          <w:tcPr>
            <w:tcW w:w="0" w:type="auto"/>
            <w:vAlign w:val="center"/>
            <w:hideMark/>
          </w:tcPr>
          <w:p w:rsidR="00FD04FB" w:rsidRPr="00FD04FB" w:rsidRDefault="00FD04FB" w:rsidP="00FD04FB">
            <w:pPr>
              <w:rPr>
                <w:rFonts w:ascii="Times New Roman" w:hAnsi="Times New Roman" w:cs="Times New Roman"/>
              </w:rPr>
            </w:pPr>
            <w:r w:rsidRPr="00FD04FB">
              <w:rPr>
                <w:rFonts w:ascii="Times New Roman" w:hAnsi="Times New Roman" w:cs="Times New Roman"/>
              </w:rPr>
              <w:t>niti.gov.in</w:t>
            </w:r>
          </w:p>
        </w:tc>
      </w:tr>
    </w:tbl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</w:rPr>
        <w:pict>
          <v:rect id="_x0000_i1087" style="width:0;height:1.5pt" o:hralign="center" o:hrstd="t" o:hr="t" fillcolor="#a0a0a0" stroked="f"/>
        </w:pict>
      </w:r>
    </w:p>
    <w:p w:rsidR="00FD04FB" w:rsidRPr="00FD04FB" w:rsidRDefault="00FD04FB" w:rsidP="00FD04FB">
      <w:pPr>
        <w:rPr>
          <w:rFonts w:ascii="Times New Roman" w:hAnsi="Times New Roman" w:cs="Times New Roman"/>
        </w:rPr>
      </w:pPr>
      <w:r w:rsidRPr="00FD04FB">
        <w:rPr>
          <w:rFonts w:ascii="Times New Roman" w:hAnsi="Times New Roman" w:cs="Times New Roman"/>
          <w:i/>
          <w:iCs/>
        </w:rPr>
        <w:t>This project is open-source. Full code, data, and methodology available at: github.com/</w:t>
      </w:r>
      <w:proofErr w:type="spellStart"/>
      <w:r w:rsidRPr="00FD04FB">
        <w:rPr>
          <w:rFonts w:ascii="Times New Roman" w:hAnsi="Times New Roman" w:cs="Times New Roman"/>
          <w:i/>
          <w:iCs/>
        </w:rPr>
        <w:t>OmDadhe</w:t>
      </w:r>
      <w:proofErr w:type="spellEnd"/>
    </w:p>
    <w:p w:rsidR="004346F0" w:rsidRPr="00FD04FB" w:rsidRDefault="004346F0">
      <w:pPr>
        <w:rPr>
          <w:rFonts w:ascii="Times New Roman" w:hAnsi="Times New Roman" w:cs="Times New Roman"/>
        </w:rPr>
      </w:pPr>
    </w:p>
    <w:sectPr w:rsidR="004346F0" w:rsidRPr="00FD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C3A"/>
    <w:multiLevelType w:val="multilevel"/>
    <w:tmpl w:val="220A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14995"/>
    <w:multiLevelType w:val="multilevel"/>
    <w:tmpl w:val="241A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957D4"/>
    <w:multiLevelType w:val="multilevel"/>
    <w:tmpl w:val="39AA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F55B3"/>
    <w:multiLevelType w:val="multilevel"/>
    <w:tmpl w:val="ECA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5141C"/>
    <w:multiLevelType w:val="multilevel"/>
    <w:tmpl w:val="5DC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812A7"/>
    <w:multiLevelType w:val="multilevel"/>
    <w:tmpl w:val="7C5A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454061">
    <w:abstractNumId w:val="2"/>
  </w:num>
  <w:num w:numId="2" w16cid:durableId="554706948">
    <w:abstractNumId w:val="3"/>
  </w:num>
  <w:num w:numId="3" w16cid:durableId="397753814">
    <w:abstractNumId w:val="5"/>
  </w:num>
  <w:num w:numId="4" w16cid:durableId="405305129">
    <w:abstractNumId w:val="0"/>
  </w:num>
  <w:num w:numId="5" w16cid:durableId="417993151">
    <w:abstractNumId w:val="4"/>
  </w:num>
  <w:num w:numId="6" w16cid:durableId="115634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FB"/>
    <w:rsid w:val="000B73B5"/>
    <w:rsid w:val="004346F0"/>
    <w:rsid w:val="0047488F"/>
    <w:rsid w:val="0059587F"/>
    <w:rsid w:val="00FD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7A700-59D0-4720-8E1B-67AAAEC9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1351</Words>
  <Characters>7702</Characters>
  <Application>Microsoft Office Word</Application>
  <DocSecurity>0</DocSecurity>
  <Lines>64</Lines>
  <Paragraphs>18</Paragraphs>
  <ScaleCrop>false</ScaleCrop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DADHE</dc:creator>
  <cp:keywords/>
  <dc:description/>
  <cp:lastModifiedBy>OM DADHE</cp:lastModifiedBy>
  <cp:revision>1</cp:revision>
  <dcterms:created xsi:type="dcterms:W3CDTF">2026-04-01T16:45:00Z</dcterms:created>
  <dcterms:modified xsi:type="dcterms:W3CDTF">2026-04-01T16:46:00Z</dcterms:modified>
</cp:coreProperties>
</file>