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3567" w14:textId="77777777" w:rsidR="005F7729" w:rsidRPr="005F7729" w:rsidRDefault="005F7729" w:rsidP="005F772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5F7729">
        <w:rPr>
          <w:rFonts w:ascii="Times New Roman" w:hAnsi="Times New Roman" w:cs="Times New Roman"/>
          <w:b/>
          <w:bCs/>
          <w:sz w:val="40"/>
          <w:szCs w:val="40"/>
        </w:rPr>
        <w:t>TABLEAU DASHBOARD DEVELOPMENT</w:t>
      </w:r>
    </w:p>
    <w:p w14:paraId="394B810B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Objective</w:t>
      </w:r>
    </w:p>
    <w:p w14:paraId="20A2478F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 xml:space="preserve">The objective of this phase was to design interactive dashboards to monitor business performance, evaluate cart abandonment indicators, and </w:t>
      </w:r>
      <w:proofErr w:type="spellStart"/>
      <w:r w:rsidRPr="005F7729">
        <w:rPr>
          <w:rFonts w:ascii="Times New Roman" w:hAnsi="Times New Roman" w:cs="Times New Roman"/>
        </w:rPr>
        <w:t>analyze</w:t>
      </w:r>
      <w:proofErr w:type="spellEnd"/>
      <w:r w:rsidRPr="005F7729">
        <w:rPr>
          <w:rFonts w:ascii="Times New Roman" w:hAnsi="Times New Roman" w:cs="Times New Roman"/>
        </w:rPr>
        <w:t xml:space="preserve"> customer segmentation patterns in alignment with the project scenario.</w:t>
      </w:r>
    </w:p>
    <w:p w14:paraId="0C9FF425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The dashboards were built using Tableau Public and integrated SQL-derived metrics from the consolidated analytical dataset.</w:t>
      </w:r>
    </w:p>
    <w:p w14:paraId="6F65F5F2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pict w14:anchorId="151B12B5">
          <v:rect id="_x0000_i1055" style="width:0;height:1.5pt" o:hralign="center" o:hrstd="t" o:hr="t" fillcolor="#a0a0a0" stroked="f"/>
        </w:pict>
      </w:r>
    </w:p>
    <w:p w14:paraId="35994232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Dashboard 1: Executive Overview</w:t>
      </w:r>
    </w:p>
    <w:p w14:paraId="538D469D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Key Metrics Included</w:t>
      </w:r>
    </w:p>
    <w:p w14:paraId="6DDAD5B1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Total Sales</w:t>
      </w:r>
      <w:r w:rsidRPr="005F7729">
        <w:rPr>
          <w:rFonts w:ascii="Times New Roman" w:hAnsi="Times New Roman" w:cs="Times New Roman"/>
        </w:rPr>
        <w:br/>
        <w:t>• Total Orders</w:t>
      </w:r>
      <w:r w:rsidRPr="005F7729">
        <w:rPr>
          <w:rFonts w:ascii="Times New Roman" w:hAnsi="Times New Roman" w:cs="Times New Roman"/>
        </w:rPr>
        <w:br/>
        <w:t>• Cart Abandonment Rate (Proxy)</w:t>
      </w:r>
      <w:r w:rsidRPr="005F7729">
        <w:rPr>
          <w:rFonts w:ascii="Times New Roman" w:hAnsi="Times New Roman" w:cs="Times New Roman"/>
        </w:rPr>
        <w:br/>
        <w:t>• Average Delivery Days</w:t>
      </w:r>
      <w:r w:rsidRPr="005F7729">
        <w:rPr>
          <w:rFonts w:ascii="Times New Roman" w:hAnsi="Times New Roman" w:cs="Times New Roman"/>
        </w:rPr>
        <w:br/>
        <w:t>• Monthly Revenue Trend</w:t>
      </w:r>
      <w:r w:rsidRPr="005F7729">
        <w:rPr>
          <w:rFonts w:ascii="Times New Roman" w:hAnsi="Times New Roman" w:cs="Times New Roman"/>
        </w:rPr>
        <w:br/>
        <w:t>• Monthly Order Volume</w:t>
      </w:r>
    </w:p>
    <w:p w14:paraId="7F44CD46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Insights Observed</w:t>
      </w:r>
    </w:p>
    <w:p w14:paraId="0D83FEE1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Revenue demonstrated strong growth through 2017, followed by volatility in 2018. Although the cart abandonment proxy rate (calculated using cancelled orders) is relatively low at approximately 0.63%, revenue fluctuations combined with delivery inefficiencies indicate structural vulnerabilities.</w:t>
      </w:r>
    </w:p>
    <w:p w14:paraId="1BD5A860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Average delivery time remains a critical operational metric influencing customer experience.</w:t>
      </w:r>
    </w:p>
    <w:p w14:paraId="6EA92BE9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pict w14:anchorId="4AA96266">
          <v:rect id="_x0000_i1056" style="width:0;height:1.5pt" o:hralign="center" o:hrstd="t" o:hr="t" fillcolor="#a0a0a0" stroked="f"/>
        </w:pict>
      </w:r>
    </w:p>
    <w:p w14:paraId="6B067CF5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Dashboard 2: Customer &amp; Abandonment Risk Analysis</w:t>
      </w:r>
    </w:p>
    <w:p w14:paraId="72F4B1D2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Components</w:t>
      </w:r>
    </w:p>
    <w:p w14:paraId="3056B801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Abandonment Trend Over Time</w:t>
      </w:r>
      <w:r w:rsidRPr="005F7729">
        <w:rPr>
          <w:rFonts w:ascii="Times New Roman" w:hAnsi="Times New Roman" w:cs="Times New Roman"/>
        </w:rPr>
        <w:br/>
        <w:t>• Revenue by Customer Segment</w:t>
      </w:r>
      <w:r w:rsidRPr="005F7729">
        <w:rPr>
          <w:rFonts w:ascii="Times New Roman" w:hAnsi="Times New Roman" w:cs="Times New Roman"/>
        </w:rPr>
        <w:br/>
        <w:t>• Delivery Time vs Review Score</w:t>
      </w:r>
    </w:p>
    <w:p w14:paraId="09DDDBCD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Customer Segmentation</w:t>
      </w:r>
    </w:p>
    <w:p w14:paraId="1F460E5B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Customers were segmented based on lifetime revenue contribution into:</w:t>
      </w:r>
    </w:p>
    <w:p w14:paraId="5DA18C74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High Value</w:t>
      </w:r>
      <w:r w:rsidRPr="005F7729">
        <w:rPr>
          <w:rFonts w:ascii="Times New Roman" w:hAnsi="Times New Roman" w:cs="Times New Roman"/>
        </w:rPr>
        <w:br/>
        <w:t>• Medium Value</w:t>
      </w:r>
      <w:r w:rsidRPr="005F7729">
        <w:rPr>
          <w:rFonts w:ascii="Times New Roman" w:hAnsi="Times New Roman" w:cs="Times New Roman"/>
        </w:rPr>
        <w:br/>
        <w:t>• Low Value</w:t>
      </w:r>
    </w:p>
    <w:p w14:paraId="19961E5A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This segmentation helps identify revenue concentration risk and prioritization of retention strategies.</w:t>
      </w:r>
    </w:p>
    <w:p w14:paraId="2F171EDD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Key Insight</w:t>
      </w:r>
    </w:p>
    <w:p w14:paraId="2507D8A8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Delivery delay shows strong correlation with customer dissatisfaction:</w:t>
      </w:r>
    </w:p>
    <w:p w14:paraId="390F6CBD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1-star reviews average ~20.85 delivery days</w:t>
      </w:r>
      <w:r w:rsidRPr="005F7729">
        <w:rPr>
          <w:rFonts w:ascii="Times New Roman" w:hAnsi="Times New Roman" w:cs="Times New Roman"/>
        </w:rPr>
        <w:br/>
        <w:t>• 5-star reviews average ~10.22 delivery days</w:t>
      </w:r>
    </w:p>
    <w:p w14:paraId="1FCB61FC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lastRenderedPageBreak/>
        <w:t>Although direct abandonment is low, prolonged delivery increases medium-term churn risk, especially among high-value customers.</w:t>
      </w:r>
    </w:p>
    <w:p w14:paraId="587AB36C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pict w14:anchorId="5F30C92E">
          <v:rect id="_x0000_i1057" style="width:0;height:1.5pt" o:hralign="center" o:hrstd="t" o:hr="t" fillcolor="#a0a0a0" stroked="f"/>
        </w:pict>
      </w:r>
    </w:p>
    <w:p w14:paraId="76421CE2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Dashboard 3: Operational Performance</w:t>
      </w:r>
    </w:p>
    <w:p w14:paraId="615B0475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Components</w:t>
      </w:r>
    </w:p>
    <w:p w14:paraId="7BC6EE2B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Revenue by State (Geographic Distribution)</w:t>
      </w:r>
      <w:r w:rsidRPr="005F7729">
        <w:rPr>
          <w:rFonts w:ascii="Times New Roman" w:hAnsi="Times New Roman" w:cs="Times New Roman"/>
        </w:rPr>
        <w:br/>
        <w:t>• Delivery Days Distribution</w:t>
      </w:r>
      <w:r w:rsidRPr="005F7729">
        <w:rPr>
          <w:rFonts w:ascii="Times New Roman" w:hAnsi="Times New Roman" w:cs="Times New Roman"/>
        </w:rPr>
        <w:br/>
        <w:t>• Abandonment Monitoring</w:t>
      </w:r>
    </w:p>
    <w:p w14:paraId="19ABD685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This dashboard highlights operational bottlenecks that may contribute indirectly to future abandonment.</w:t>
      </w:r>
    </w:p>
    <w:p w14:paraId="70515932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Geographic revenue concentration combined with delivery variability suggests the need for SLA monitoring and seller performance evaluation.</w:t>
      </w:r>
    </w:p>
    <w:p w14:paraId="7BD7CBCC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pict w14:anchorId="6DA2D9A7">
          <v:rect id="_x0000_i1058" style="width:0;height:1.5pt" o:hralign="center" o:hrstd="t" o:hr="t" fillcolor="#a0a0a0" stroked="f"/>
        </w:pict>
      </w:r>
    </w:p>
    <w:p w14:paraId="20B23C09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Interactive Features</w:t>
      </w:r>
    </w:p>
    <w:p w14:paraId="70B5E089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The dashboards include:</w:t>
      </w:r>
    </w:p>
    <w:p w14:paraId="0C73DB9D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• Order Month filter</w:t>
      </w:r>
      <w:r w:rsidRPr="005F7729">
        <w:rPr>
          <w:rFonts w:ascii="Times New Roman" w:hAnsi="Times New Roman" w:cs="Times New Roman"/>
        </w:rPr>
        <w:br/>
        <w:t>• Customer State filter</w:t>
      </w:r>
      <w:r w:rsidRPr="005F7729">
        <w:rPr>
          <w:rFonts w:ascii="Times New Roman" w:hAnsi="Times New Roman" w:cs="Times New Roman"/>
        </w:rPr>
        <w:br/>
        <w:t>• Revenue Segment filter</w:t>
      </w:r>
    </w:p>
    <w:p w14:paraId="53BCC29E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 xml:space="preserve">These interactive controls allow stakeholders to </w:t>
      </w:r>
      <w:proofErr w:type="spellStart"/>
      <w:r w:rsidRPr="005F7729">
        <w:rPr>
          <w:rFonts w:ascii="Times New Roman" w:hAnsi="Times New Roman" w:cs="Times New Roman"/>
        </w:rPr>
        <w:t>analyze</w:t>
      </w:r>
      <w:proofErr w:type="spellEnd"/>
      <w:r w:rsidRPr="005F7729">
        <w:rPr>
          <w:rFonts w:ascii="Times New Roman" w:hAnsi="Times New Roman" w:cs="Times New Roman"/>
        </w:rPr>
        <w:t xml:space="preserve"> performance across time, geography, and customer categories.</w:t>
      </w:r>
    </w:p>
    <w:p w14:paraId="0B83042A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pict w14:anchorId="1B84C3BF">
          <v:rect id="_x0000_i1059" style="width:0;height:1.5pt" o:hralign="center" o:hrstd="t" o:hr="t" fillcolor="#a0a0a0" stroked="f"/>
        </w:pict>
      </w:r>
    </w:p>
    <w:p w14:paraId="3C436DCA" w14:textId="77777777" w:rsidR="005F7729" w:rsidRPr="005F7729" w:rsidRDefault="005F7729" w:rsidP="005F7729">
      <w:pPr>
        <w:rPr>
          <w:rFonts w:ascii="Times New Roman" w:hAnsi="Times New Roman" w:cs="Times New Roman"/>
          <w:b/>
          <w:bCs/>
        </w:rPr>
      </w:pPr>
      <w:r w:rsidRPr="005F7729">
        <w:rPr>
          <w:rFonts w:ascii="Times New Roman" w:hAnsi="Times New Roman" w:cs="Times New Roman"/>
          <w:b/>
          <w:bCs/>
        </w:rPr>
        <w:t>Alignment with Business Scenario</w:t>
      </w:r>
    </w:p>
    <w:p w14:paraId="01D7B082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While current cancellation-based abandonment is measured at 0.63%, operational inefficiencies and delivery delays present early warning signals.</w:t>
      </w:r>
    </w:p>
    <w:p w14:paraId="4A9B21B3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The dashboards therefore support a preventive strategy approach rather than reactive crisis management.</w:t>
      </w:r>
    </w:p>
    <w:p w14:paraId="3C68ABE4" w14:textId="77777777" w:rsidR="005F7729" w:rsidRPr="005F7729" w:rsidRDefault="005F7729" w:rsidP="005F7729">
      <w:pPr>
        <w:rPr>
          <w:rFonts w:ascii="Times New Roman" w:hAnsi="Times New Roman" w:cs="Times New Roman"/>
        </w:rPr>
      </w:pPr>
      <w:r w:rsidRPr="005F7729">
        <w:rPr>
          <w:rFonts w:ascii="Times New Roman" w:hAnsi="Times New Roman" w:cs="Times New Roman"/>
        </w:rPr>
        <w:t>This blended analytical perspective aligns both with the project scenario and the actual dataset findings.</w:t>
      </w:r>
    </w:p>
    <w:p w14:paraId="734E0D4B" w14:textId="77777777" w:rsidR="004346F0" w:rsidRPr="005F7729" w:rsidRDefault="004346F0">
      <w:pPr>
        <w:rPr>
          <w:rFonts w:ascii="Times New Roman" w:hAnsi="Times New Roman" w:cs="Times New Roman"/>
        </w:rPr>
      </w:pPr>
    </w:p>
    <w:sectPr w:rsidR="004346F0" w:rsidRPr="005F7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729"/>
    <w:rsid w:val="000B73B5"/>
    <w:rsid w:val="0017753B"/>
    <w:rsid w:val="004346F0"/>
    <w:rsid w:val="0047488F"/>
    <w:rsid w:val="005F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68666"/>
  <w15:chartTrackingRefBased/>
  <w15:docId w15:val="{D5A8B3E2-C190-48CC-B1AE-50912DDE2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401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DADHE</dc:creator>
  <cp:keywords/>
  <dc:description/>
  <cp:lastModifiedBy>OM DADHE</cp:lastModifiedBy>
  <cp:revision>1</cp:revision>
  <dcterms:created xsi:type="dcterms:W3CDTF">2026-02-22T18:00:00Z</dcterms:created>
  <dcterms:modified xsi:type="dcterms:W3CDTF">2026-02-22T18:02:00Z</dcterms:modified>
</cp:coreProperties>
</file>