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Leave Policy</w:t>
      </w:r>
    </w:p>
    <w:p>
      <w:r>
        <w:t>All employees are entitled to 20 days of annual leave.</w:t>
      </w:r>
    </w:p>
    <w:p>
      <w:r>
        <w:t>Maternity leave is 26 weeks with full pay.</w:t>
      </w:r>
    </w:p>
    <w:p>
      <w:r>
        <w:t>Paternity leave is 4 weeks.</w:t>
      </w:r>
    </w:p>
    <w:p>
      <w:r>
        <w:t>Unused annual leave can be carried forward for one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