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69FFF0" w14:textId="77777777" w:rsidR="00D554C7" w:rsidRDefault="00000000">
      <w:pPr>
        <w:shd w:val="clear" w:color="auto" w:fill="1F3864"/>
        <w:spacing w:before="400" w:after="80"/>
        <w:jc w:val="center"/>
      </w:pPr>
      <w:r>
        <w:rPr>
          <w:b/>
          <w:bCs/>
          <w:color w:val="FFFFFF"/>
          <w:sz w:val="40"/>
          <w:szCs w:val="40"/>
        </w:rPr>
        <w:t>ASSIGNMENT 12</w:t>
      </w:r>
    </w:p>
    <w:p w14:paraId="3D8C7F91" w14:textId="77777777" w:rsidR="00D554C7" w:rsidRDefault="00000000">
      <w:pPr>
        <w:shd w:val="clear" w:color="auto" w:fill="1F3864"/>
        <w:spacing w:after="240"/>
        <w:jc w:val="center"/>
      </w:pPr>
      <w:r>
        <w:rPr>
          <w:b/>
          <w:bCs/>
          <w:color w:val="F0F0F0"/>
          <w:sz w:val="28"/>
          <w:szCs w:val="28"/>
        </w:rPr>
        <w:t>Key Findings, Insights &amp; Limitations</w:t>
      </w:r>
    </w:p>
    <w:tbl>
      <w:tblPr>
        <w:tblStyle w:val="a"/>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000"/>
        <w:gridCol w:w="6360"/>
      </w:tblGrid>
      <w:tr w:rsidR="00D554C7" w14:paraId="363E36F7" w14:textId="77777777">
        <w:tc>
          <w:tcPr>
            <w:tcW w:w="3000" w:type="dxa"/>
            <w:tcBorders>
              <w:top w:val="single" w:sz="4" w:space="0" w:color="CCCCCC"/>
              <w:left w:val="single" w:sz="4" w:space="0" w:color="CCCCCC"/>
              <w:bottom w:val="single" w:sz="4" w:space="0" w:color="CCCCCC"/>
              <w:right w:val="single" w:sz="4" w:space="0" w:color="CCCCCC"/>
            </w:tcBorders>
            <w:shd w:val="clear" w:color="auto" w:fill="2E4057"/>
            <w:tcMar>
              <w:top w:w="80" w:type="dxa"/>
              <w:left w:w="120" w:type="dxa"/>
              <w:bottom w:w="80" w:type="dxa"/>
              <w:right w:w="120" w:type="dxa"/>
            </w:tcMar>
          </w:tcPr>
          <w:p w14:paraId="5206AE4C" w14:textId="77777777" w:rsidR="00D554C7" w:rsidRDefault="00000000">
            <w:r>
              <w:rPr>
                <w:b/>
                <w:bCs/>
                <w:color w:val="FFFFFF"/>
                <w:sz w:val="20"/>
                <w:szCs w:val="20"/>
              </w:rPr>
              <w:t>Field</w:t>
            </w:r>
          </w:p>
        </w:tc>
        <w:tc>
          <w:tcPr>
            <w:tcW w:w="6360" w:type="dxa"/>
            <w:tcBorders>
              <w:top w:val="single" w:sz="4" w:space="0" w:color="CCCCCC"/>
              <w:left w:val="single" w:sz="4" w:space="0" w:color="CCCCCC"/>
              <w:bottom w:val="single" w:sz="4" w:space="0" w:color="CCCCCC"/>
              <w:right w:val="single" w:sz="4" w:space="0" w:color="CCCCCC"/>
            </w:tcBorders>
            <w:shd w:val="clear" w:color="auto" w:fill="2E4057"/>
            <w:tcMar>
              <w:top w:w="80" w:type="dxa"/>
              <w:left w:w="120" w:type="dxa"/>
              <w:bottom w:w="80" w:type="dxa"/>
              <w:right w:w="120" w:type="dxa"/>
            </w:tcMar>
          </w:tcPr>
          <w:p w14:paraId="65598488" w14:textId="77777777" w:rsidR="00D554C7" w:rsidRDefault="00000000">
            <w:r>
              <w:rPr>
                <w:b/>
                <w:bCs/>
                <w:color w:val="FFFFFF"/>
                <w:sz w:val="20"/>
                <w:szCs w:val="20"/>
              </w:rPr>
              <w:t>Details</w:t>
            </w:r>
          </w:p>
        </w:tc>
      </w:tr>
      <w:tr w:rsidR="00D554C7" w14:paraId="32EEA4B7" w14:textId="77777777">
        <w:tc>
          <w:tcPr>
            <w:tcW w:w="3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0BCF683E" w14:textId="77777777" w:rsidR="00D554C7" w:rsidRDefault="00000000">
            <w:r>
              <w:rPr>
                <w:b/>
                <w:bCs/>
                <w:color w:val="000000"/>
                <w:sz w:val="20"/>
                <w:szCs w:val="20"/>
              </w:rPr>
              <w:t>Student Name</w:t>
            </w:r>
          </w:p>
        </w:tc>
        <w:tc>
          <w:tcPr>
            <w:tcW w:w="63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2EDEC314" w14:textId="55BD0ACE" w:rsidR="00D554C7" w:rsidRDefault="00B32E4B">
            <w:r>
              <w:rPr>
                <w:color w:val="000000"/>
                <w:sz w:val="20"/>
                <w:szCs w:val="20"/>
              </w:rPr>
              <w:t>Om Arun Mahalle</w:t>
            </w:r>
          </w:p>
        </w:tc>
      </w:tr>
      <w:tr w:rsidR="00D554C7" w14:paraId="435D254F" w14:textId="77777777">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831E124" w14:textId="77777777" w:rsidR="00D554C7" w:rsidRDefault="00000000">
            <w:r>
              <w:rPr>
                <w:b/>
                <w:bCs/>
                <w:color w:val="000000"/>
                <w:sz w:val="20"/>
                <w:szCs w:val="20"/>
              </w:rPr>
              <w:t>Roll No</w:t>
            </w:r>
          </w:p>
        </w:tc>
        <w:tc>
          <w:tcPr>
            <w:tcW w:w="6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C96E1B0" w14:textId="71857C7F" w:rsidR="00D554C7" w:rsidRDefault="00000000">
            <w:r>
              <w:rPr>
                <w:sz w:val="20"/>
                <w:szCs w:val="20"/>
              </w:rPr>
              <w:t>B-</w:t>
            </w:r>
            <w:r w:rsidR="00B32E4B">
              <w:rPr>
                <w:sz w:val="20"/>
                <w:szCs w:val="20"/>
              </w:rPr>
              <w:t>05</w:t>
            </w:r>
          </w:p>
        </w:tc>
      </w:tr>
      <w:tr w:rsidR="00D554C7" w14:paraId="01ED1369" w14:textId="77777777">
        <w:tc>
          <w:tcPr>
            <w:tcW w:w="3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676D11A7" w14:textId="77777777" w:rsidR="00D554C7" w:rsidRDefault="00000000">
            <w:r>
              <w:rPr>
                <w:b/>
                <w:bCs/>
                <w:color w:val="000000"/>
                <w:sz w:val="20"/>
                <w:szCs w:val="20"/>
              </w:rPr>
              <w:t>Department</w:t>
            </w:r>
          </w:p>
        </w:tc>
        <w:tc>
          <w:tcPr>
            <w:tcW w:w="63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5E4B1838" w14:textId="77777777" w:rsidR="00D554C7" w:rsidRDefault="00000000">
            <w:r>
              <w:rPr>
                <w:color w:val="000000"/>
                <w:sz w:val="20"/>
                <w:szCs w:val="20"/>
              </w:rPr>
              <w:t>Information Technology</w:t>
            </w:r>
          </w:p>
        </w:tc>
      </w:tr>
      <w:tr w:rsidR="00D554C7" w14:paraId="2322089A" w14:textId="77777777">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F0E484E" w14:textId="77777777" w:rsidR="00D554C7" w:rsidRDefault="00000000">
            <w:r>
              <w:rPr>
                <w:b/>
                <w:bCs/>
                <w:color w:val="000000"/>
                <w:sz w:val="20"/>
                <w:szCs w:val="20"/>
              </w:rPr>
              <w:t>Institution</w:t>
            </w:r>
          </w:p>
        </w:tc>
        <w:tc>
          <w:tcPr>
            <w:tcW w:w="6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1F8DC23" w14:textId="77777777" w:rsidR="00D554C7" w:rsidRDefault="00000000">
            <w:r>
              <w:rPr>
                <w:color w:val="000000"/>
                <w:sz w:val="20"/>
                <w:szCs w:val="20"/>
              </w:rPr>
              <w:t>Walchand Institute of Technology, Solapur</w:t>
            </w:r>
          </w:p>
        </w:tc>
      </w:tr>
      <w:tr w:rsidR="00D554C7" w14:paraId="34892D66" w14:textId="77777777">
        <w:tc>
          <w:tcPr>
            <w:tcW w:w="3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6BB0C646" w14:textId="77777777" w:rsidR="00D554C7" w:rsidRDefault="00000000">
            <w:r>
              <w:rPr>
                <w:b/>
                <w:bCs/>
                <w:color w:val="000000"/>
                <w:sz w:val="20"/>
                <w:szCs w:val="20"/>
              </w:rPr>
              <w:t>Course</w:t>
            </w:r>
          </w:p>
        </w:tc>
        <w:tc>
          <w:tcPr>
            <w:tcW w:w="63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77B34C75" w14:textId="77777777" w:rsidR="00D554C7" w:rsidRDefault="00000000">
            <w:r>
              <w:rPr>
                <w:color w:val="000000"/>
                <w:sz w:val="20"/>
                <w:szCs w:val="20"/>
              </w:rPr>
              <w:t>Artificial Intelligence</w:t>
            </w:r>
          </w:p>
        </w:tc>
      </w:tr>
      <w:tr w:rsidR="00D554C7" w14:paraId="2B921C8C" w14:textId="77777777">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D9F7681" w14:textId="77777777" w:rsidR="00D554C7" w:rsidRDefault="00000000">
            <w:r>
              <w:rPr>
                <w:b/>
                <w:bCs/>
                <w:color w:val="000000"/>
                <w:sz w:val="20"/>
                <w:szCs w:val="20"/>
              </w:rPr>
              <w:t>Professor</w:t>
            </w:r>
          </w:p>
        </w:tc>
        <w:tc>
          <w:tcPr>
            <w:tcW w:w="6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991DB2D" w14:textId="77777777" w:rsidR="00D554C7" w:rsidRDefault="00000000">
            <w:r>
              <w:rPr>
                <w:color w:val="000000"/>
                <w:sz w:val="20"/>
                <w:szCs w:val="20"/>
              </w:rPr>
              <w:t xml:space="preserve">Mrs. Deepali </w:t>
            </w:r>
            <w:proofErr w:type="spellStart"/>
            <w:r>
              <w:rPr>
                <w:color w:val="000000"/>
                <w:sz w:val="20"/>
                <w:szCs w:val="20"/>
              </w:rPr>
              <w:t>Awasekar</w:t>
            </w:r>
            <w:proofErr w:type="spellEnd"/>
          </w:p>
        </w:tc>
      </w:tr>
      <w:tr w:rsidR="00D554C7" w14:paraId="16E102BF" w14:textId="77777777">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F5E007A" w14:textId="77777777" w:rsidR="00D554C7" w:rsidRDefault="00000000">
            <w:r>
              <w:rPr>
                <w:b/>
                <w:bCs/>
                <w:color w:val="000000"/>
                <w:sz w:val="20"/>
                <w:szCs w:val="20"/>
              </w:rPr>
              <w:t>Dataset Used</w:t>
            </w:r>
          </w:p>
        </w:tc>
        <w:tc>
          <w:tcPr>
            <w:tcW w:w="6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4450516" w14:textId="4E469C49" w:rsidR="00D554C7" w:rsidRDefault="00B32E4B">
            <w:r>
              <w:rPr>
                <w:color w:val="000000"/>
                <w:sz w:val="20"/>
                <w:szCs w:val="20"/>
              </w:rPr>
              <w:t xml:space="preserve">Silver price forecasting </w:t>
            </w:r>
            <w:r w:rsidR="00000000">
              <w:rPr>
                <w:color w:val="000000"/>
                <w:sz w:val="20"/>
                <w:szCs w:val="20"/>
              </w:rPr>
              <w:t>— Kaggle</w:t>
            </w:r>
          </w:p>
        </w:tc>
      </w:tr>
    </w:tbl>
    <w:p w14:paraId="513326A3" w14:textId="77777777" w:rsidR="00D554C7" w:rsidRDefault="00D554C7">
      <w:pPr>
        <w:pBdr>
          <w:bottom w:val="single" w:sz="6" w:space="1" w:color="1F3864"/>
        </w:pBdr>
        <w:spacing w:before="200" w:after="200"/>
      </w:pPr>
    </w:p>
    <w:p w14:paraId="325E1F78" w14:textId="77777777" w:rsidR="00D554C7" w:rsidRDefault="00000000">
      <w:pPr>
        <w:pStyle w:val="Heading1"/>
        <w:spacing w:before="320" w:after="160"/>
      </w:pPr>
      <w:r>
        <w:rPr>
          <w:b/>
          <w:bCs/>
          <w:color w:val="1F3864"/>
          <w:sz w:val="28"/>
          <w:szCs w:val="28"/>
        </w:rPr>
        <w:t>1. Introduction</w:t>
      </w:r>
    </w:p>
    <w:p w14:paraId="32EBE9AB" w14:textId="712F619C" w:rsidR="00D554C7" w:rsidRDefault="00B32E4B">
      <w:pPr>
        <w:pBdr>
          <w:bottom w:val="single" w:sz="6" w:space="1" w:color="1F3864"/>
        </w:pBdr>
        <w:spacing w:before="200" w:after="200"/>
      </w:pPr>
      <w:r w:rsidRPr="00B32E4B">
        <w:t>This assignment summarizes the complete Exploratory Data Analysis (EDA) performed on the Silver Price dataset (2011–2026). The analysis includes numerical feature analysis, categorical feature exploration, and correlation analysis using heatmaps. The objective is to identify the most important patterns affecting silver price movements. Five key findings are presented, each supported by graphical analysis. This is followed by a critical evaluation of dataset limitations and methodological constraints. Finally, the report concludes with next steps for machine learning model development for price prediction.</w:t>
      </w:r>
    </w:p>
    <w:p w14:paraId="1F70210F" w14:textId="77777777" w:rsidR="00D554C7" w:rsidRDefault="00000000">
      <w:pPr>
        <w:pStyle w:val="Heading1"/>
        <w:spacing w:before="320" w:after="160"/>
      </w:pPr>
      <w:r>
        <w:rPr>
          <w:b/>
          <w:bCs/>
          <w:color w:val="1F3864"/>
          <w:sz w:val="28"/>
          <w:szCs w:val="28"/>
        </w:rPr>
        <w:t>2. Key Findings Table</w:t>
      </w:r>
    </w:p>
    <w:tbl>
      <w:tblPr>
        <w:tblStyle w:val="a0"/>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00"/>
        <w:gridCol w:w="2200"/>
        <w:gridCol w:w="3560"/>
        <w:gridCol w:w="3200"/>
      </w:tblGrid>
      <w:tr w:rsidR="00D554C7" w14:paraId="3B489834" w14:textId="77777777">
        <w:tc>
          <w:tcPr>
            <w:tcW w:w="4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2BB1116B" w14:textId="77777777" w:rsidR="00D554C7" w:rsidRDefault="00000000">
            <w:r>
              <w:rPr>
                <w:b/>
                <w:bCs/>
                <w:color w:val="FFFFFF"/>
                <w:sz w:val="20"/>
                <w:szCs w:val="20"/>
              </w:rPr>
              <w:t>#</w:t>
            </w:r>
          </w:p>
        </w:tc>
        <w:tc>
          <w:tcPr>
            <w:tcW w:w="22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42F60EF6" w14:textId="77777777" w:rsidR="00D554C7" w:rsidRDefault="00000000">
            <w:r>
              <w:rPr>
                <w:b/>
                <w:bCs/>
                <w:color w:val="FFFFFF"/>
                <w:sz w:val="20"/>
                <w:szCs w:val="20"/>
              </w:rPr>
              <w:t>Insight Summary</w:t>
            </w:r>
          </w:p>
        </w:tc>
        <w:tc>
          <w:tcPr>
            <w:tcW w:w="356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74A8CC14" w14:textId="77777777" w:rsidR="00D554C7" w:rsidRDefault="00000000">
            <w:r>
              <w:rPr>
                <w:b/>
                <w:bCs/>
                <w:color w:val="FFFFFF"/>
                <w:sz w:val="20"/>
                <w:szCs w:val="20"/>
              </w:rPr>
              <w:t>Detailed Finding</w:t>
            </w:r>
          </w:p>
        </w:tc>
        <w:tc>
          <w:tcPr>
            <w:tcW w:w="32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0AAA1DDF" w14:textId="77777777" w:rsidR="00D554C7" w:rsidRDefault="00000000">
            <w:r>
              <w:rPr>
                <w:b/>
                <w:bCs/>
                <w:color w:val="FFFFFF"/>
                <w:sz w:val="20"/>
                <w:szCs w:val="20"/>
              </w:rPr>
              <w:t>Supporting Graph</w:t>
            </w:r>
          </w:p>
        </w:tc>
      </w:tr>
      <w:tr w:rsidR="00D554C7" w14:paraId="6B5DE8B4" w14:textId="77777777">
        <w:tc>
          <w:tcPr>
            <w:tcW w:w="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B03D276" w14:textId="77777777" w:rsidR="00D554C7" w:rsidRDefault="00000000">
            <w:pPr>
              <w:jc w:val="center"/>
            </w:pPr>
            <w:r>
              <w:rPr>
                <w:b/>
                <w:bCs/>
                <w:color w:val="000000"/>
                <w:sz w:val="20"/>
                <w:szCs w:val="20"/>
              </w:rPr>
              <w:t>1</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CADF554" w14:textId="3F32B23B" w:rsidR="00D554C7" w:rsidRDefault="00B32E4B">
            <w:r w:rsidRPr="00B32E4B">
              <w:rPr>
                <w:b/>
                <w:bCs/>
                <w:color w:val="1F3864"/>
                <w:sz w:val="20"/>
                <w:szCs w:val="20"/>
              </w:rPr>
              <w:t>Silver prices show long-term growth with high volatility</w:t>
            </w:r>
          </w:p>
        </w:tc>
        <w:tc>
          <w:tcPr>
            <w:tcW w:w="3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8A93FC1" w14:textId="695726B2" w:rsidR="00D554C7" w:rsidRDefault="00B32E4B">
            <w:r w:rsidRPr="00B32E4B">
              <w:rPr>
                <w:color w:val="000000"/>
                <w:sz w:val="20"/>
                <w:szCs w:val="20"/>
              </w:rPr>
              <w:t>Time series analysis shows that silver prices have an overall increasing trend from 2011 to 2026, but with frequent sharp fluctuations. Major spikes and drops indicate strong market sensitivity to economic conditions. This confirms that silver is a volatile investment asset.</w:t>
            </w:r>
          </w:p>
        </w:tc>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FFF9758" w14:textId="44DD40BF" w:rsidR="00D554C7" w:rsidRDefault="00B32E4B">
            <w:r>
              <w:rPr>
                <w:noProof/>
              </w:rPr>
              <w:drawing>
                <wp:inline distT="0" distB="0" distL="0" distR="0" wp14:anchorId="063A76AC" wp14:editId="35C0EAB0">
                  <wp:extent cx="1879600" cy="1050925"/>
                  <wp:effectExtent l="0" t="0" r="6350" b="0"/>
                  <wp:docPr id="20285817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879600" cy="1050925"/>
                          </a:xfrm>
                          <a:prstGeom prst="rect">
                            <a:avLst/>
                          </a:prstGeom>
                          <a:noFill/>
                          <a:ln>
                            <a:noFill/>
                          </a:ln>
                        </pic:spPr>
                      </pic:pic>
                    </a:graphicData>
                  </a:graphic>
                </wp:inline>
              </w:drawing>
            </w:r>
          </w:p>
        </w:tc>
      </w:tr>
      <w:tr w:rsidR="00D554C7" w14:paraId="06610430" w14:textId="77777777">
        <w:tc>
          <w:tcPr>
            <w:tcW w:w="4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0CB52426" w14:textId="77777777" w:rsidR="00D554C7" w:rsidRDefault="00000000">
            <w:pPr>
              <w:jc w:val="center"/>
            </w:pPr>
            <w:r>
              <w:rPr>
                <w:b/>
                <w:bCs/>
                <w:color w:val="000000"/>
                <w:sz w:val="20"/>
                <w:szCs w:val="20"/>
              </w:rPr>
              <w:t>2</w:t>
            </w:r>
          </w:p>
        </w:tc>
        <w:tc>
          <w:tcPr>
            <w:tcW w:w="2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1C3888DE" w14:textId="2284B716" w:rsidR="00D554C7" w:rsidRDefault="00B32E4B">
            <w:r w:rsidRPr="00B32E4B">
              <w:rPr>
                <w:b/>
                <w:bCs/>
                <w:color w:val="1F3864"/>
                <w:sz w:val="20"/>
                <w:szCs w:val="20"/>
              </w:rPr>
              <w:t>Strong positive correlation among price features</w:t>
            </w:r>
          </w:p>
        </w:tc>
        <w:tc>
          <w:tcPr>
            <w:tcW w:w="35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3FE775EE" w14:textId="2EAFBD08" w:rsidR="00D554C7" w:rsidRDefault="00B32E4B">
            <w:r w:rsidRPr="00B32E4B">
              <w:rPr>
                <w:color w:val="000000"/>
                <w:sz w:val="20"/>
                <w:szCs w:val="20"/>
              </w:rPr>
              <w:t xml:space="preserve">Correlation heatmap shows that Open, High, Low, and Close prices are highly correlated (close to +1). This means these variables move together and represent similar market </w:t>
            </w:r>
            <w:proofErr w:type="spellStart"/>
            <w:r w:rsidRPr="00B32E4B">
              <w:rPr>
                <w:color w:val="000000"/>
                <w:sz w:val="20"/>
                <w:szCs w:val="20"/>
              </w:rPr>
              <w:t>behavior</w:t>
            </w:r>
            <w:proofErr w:type="spellEnd"/>
            <w:r w:rsidRPr="00B32E4B">
              <w:rPr>
                <w:color w:val="000000"/>
                <w:sz w:val="20"/>
                <w:szCs w:val="20"/>
              </w:rPr>
              <w:t xml:space="preserve">, making some of them redundant for </w:t>
            </w:r>
            <w:proofErr w:type="spellStart"/>
            <w:r w:rsidRPr="00B32E4B">
              <w:rPr>
                <w:color w:val="000000"/>
                <w:sz w:val="20"/>
                <w:szCs w:val="20"/>
              </w:rPr>
              <w:t>modeling</w:t>
            </w:r>
            <w:proofErr w:type="spellEnd"/>
            <w:r w:rsidRPr="00B32E4B">
              <w:rPr>
                <w:color w:val="000000"/>
                <w:sz w:val="20"/>
                <w:szCs w:val="20"/>
              </w:rPr>
              <w:t>.</w:t>
            </w:r>
          </w:p>
        </w:tc>
        <w:tc>
          <w:tcPr>
            <w:tcW w:w="3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2DA3F7AA" w14:textId="21A18C08" w:rsidR="00D554C7" w:rsidRDefault="00B32E4B">
            <w:r>
              <w:rPr>
                <w:noProof/>
              </w:rPr>
              <w:drawing>
                <wp:inline distT="0" distB="0" distL="0" distR="0" wp14:anchorId="42597197" wp14:editId="6B22EBE7">
                  <wp:extent cx="1879600" cy="1447800"/>
                  <wp:effectExtent l="0" t="0" r="6350" b="0"/>
                  <wp:docPr id="109835491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879600" cy="1447800"/>
                          </a:xfrm>
                          <a:prstGeom prst="rect">
                            <a:avLst/>
                          </a:prstGeom>
                          <a:noFill/>
                          <a:ln>
                            <a:noFill/>
                          </a:ln>
                        </pic:spPr>
                      </pic:pic>
                    </a:graphicData>
                  </a:graphic>
                </wp:inline>
              </w:drawing>
            </w:r>
          </w:p>
        </w:tc>
      </w:tr>
      <w:tr w:rsidR="00D554C7" w14:paraId="01668C29" w14:textId="77777777">
        <w:tc>
          <w:tcPr>
            <w:tcW w:w="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2EA473B" w14:textId="77777777" w:rsidR="00D554C7" w:rsidRDefault="00000000">
            <w:pPr>
              <w:jc w:val="center"/>
            </w:pPr>
            <w:r>
              <w:rPr>
                <w:b/>
                <w:bCs/>
                <w:color w:val="000000"/>
                <w:sz w:val="20"/>
                <w:szCs w:val="20"/>
              </w:rPr>
              <w:lastRenderedPageBreak/>
              <w:t>3</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0BB7934" w14:textId="7922FBB1" w:rsidR="00D554C7" w:rsidRDefault="00B32E4B">
            <w:r w:rsidRPr="00B32E4B">
              <w:rPr>
                <w:b/>
                <w:bCs/>
                <w:color w:val="1F3864"/>
                <w:sz w:val="20"/>
                <w:szCs w:val="20"/>
              </w:rPr>
              <w:t>Volatility (High–Low) captures market risk effectively</w:t>
            </w:r>
          </w:p>
        </w:tc>
        <w:tc>
          <w:tcPr>
            <w:tcW w:w="3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3258068" w14:textId="41B04814" w:rsidR="00D554C7" w:rsidRDefault="00B32E4B">
            <w:r w:rsidRPr="00B32E4B">
              <w:rPr>
                <w:color w:val="000000"/>
                <w:sz w:val="20"/>
                <w:szCs w:val="20"/>
              </w:rPr>
              <w:t>Box plots and violin plots show that the price range (High–Low) increases significantly during unstable periods. This indicates that volatility is a strong indicator of market uncertainty and risk.</w:t>
            </w:r>
          </w:p>
        </w:tc>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0BBD852" w14:textId="4F2917A6" w:rsidR="00D554C7" w:rsidRDefault="00B32E4B">
            <w:r>
              <w:rPr>
                <w:noProof/>
              </w:rPr>
              <w:drawing>
                <wp:inline distT="0" distB="0" distL="0" distR="0" wp14:anchorId="0BE4D13C" wp14:editId="45370761">
                  <wp:extent cx="1879600" cy="1031240"/>
                  <wp:effectExtent l="0" t="0" r="6350" b="0"/>
                  <wp:docPr id="171093962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879600" cy="1031240"/>
                          </a:xfrm>
                          <a:prstGeom prst="rect">
                            <a:avLst/>
                          </a:prstGeom>
                          <a:noFill/>
                          <a:ln>
                            <a:noFill/>
                          </a:ln>
                        </pic:spPr>
                      </pic:pic>
                    </a:graphicData>
                  </a:graphic>
                </wp:inline>
              </w:drawing>
            </w:r>
          </w:p>
        </w:tc>
      </w:tr>
      <w:tr w:rsidR="00D554C7" w14:paraId="30FDE1B4" w14:textId="77777777">
        <w:tc>
          <w:tcPr>
            <w:tcW w:w="4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561BABE7" w14:textId="77777777" w:rsidR="00D554C7" w:rsidRDefault="00000000">
            <w:pPr>
              <w:jc w:val="center"/>
            </w:pPr>
            <w:r>
              <w:rPr>
                <w:b/>
                <w:bCs/>
                <w:color w:val="000000"/>
                <w:sz w:val="20"/>
                <w:szCs w:val="20"/>
              </w:rPr>
              <w:t>4</w:t>
            </w:r>
          </w:p>
        </w:tc>
        <w:tc>
          <w:tcPr>
            <w:tcW w:w="2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B32E4B" w:rsidRPr="00B32E4B" w14:paraId="0D97E19B" w14:textId="77777777">
              <w:trPr>
                <w:tblCellSpacing w:w="15" w:type="dxa"/>
              </w:trPr>
              <w:tc>
                <w:tcPr>
                  <w:tcW w:w="36" w:type="dxa"/>
                  <w:vAlign w:val="center"/>
                  <w:hideMark/>
                </w:tcPr>
                <w:p w14:paraId="16D53D28" w14:textId="77777777" w:rsidR="00B32E4B" w:rsidRPr="00B32E4B" w:rsidRDefault="00B32E4B" w:rsidP="00B32E4B">
                  <w:pPr>
                    <w:rPr>
                      <w:b/>
                      <w:bCs/>
                      <w:color w:val="1F3864"/>
                      <w:sz w:val="20"/>
                      <w:szCs w:val="20"/>
                    </w:rPr>
                  </w:pPr>
                </w:p>
              </w:tc>
            </w:tr>
          </w:tbl>
          <w:p w14:paraId="16B6A205" w14:textId="77777777" w:rsidR="00B32E4B" w:rsidRPr="00B32E4B" w:rsidRDefault="00B32E4B" w:rsidP="00B32E4B">
            <w:pPr>
              <w:rPr>
                <w:b/>
                <w:bCs/>
                <w:vanish/>
                <w:color w:val="1F3864"/>
                <w:sz w:val="20"/>
                <w:szCs w:val="2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463"/>
            </w:tblGrid>
            <w:tr w:rsidR="00B32E4B" w:rsidRPr="00B32E4B" w14:paraId="7A1FA47B" w14:textId="77777777">
              <w:trPr>
                <w:tblCellSpacing w:w="15" w:type="dxa"/>
              </w:trPr>
              <w:tc>
                <w:tcPr>
                  <w:tcW w:w="4403" w:type="dxa"/>
                  <w:vAlign w:val="center"/>
                  <w:hideMark/>
                </w:tcPr>
                <w:p w14:paraId="36750429" w14:textId="77777777" w:rsidR="00B32E4B" w:rsidRDefault="00B32E4B" w:rsidP="00B32E4B">
                  <w:pPr>
                    <w:rPr>
                      <w:b/>
                      <w:bCs/>
                      <w:color w:val="1F3864"/>
                      <w:sz w:val="20"/>
                      <w:szCs w:val="20"/>
                    </w:rPr>
                  </w:pPr>
                  <w:r w:rsidRPr="00B32E4B">
                    <w:rPr>
                      <w:b/>
                      <w:bCs/>
                      <w:color w:val="1F3864"/>
                      <w:sz w:val="20"/>
                      <w:szCs w:val="20"/>
                    </w:rPr>
                    <w:t>Trading volume is</w:t>
                  </w:r>
                </w:p>
                <w:p w14:paraId="6349F6F8" w14:textId="77777777" w:rsidR="00B32E4B" w:rsidRDefault="00B32E4B" w:rsidP="00B32E4B">
                  <w:pPr>
                    <w:rPr>
                      <w:b/>
                      <w:bCs/>
                      <w:color w:val="1F3864"/>
                      <w:sz w:val="20"/>
                      <w:szCs w:val="20"/>
                    </w:rPr>
                  </w:pPr>
                  <w:r w:rsidRPr="00B32E4B">
                    <w:rPr>
                      <w:b/>
                      <w:bCs/>
                      <w:color w:val="1F3864"/>
                      <w:sz w:val="20"/>
                      <w:szCs w:val="20"/>
                    </w:rPr>
                    <w:t xml:space="preserve"> linked to price </w:t>
                  </w:r>
                </w:p>
                <w:p w14:paraId="777261D2" w14:textId="422D6A0B" w:rsidR="00B32E4B" w:rsidRPr="00B32E4B" w:rsidRDefault="00B32E4B" w:rsidP="00B32E4B">
                  <w:pPr>
                    <w:rPr>
                      <w:b/>
                      <w:bCs/>
                      <w:color w:val="1F3864"/>
                      <w:sz w:val="20"/>
                      <w:szCs w:val="20"/>
                    </w:rPr>
                  </w:pPr>
                  <w:r w:rsidRPr="00B32E4B">
                    <w:rPr>
                      <w:b/>
                      <w:bCs/>
                      <w:color w:val="1F3864"/>
                      <w:sz w:val="20"/>
                      <w:szCs w:val="20"/>
                    </w:rPr>
                    <w:t>movements</w:t>
                  </w:r>
                </w:p>
              </w:tc>
            </w:tr>
          </w:tbl>
          <w:p w14:paraId="7E9EA0CC" w14:textId="76C5A198" w:rsidR="00D554C7" w:rsidRDefault="00000000">
            <w:r>
              <w:rPr>
                <w:b/>
                <w:bCs/>
                <w:color w:val="1F3864"/>
                <w:sz w:val="20"/>
                <w:szCs w:val="20"/>
              </w:rPr>
              <w:t>.</w:t>
            </w:r>
          </w:p>
        </w:tc>
        <w:tc>
          <w:tcPr>
            <w:tcW w:w="35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268B9C49" w14:textId="13BE7C35" w:rsidR="00D554C7" w:rsidRDefault="00B32E4B">
            <w:r w:rsidRPr="00B32E4B">
              <w:rPr>
                <w:color w:val="000000"/>
                <w:sz w:val="20"/>
                <w:szCs w:val="20"/>
              </w:rPr>
              <w:t>Histogram and scatter plots show that higher trading volumes often occur during large price changes. This suggests that investor activity increases during uncertain or high-opportunity periods.</w:t>
            </w:r>
          </w:p>
        </w:tc>
        <w:tc>
          <w:tcPr>
            <w:tcW w:w="3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54F75ED5" w14:textId="41CC5B80" w:rsidR="00D554C7" w:rsidRDefault="00B32E4B">
            <w:r>
              <w:rPr>
                <w:noProof/>
              </w:rPr>
              <w:drawing>
                <wp:inline distT="0" distB="0" distL="0" distR="0" wp14:anchorId="336138E1" wp14:editId="051301C1">
                  <wp:extent cx="1879600" cy="989330"/>
                  <wp:effectExtent l="0" t="0" r="6350" b="1270"/>
                  <wp:docPr id="34723861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879600" cy="989330"/>
                          </a:xfrm>
                          <a:prstGeom prst="rect">
                            <a:avLst/>
                          </a:prstGeom>
                          <a:noFill/>
                          <a:ln>
                            <a:noFill/>
                          </a:ln>
                        </pic:spPr>
                      </pic:pic>
                    </a:graphicData>
                  </a:graphic>
                </wp:inline>
              </w:drawing>
            </w:r>
          </w:p>
        </w:tc>
      </w:tr>
      <w:tr w:rsidR="00D554C7" w14:paraId="5E80A6BB" w14:textId="77777777">
        <w:tc>
          <w:tcPr>
            <w:tcW w:w="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6C88571" w14:textId="77777777" w:rsidR="00D554C7" w:rsidRDefault="00000000">
            <w:pPr>
              <w:jc w:val="center"/>
            </w:pPr>
            <w:r>
              <w:rPr>
                <w:b/>
                <w:bCs/>
                <w:color w:val="000000"/>
                <w:sz w:val="20"/>
                <w:szCs w:val="20"/>
              </w:rPr>
              <w:t>5</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5B40BBB" w14:textId="1276CFCF" w:rsidR="00D554C7" w:rsidRDefault="00B32E4B">
            <w:r w:rsidRPr="00B32E4B">
              <w:rPr>
                <w:b/>
                <w:bCs/>
                <w:color w:val="1F3864"/>
                <w:sz w:val="20"/>
                <w:szCs w:val="20"/>
              </w:rPr>
              <w:t>Engineered features reveal hidden patterns</w:t>
            </w:r>
          </w:p>
        </w:tc>
        <w:tc>
          <w:tcPr>
            <w:tcW w:w="3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10"/>
            </w:tblGrid>
            <w:tr w:rsidR="00B32E4B" w:rsidRPr="00B32E4B" w14:paraId="5D6BE1C7" w14:textId="77777777">
              <w:trPr>
                <w:tblCellSpacing w:w="15" w:type="dxa"/>
              </w:trPr>
              <w:tc>
                <w:tcPr>
                  <w:tcW w:w="2150" w:type="dxa"/>
                  <w:vAlign w:val="center"/>
                  <w:hideMark/>
                </w:tcPr>
                <w:p w14:paraId="0F6CD674" w14:textId="77777777" w:rsidR="00B32E4B" w:rsidRPr="00B32E4B" w:rsidRDefault="00B32E4B" w:rsidP="00B32E4B">
                  <w:pPr>
                    <w:rPr>
                      <w:color w:val="000000"/>
                      <w:sz w:val="20"/>
                      <w:szCs w:val="20"/>
                    </w:rPr>
                  </w:pPr>
                  <w:r w:rsidRPr="00B32E4B">
                    <w:rPr>
                      <w:color w:val="000000"/>
                      <w:sz w:val="20"/>
                      <w:szCs w:val="20"/>
                    </w:rPr>
                    <w:t>reveal hidden patterns</w:t>
                  </w:r>
                </w:p>
              </w:tc>
            </w:tr>
          </w:tbl>
          <w:p w14:paraId="0EC16DA2" w14:textId="77777777" w:rsidR="00B32E4B" w:rsidRPr="00B32E4B" w:rsidRDefault="00B32E4B" w:rsidP="00B32E4B">
            <w:pPr>
              <w:rPr>
                <w:vanish/>
                <w:color w:val="000000"/>
                <w:sz w:val="20"/>
                <w:szCs w:val="2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360"/>
            </w:tblGrid>
            <w:tr w:rsidR="00B32E4B" w:rsidRPr="00B32E4B" w14:paraId="292D0403" w14:textId="77777777">
              <w:trPr>
                <w:tblCellSpacing w:w="15" w:type="dxa"/>
              </w:trPr>
              <w:tc>
                <w:tcPr>
                  <w:tcW w:w="9300" w:type="dxa"/>
                  <w:vAlign w:val="center"/>
                  <w:hideMark/>
                </w:tcPr>
                <w:p w14:paraId="2D978744" w14:textId="77777777" w:rsidR="00B32E4B" w:rsidRPr="00B32E4B" w:rsidRDefault="00B32E4B" w:rsidP="00B32E4B">
                  <w:pPr>
                    <w:rPr>
                      <w:color w:val="000000"/>
                      <w:sz w:val="20"/>
                      <w:szCs w:val="20"/>
                    </w:rPr>
                  </w:pPr>
                  <w:r w:rsidRPr="00B32E4B">
                    <w:rPr>
                      <w:color w:val="000000"/>
                      <w:sz w:val="20"/>
                      <w:szCs w:val="20"/>
                    </w:rPr>
                    <w:t>Features like price ratio (Close/Open) and daily returns provide better insights into market direction compared to raw features. These features help capture short-term trends and improve predictive understanding.</w:t>
                  </w:r>
                </w:p>
              </w:tc>
            </w:tr>
          </w:tbl>
          <w:p w14:paraId="0732C9F2" w14:textId="44DDE37C" w:rsidR="00D554C7" w:rsidRDefault="00D554C7"/>
        </w:tc>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27A078E" w14:textId="7547BADE" w:rsidR="00D554C7" w:rsidRDefault="00B32E4B">
            <w:r>
              <w:rPr>
                <w:noProof/>
              </w:rPr>
              <w:drawing>
                <wp:inline distT="0" distB="0" distL="0" distR="0" wp14:anchorId="64DB3518" wp14:editId="2794732B">
                  <wp:extent cx="1879600" cy="1497965"/>
                  <wp:effectExtent l="0" t="0" r="6350" b="6985"/>
                  <wp:docPr id="191537249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879600" cy="1497965"/>
                          </a:xfrm>
                          <a:prstGeom prst="rect">
                            <a:avLst/>
                          </a:prstGeom>
                          <a:noFill/>
                          <a:ln>
                            <a:noFill/>
                          </a:ln>
                        </pic:spPr>
                      </pic:pic>
                    </a:graphicData>
                  </a:graphic>
                </wp:inline>
              </w:drawing>
            </w:r>
          </w:p>
        </w:tc>
      </w:tr>
    </w:tbl>
    <w:p w14:paraId="08892D1A" w14:textId="77777777" w:rsidR="00D554C7" w:rsidRDefault="00D554C7">
      <w:pPr>
        <w:pBdr>
          <w:bottom w:val="single" w:sz="6" w:space="1" w:color="1F3864"/>
        </w:pBdr>
        <w:spacing w:before="200" w:after="200"/>
      </w:pPr>
    </w:p>
    <w:p w14:paraId="1193F7C5" w14:textId="77777777" w:rsidR="00D554C7" w:rsidRDefault="00000000">
      <w:pPr>
        <w:pStyle w:val="Heading1"/>
        <w:spacing w:before="320" w:after="160"/>
      </w:pPr>
      <w:r>
        <w:rPr>
          <w:b/>
          <w:bCs/>
          <w:color w:val="1F3864"/>
          <w:sz w:val="28"/>
          <w:szCs w:val="28"/>
        </w:rPr>
        <w:t>3. Limitations</w:t>
      </w:r>
    </w:p>
    <w:p w14:paraId="7494F251" w14:textId="77777777" w:rsidR="00D554C7" w:rsidRDefault="00000000">
      <w:pPr>
        <w:pStyle w:val="Heading2"/>
        <w:spacing w:before="240" w:after="120"/>
      </w:pPr>
      <w:r>
        <w:rPr>
          <w:b/>
          <w:bCs/>
          <w:color w:val="2E4057"/>
          <w:sz w:val="24"/>
          <w:szCs w:val="24"/>
        </w:rPr>
        <w:t>3.1 Dataset Limitations</w:t>
      </w:r>
    </w:p>
    <w:tbl>
      <w:tblPr>
        <w:tblStyle w:val="a1"/>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00"/>
        <w:gridCol w:w="2600"/>
        <w:gridCol w:w="3560"/>
        <w:gridCol w:w="2800"/>
      </w:tblGrid>
      <w:tr w:rsidR="00D554C7" w14:paraId="5B10448B" w14:textId="77777777">
        <w:tc>
          <w:tcPr>
            <w:tcW w:w="4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1120FEA5" w14:textId="77777777" w:rsidR="00D554C7" w:rsidRDefault="00000000">
            <w:r>
              <w:rPr>
                <w:b/>
                <w:bCs/>
                <w:color w:val="FFFFFF"/>
                <w:sz w:val="20"/>
                <w:szCs w:val="20"/>
              </w:rPr>
              <w:t>#</w:t>
            </w:r>
          </w:p>
        </w:tc>
        <w:tc>
          <w:tcPr>
            <w:tcW w:w="26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39D5C51A" w14:textId="77777777" w:rsidR="00D554C7" w:rsidRDefault="00000000">
            <w:r>
              <w:rPr>
                <w:b/>
                <w:bCs/>
                <w:color w:val="FFFFFF"/>
                <w:sz w:val="20"/>
                <w:szCs w:val="20"/>
              </w:rPr>
              <w:t>Limitation</w:t>
            </w:r>
          </w:p>
        </w:tc>
        <w:tc>
          <w:tcPr>
            <w:tcW w:w="356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58F74305" w14:textId="77777777" w:rsidR="00D554C7" w:rsidRDefault="00000000">
            <w:r>
              <w:rPr>
                <w:b/>
                <w:bCs/>
                <w:color w:val="FFFFFF"/>
                <w:sz w:val="20"/>
                <w:szCs w:val="20"/>
              </w:rPr>
              <w:t>Explanation</w:t>
            </w:r>
          </w:p>
        </w:tc>
        <w:tc>
          <w:tcPr>
            <w:tcW w:w="28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20D30916" w14:textId="77777777" w:rsidR="00D554C7" w:rsidRDefault="00000000">
            <w:r>
              <w:rPr>
                <w:b/>
                <w:bCs/>
                <w:color w:val="FFFFFF"/>
                <w:sz w:val="20"/>
                <w:szCs w:val="20"/>
              </w:rPr>
              <w:t>Impact on Analysis</w:t>
            </w:r>
          </w:p>
        </w:tc>
      </w:tr>
      <w:tr w:rsidR="00D554C7" w14:paraId="67A9BB01" w14:textId="77777777">
        <w:tc>
          <w:tcPr>
            <w:tcW w:w="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A226124" w14:textId="77777777" w:rsidR="00D554C7" w:rsidRDefault="00000000">
            <w:pPr>
              <w:jc w:val="center"/>
            </w:pPr>
            <w:r>
              <w:rPr>
                <w:b/>
                <w:bCs/>
                <w:color w:val="000000"/>
                <w:sz w:val="20"/>
                <w:szCs w:val="20"/>
              </w:rPr>
              <w:t>1</w:t>
            </w:r>
          </w:p>
        </w:tc>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B32E4B" w:rsidRPr="00B32E4B" w14:paraId="42E8BBF0" w14:textId="77777777">
              <w:trPr>
                <w:tblCellSpacing w:w="15" w:type="dxa"/>
              </w:trPr>
              <w:tc>
                <w:tcPr>
                  <w:tcW w:w="36" w:type="dxa"/>
                  <w:vAlign w:val="center"/>
                  <w:hideMark/>
                </w:tcPr>
                <w:p w14:paraId="0CDAD9F8" w14:textId="77777777" w:rsidR="00B32E4B" w:rsidRPr="00B32E4B" w:rsidRDefault="00B32E4B" w:rsidP="00B32E4B">
                  <w:pPr>
                    <w:rPr>
                      <w:b/>
                      <w:bCs/>
                      <w:color w:val="C00000"/>
                      <w:sz w:val="20"/>
                      <w:szCs w:val="20"/>
                    </w:rPr>
                  </w:pPr>
                </w:p>
              </w:tc>
            </w:tr>
          </w:tbl>
          <w:p w14:paraId="757EAC8B" w14:textId="77777777" w:rsidR="00B32E4B" w:rsidRPr="00B32E4B" w:rsidRDefault="00B32E4B" w:rsidP="00B32E4B">
            <w:pPr>
              <w:rPr>
                <w:b/>
                <w:bCs/>
                <w:vanish/>
                <w:color w:val="C00000"/>
                <w:sz w:val="20"/>
                <w:szCs w:val="2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23"/>
            </w:tblGrid>
            <w:tr w:rsidR="00B32E4B" w:rsidRPr="00B32E4B" w14:paraId="12D3F1F3" w14:textId="77777777">
              <w:trPr>
                <w:tblCellSpacing w:w="15" w:type="dxa"/>
              </w:trPr>
              <w:tc>
                <w:tcPr>
                  <w:tcW w:w="2863" w:type="dxa"/>
                  <w:vAlign w:val="center"/>
                  <w:hideMark/>
                </w:tcPr>
                <w:p w14:paraId="2D643A84" w14:textId="77777777" w:rsidR="00B32E4B" w:rsidRDefault="00B32E4B" w:rsidP="00B32E4B">
                  <w:pPr>
                    <w:rPr>
                      <w:b/>
                      <w:bCs/>
                      <w:color w:val="C00000"/>
                      <w:sz w:val="20"/>
                      <w:szCs w:val="20"/>
                    </w:rPr>
                  </w:pPr>
                  <w:r w:rsidRPr="00B32E4B">
                    <w:rPr>
                      <w:b/>
                      <w:bCs/>
                      <w:color w:val="C00000"/>
                      <w:sz w:val="20"/>
                      <w:szCs w:val="20"/>
                    </w:rPr>
                    <w:t>No external economic</w:t>
                  </w:r>
                </w:p>
                <w:p w14:paraId="17AE3FD8" w14:textId="4A515630" w:rsidR="00B32E4B" w:rsidRPr="00B32E4B" w:rsidRDefault="00B32E4B" w:rsidP="00B32E4B">
                  <w:pPr>
                    <w:rPr>
                      <w:b/>
                      <w:bCs/>
                      <w:color w:val="C00000"/>
                      <w:sz w:val="20"/>
                      <w:szCs w:val="20"/>
                    </w:rPr>
                  </w:pPr>
                  <w:r w:rsidRPr="00B32E4B">
                    <w:rPr>
                      <w:b/>
                      <w:bCs/>
                      <w:color w:val="C00000"/>
                      <w:sz w:val="20"/>
                      <w:szCs w:val="20"/>
                    </w:rPr>
                    <w:t xml:space="preserve"> factors</w:t>
                  </w:r>
                </w:p>
              </w:tc>
            </w:tr>
          </w:tbl>
          <w:p w14:paraId="33F550FC" w14:textId="60B7F911" w:rsidR="00D554C7" w:rsidRDefault="00D554C7"/>
        </w:tc>
        <w:tc>
          <w:tcPr>
            <w:tcW w:w="3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F365DE" w:rsidRPr="00F365DE" w14:paraId="045DA295" w14:textId="77777777">
              <w:trPr>
                <w:tblCellSpacing w:w="15" w:type="dxa"/>
              </w:trPr>
              <w:tc>
                <w:tcPr>
                  <w:tcW w:w="36" w:type="dxa"/>
                  <w:vAlign w:val="center"/>
                  <w:hideMark/>
                </w:tcPr>
                <w:p w14:paraId="0B458074" w14:textId="77777777" w:rsidR="00F365DE" w:rsidRPr="00F365DE" w:rsidRDefault="00F365DE" w:rsidP="00F365DE">
                  <w:pPr>
                    <w:rPr>
                      <w:color w:val="000000"/>
                      <w:sz w:val="20"/>
                      <w:szCs w:val="20"/>
                    </w:rPr>
                  </w:pPr>
                </w:p>
              </w:tc>
            </w:tr>
          </w:tbl>
          <w:p w14:paraId="1732E9B3" w14:textId="77777777" w:rsidR="00F365DE" w:rsidRPr="00F365DE" w:rsidRDefault="00F365DE" w:rsidP="00F365DE">
            <w:pPr>
              <w:rPr>
                <w:vanish/>
                <w:color w:val="000000"/>
                <w:sz w:val="20"/>
                <w:szCs w:val="2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360"/>
            </w:tblGrid>
            <w:tr w:rsidR="00F365DE" w:rsidRPr="00F365DE" w14:paraId="7CB0CAC3" w14:textId="77777777">
              <w:trPr>
                <w:tblCellSpacing w:w="15" w:type="dxa"/>
              </w:trPr>
              <w:tc>
                <w:tcPr>
                  <w:tcW w:w="9300" w:type="dxa"/>
                  <w:vAlign w:val="center"/>
                  <w:hideMark/>
                </w:tcPr>
                <w:p w14:paraId="7BA453BA" w14:textId="77777777" w:rsidR="00F365DE" w:rsidRDefault="00F365DE" w:rsidP="00F365DE">
                  <w:pPr>
                    <w:rPr>
                      <w:color w:val="000000"/>
                      <w:sz w:val="20"/>
                      <w:szCs w:val="20"/>
                    </w:rPr>
                  </w:pPr>
                  <w:r w:rsidRPr="00F365DE">
                    <w:rPr>
                      <w:color w:val="000000"/>
                      <w:sz w:val="20"/>
                      <w:szCs w:val="20"/>
                    </w:rPr>
                    <w:t>The dataset only contains price and</w:t>
                  </w:r>
                </w:p>
                <w:p w14:paraId="5AA93FDA" w14:textId="77777777" w:rsidR="00F365DE" w:rsidRDefault="00F365DE" w:rsidP="00F365DE">
                  <w:pPr>
                    <w:rPr>
                      <w:color w:val="000000"/>
                      <w:sz w:val="20"/>
                      <w:szCs w:val="20"/>
                    </w:rPr>
                  </w:pPr>
                  <w:r w:rsidRPr="00F365DE">
                    <w:rPr>
                      <w:color w:val="000000"/>
                      <w:sz w:val="20"/>
                      <w:szCs w:val="20"/>
                    </w:rPr>
                    <w:t xml:space="preserve"> volume data. Important factors like</w:t>
                  </w:r>
                </w:p>
                <w:p w14:paraId="3458BC65" w14:textId="77777777" w:rsidR="00F365DE" w:rsidRDefault="00F365DE" w:rsidP="00F365DE">
                  <w:pPr>
                    <w:rPr>
                      <w:color w:val="000000"/>
                      <w:sz w:val="20"/>
                      <w:szCs w:val="20"/>
                    </w:rPr>
                  </w:pPr>
                  <w:r w:rsidRPr="00F365DE">
                    <w:rPr>
                      <w:color w:val="000000"/>
                      <w:sz w:val="20"/>
                      <w:szCs w:val="20"/>
                    </w:rPr>
                    <w:t xml:space="preserve"> inflation, interest rates, global</w:t>
                  </w:r>
                </w:p>
                <w:p w14:paraId="795CD269" w14:textId="77777777" w:rsidR="00F365DE" w:rsidRDefault="00F365DE" w:rsidP="00F365DE">
                  <w:pPr>
                    <w:rPr>
                      <w:color w:val="000000"/>
                      <w:sz w:val="20"/>
                      <w:szCs w:val="20"/>
                    </w:rPr>
                  </w:pPr>
                  <w:r w:rsidRPr="00F365DE">
                    <w:rPr>
                      <w:color w:val="000000"/>
                      <w:sz w:val="20"/>
                      <w:szCs w:val="20"/>
                    </w:rPr>
                    <w:t xml:space="preserve"> demand, and geopolitical events are</w:t>
                  </w:r>
                </w:p>
                <w:p w14:paraId="173C3B04" w14:textId="4B4035CD" w:rsidR="00F365DE" w:rsidRPr="00F365DE" w:rsidRDefault="00F365DE" w:rsidP="00F365DE">
                  <w:pPr>
                    <w:rPr>
                      <w:color w:val="000000"/>
                      <w:sz w:val="20"/>
                      <w:szCs w:val="20"/>
                    </w:rPr>
                  </w:pPr>
                  <w:r w:rsidRPr="00F365DE">
                    <w:rPr>
                      <w:color w:val="000000"/>
                      <w:sz w:val="20"/>
                      <w:szCs w:val="20"/>
                    </w:rPr>
                    <w:t xml:space="preserve"> missing.</w:t>
                  </w:r>
                </w:p>
              </w:tc>
            </w:tr>
          </w:tbl>
          <w:p w14:paraId="6530A225" w14:textId="0D5B868D" w:rsidR="00D554C7" w:rsidRDefault="00D554C7"/>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5C9540A" w14:textId="43BFADE9" w:rsidR="00D554C7" w:rsidRDefault="00F365DE">
            <w:r w:rsidRPr="00F365DE">
              <w:rPr>
                <w:color w:val="C55A11"/>
                <w:sz w:val="20"/>
                <w:szCs w:val="20"/>
              </w:rPr>
              <w:t xml:space="preserve">The analysis cannot fully explain </w:t>
            </w:r>
            <w:r w:rsidRPr="00F365DE">
              <w:rPr>
                <w:i/>
                <w:iCs/>
                <w:color w:val="C55A11"/>
                <w:sz w:val="20"/>
                <w:szCs w:val="20"/>
              </w:rPr>
              <w:t>why</w:t>
            </w:r>
            <w:r w:rsidRPr="00F365DE">
              <w:rPr>
                <w:color w:val="C55A11"/>
                <w:sz w:val="20"/>
                <w:szCs w:val="20"/>
              </w:rPr>
              <w:t xml:space="preserve"> price changes occur, only </w:t>
            </w:r>
            <w:r w:rsidRPr="00F365DE">
              <w:rPr>
                <w:i/>
                <w:iCs/>
                <w:color w:val="C55A11"/>
                <w:sz w:val="20"/>
                <w:szCs w:val="20"/>
              </w:rPr>
              <w:t>what</w:t>
            </w:r>
            <w:r w:rsidRPr="00F365DE">
              <w:rPr>
                <w:color w:val="C55A11"/>
                <w:sz w:val="20"/>
                <w:szCs w:val="20"/>
              </w:rPr>
              <w:t xml:space="preserve"> changes happen</w:t>
            </w:r>
          </w:p>
        </w:tc>
      </w:tr>
      <w:tr w:rsidR="00D554C7" w14:paraId="2C070AF4" w14:textId="77777777">
        <w:tc>
          <w:tcPr>
            <w:tcW w:w="4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7577F81E" w14:textId="77777777" w:rsidR="00D554C7" w:rsidRDefault="00000000">
            <w:pPr>
              <w:jc w:val="center"/>
            </w:pPr>
            <w:r>
              <w:rPr>
                <w:b/>
                <w:bCs/>
                <w:color w:val="000000"/>
                <w:sz w:val="20"/>
                <w:szCs w:val="20"/>
              </w:rPr>
              <w:t>2</w:t>
            </w:r>
          </w:p>
        </w:tc>
        <w:tc>
          <w:tcPr>
            <w:tcW w:w="26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1676802D" w14:textId="3472720F" w:rsidR="00D554C7" w:rsidRDefault="00F365DE">
            <w:r w:rsidRPr="00F365DE">
              <w:rPr>
                <w:b/>
                <w:bCs/>
                <w:color w:val="C00000"/>
                <w:sz w:val="20"/>
                <w:szCs w:val="20"/>
              </w:rPr>
              <w:t>Only linear relationships captured</w:t>
            </w:r>
          </w:p>
        </w:tc>
        <w:tc>
          <w:tcPr>
            <w:tcW w:w="35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5B1FF9C4" w14:textId="3EBDEF0B" w:rsidR="00D554C7" w:rsidRDefault="00F365DE">
            <w:r w:rsidRPr="00F365DE">
              <w:rPr>
                <w:color w:val="000000"/>
                <w:sz w:val="20"/>
                <w:szCs w:val="20"/>
              </w:rPr>
              <w:t>Correlation heatmap measures only linear relationships between variables.</w:t>
            </w:r>
          </w:p>
        </w:tc>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74BDAF9D" w14:textId="5DCBCE14" w:rsidR="00D554C7" w:rsidRDefault="00F365DE">
            <w:r w:rsidRPr="00F365DE">
              <w:rPr>
                <w:color w:val="C55A11"/>
                <w:sz w:val="20"/>
                <w:szCs w:val="20"/>
              </w:rPr>
              <w:t>Non-linear patterns in financial markets are ignored, reducing the depth of analysis.</w:t>
            </w:r>
          </w:p>
        </w:tc>
      </w:tr>
      <w:tr w:rsidR="00D554C7" w14:paraId="7ECD91EE" w14:textId="77777777">
        <w:tc>
          <w:tcPr>
            <w:tcW w:w="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53C024B" w14:textId="77777777" w:rsidR="00D554C7" w:rsidRDefault="00000000">
            <w:pPr>
              <w:jc w:val="center"/>
            </w:pPr>
            <w:r>
              <w:rPr>
                <w:b/>
                <w:bCs/>
                <w:color w:val="000000"/>
                <w:sz w:val="20"/>
                <w:szCs w:val="20"/>
              </w:rPr>
              <w:t>3</w:t>
            </w:r>
          </w:p>
        </w:tc>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F365DE" w:rsidRPr="00F365DE" w14:paraId="738D7A1B" w14:textId="77777777">
              <w:trPr>
                <w:tblCellSpacing w:w="15" w:type="dxa"/>
              </w:trPr>
              <w:tc>
                <w:tcPr>
                  <w:tcW w:w="36" w:type="dxa"/>
                  <w:vAlign w:val="center"/>
                  <w:hideMark/>
                </w:tcPr>
                <w:p w14:paraId="2E9DB74B" w14:textId="77777777" w:rsidR="00F365DE" w:rsidRPr="00F365DE" w:rsidRDefault="00F365DE" w:rsidP="00F365DE">
                  <w:pPr>
                    <w:rPr>
                      <w:b/>
                      <w:bCs/>
                      <w:color w:val="C00000"/>
                      <w:sz w:val="20"/>
                      <w:szCs w:val="20"/>
                    </w:rPr>
                  </w:pPr>
                </w:p>
              </w:tc>
            </w:tr>
          </w:tbl>
          <w:p w14:paraId="1592510D" w14:textId="77777777" w:rsidR="00F365DE" w:rsidRPr="00F365DE" w:rsidRDefault="00F365DE" w:rsidP="00F365DE">
            <w:pPr>
              <w:rPr>
                <w:b/>
                <w:bCs/>
                <w:vanish/>
                <w:color w:val="C00000"/>
                <w:sz w:val="20"/>
                <w:szCs w:val="2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89"/>
            </w:tblGrid>
            <w:tr w:rsidR="00F365DE" w:rsidRPr="00F365DE" w14:paraId="02D5C4E4" w14:textId="77777777">
              <w:trPr>
                <w:tblCellSpacing w:w="15" w:type="dxa"/>
              </w:trPr>
              <w:tc>
                <w:tcPr>
                  <w:tcW w:w="4029" w:type="dxa"/>
                  <w:vAlign w:val="center"/>
                  <w:hideMark/>
                </w:tcPr>
                <w:p w14:paraId="0AC8ECDE" w14:textId="77777777" w:rsidR="00F365DE" w:rsidRDefault="00F365DE" w:rsidP="00F365DE">
                  <w:pPr>
                    <w:rPr>
                      <w:b/>
                      <w:bCs/>
                      <w:color w:val="C00000"/>
                      <w:sz w:val="20"/>
                      <w:szCs w:val="20"/>
                    </w:rPr>
                  </w:pPr>
                  <w:r w:rsidRPr="00F365DE">
                    <w:rPr>
                      <w:b/>
                      <w:bCs/>
                      <w:color w:val="C00000"/>
                      <w:sz w:val="20"/>
                      <w:szCs w:val="20"/>
                    </w:rPr>
                    <w:t>Time-series dependency</w:t>
                  </w:r>
                </w:p>
                <w:p w14:paraId="293C2149" w14:textId="4A0707F4" w:rsidR="00F365DE" w:rsidRPr="00F365DE" w:rsidRDefault="00F365DE" w:rsidP="00F365DE">
                  <w:pPr>
                    <w:rPr>
                      <w:b/>
                      <w:bCs/>
                      <w:color w:val="C00000"/>
                      <w:sz w:val="20"/>
                      <w:szCs w:val="20"/>
                    </w:rPr>
                  </w:pPr>
                  <w:r w:rsidRPr="00F365DE">
                    <w:rPr>
                      <w:b/>
                      <w:bCs/>
                      <w:color w:val="C00000"/>
                      <w:sz w:val="20"/>
                      <w:szCs w:val="20"/>
                    </w:rPr>
                    <w:t xml:space="preserve"> not fully utilized</w:t>
                  </w:r>
                </w:p>
              </w:tc>
            </w:tr>
          </w:tbl>
          <w:p w14:paraId="0A30ADF3" w14:textId="0C337F0C" w:rsidR="00D554C7" w:rsidRDefault="00D554C7"/>
        </w:tc>
        <w:tc>
          <w:tcPr>
            <w:tcW w:w="3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88DE752" w14:textId="76A45CC5" w:rsidR="00D554C7" w:rsidRDefault="00F365DE">
            <w:r w:rsidRPr="00F365DE">
              <w:rPr>
                <w:color w:val="000000"/>
                <w:sz w:val="20"/>
                <w:szCs w:val="20"/>
              </w:rPr>
              <w:t>Standard EDA methods treat data as independent observations.</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6EFF66D" w14:textId="72D100FC" w:rsidR="00D554C7" w:rsidRDefault="00F365DE">
            <w:r w:rsidRPr="00F365DE">
              <w:rPr>
                <w:color w:val="C55A11"/>
                <w:sz w:val="20"/>
                <w:szCs w:val="20"/>
              </w:rPr>
              <w:t>Important patterns like seasonality and long-term dependencies are not captured properly.</w:t>
            </w:r>
          </w:p>
        </w:tc>
      </w:tr>
      <w:tr w:rsidR="00D554C7" w14:paraId="4636748F" w14:textId="77777777">
        <w:tc>
          <w:tcPr>
            <w:tcW w:w="4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2F644B9A" w14:textId="77777777" w:rsidR="00D554C7" w:rsidRDefault="00000000">
            <w:pPr>
              <w:jc w:val="center"/>
            </w:pPr>
            <w:r>
              <w:rPr>
                <w:b/>
                <w:bCs/>
                <w:color w:val="000000"/>
                <w:sz w:val="20"/>
                <w:szCs w:val="20"/>
              </w:rPr>
              <w:t>4</w:t>
            </w:r>
          </w:p>
        </w:tc>
        <w:tc>
          <w:tcPr>
            <w:tcW w:w="26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35B51B67" w14:textId="0ABE8528" w:rsidR="00D554C7" w:rsidRDefault="00F365DE">
            <w:r w:rsidRPr="00F365DE">
              <w:rPr>
                <w:b/>
                <w:bCs/>
                <w:color w:val="C00000"/>
                <w:sz w:val="20"/>
                <w:szCs w:val="20"/>
              </w:rPr>
              <w:t>Market closed days missing</w:t>
            </w:r>
          </w:p>
        </w:tc>
        <w:tc>
          <w:tcPr>
            <w:tcW w:w="35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F365DE" w:rsidRPr="00F365DE" w14:paraId="5AED1B06" w14:textId="77777777">
              <w:trPr>
                <w:tblCellSpacing w:w="15" w:type="dxa"/>
              </w:trPr>
              <w:tc>
                <w:tcPr>
                  <w:tcW w:w="36" w:type="dxa"/>
                  <w:vAlign w:val="center"/>
                  <w:hideMark/>
                </w:tcPr>
                <w:p w14:paraId="51D45C7D" w14:textId="77777777" w:rsidR="00F365DE" w:rsidRPr="00F365DE" w:rsidRDefault="00F365DE" w:rsidP="00F365DE">
                  <w:pPr>
                    <w:rPr>
                      <w:color w:val="000000"/>
                      <w:sz w:val="20"/>
                      <w:szCs w:val="20"/>
                    </w:rPr>
                  </w:pPr>
                </w:p>
              </w:tc>
            </w:tr>
          </w:tbl>
          <w:p w14:paraId="5532996F" w14:textId="77777777" w:rsidR="00F365DE" w:rsidRPr="00F365DE" w:rsidRDefault="00F365DE" w:rsidP="00F365DE">
            <w:pPr>
              <w:rPr>
                <w:vanish/>
                <w:color w:val="000000"/>
                <w:sz w:val="20"/>
                <w:szCs w:val="2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542"/>
            </w:tblGrid>
            <w:tr w:rsidR="00F365DE" w:rsidRPr="00F365DE" w14:paraId="3C14079A" w14:textId="77777777">
              <w:trPr>
                <w:tblCellSpacing w:w="15" w:type="dxa"/>
              </w:trPr>
              <w:tc>
                <w:tcPr>
                  <w:tcW w:w="6482" w:type="dxa"/>
                  <w:vAlign w:val="center"/>
                  <w:hideMark/>
                </w:tcPr>
                <w:p w14:paraId="74770670" w14:textId="77777777" w:rsidR="00F365DE" w:rsidRDefault="00F365DE" w:rsidP="00F365DE">
                  <w:pPr>
                    <w:rPr>
                      <w:color w:val="000000"/>
                      <w:sz w:val="20"/>
                      <w:szCs w:val="20"/>
                    </w:rPr>
                  </w:pPr>
                  <w:r w:rsidRPr="00F365DE">
                    <w:rPr>
                      <w:color w:val="000000"/>
                      <w:sz w:val="20"/>
                      <w:szCs w:val="20"/>
                    </w:rPr>
                    <w:t xml:space="preserve">Data includes only trading days, </w:t>
                  </w:r>
                </w:p>
                <w:p w14:paraId="11351284" w14:textId="5AD6909F" w:rsidR="00F365DE" w:rsidRPr="00F365DE" w:rsidRDefault="00F365DE" w:rsidP="00F365DE">
                  <w:pPr>
                    <w:rPr>
                      <w:color w:val="000000"/>
                      <w:sz w:val="20"/>
                      <w:szCs w:val="20"/>
                    </w:rPr>
                  </w:pPr>
                  <w:r w:rsidRPr="00F365DE">
                    <w:rPr>
                      <w:color w:val="000000"/>
                      <w:sz w:val="20"/>
                      <w:szCs w:val="20"/>
                    </w:rPr>
                    <w:t>excluding weekends and holidays.</w:t>
                  </w:r>
                </w:p>
              </w:tc>
            </w:tr>
          </w:tbl>
          <w:p w14:paraId="7FE90AB1" w14:textId="07D6ADC0" w:rsidR="00D554C7" w:rsidRDefault="00D554C7"/>
        </w:tc>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2A4C250F" w14:textId="122A39D7" w:rsidR="00D554C7" w:rsidRDefault="00F365DE">
            <w:r w:rsidRPr="00F365DE">
              <w:rPr>
                <w:color w:val="C55A11"/>
                <w:sz w:val="20"/>
                <w:szCs w:val="20"/>
              </w:rPr>
              <w:t>This creates gaps in time series and may affect continuity in analysis.</w:t>
            </w:r>
          </w:p>
        </w:tc>
      </w:tr>
      <w:tr w:rsidR="00D554C7" w14:paraId="2FE24863" w14:textId="77777777">
        <w:tc>
          <w:tcPr>
            <w:tcW w:w="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222700F" w14:textId="77777777" w:rsidR="00D554C7" w:rsidRDefault="00000000">
            <w:pPr>
              <w:jc w:val="center"/>
            </w:pPr>
            <w:r>
              <w:rPr>
                <w:b/>
                <w:bCs/>
                <w:color w:val="000000"/>
                <w:sz w:val="20"/>
                <w:szCs w:val="20"/>
              </w:rPr>
              <w:t>5</w:t>
            </w:r>
          </w:p>
        </w:tc>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E31CEAE" w14:textId="32948B66" w:rsidR="00D554C7" w:rsidRDefault="00F365DE">
            <w:r w:rsidRPr="00F365DE">
              <w:rPr>
                <w:b/>
                <w:bCs/>
                <w:color w:val="C00000"/>
                <w:sz w:val="20"/>
                <w:szCs w:val="20"/>
              </w:rPr>
              <w:t>No categorical real-world labels</w:t>
            </w:r>
          </w:p>
        </w:tc>
        <w:tc>
          <w:tcPr>
            <w:tcW w:w="3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7D2E43F" w14:textId="4099F957" w:rsidR="00D554C7" w:rsidRDefault="00F365DE">
            <w:r w:rsidRPr="00F365DE">
              <w:rPr>
                <w:color w:val="000000"/>
                <w:sz w:val="20"/>
                <w:szCs w:val="20"/>
              </w:rPr>
              <w:t>Dataset lacks real-world categorical variables like economic phases or policy changes.</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08B0241" w14:textId="74FA013A" w:rsidR="00D554C7" w:rsidRDefault="00F365DE">
            <w:r w:rsidRPr="00F365DE">
              <w:rPr>
                <w:color w:val="C55A11"/>
                <w:sz w:val="20"/>
                <w:szCs w:val="20"/>
              </w:rPr>
              <w:t>Limits the ability to perform deeper categorical analysis and interpretation.</w:t>
            </w:r>
            <w:r w:rsidR="00000000">
              <w:rPr>
                <w:color w:val="C55A11"/>
                <w:sz w:val="20"/>
                <w:szCs w:val="20"/>
              </w:rPr>
              <w:t xml:space="preserve"> </w:t>
            </w:r>
          </w:p>
        </w:tc>
      </w:tr>
    </w:tbl>
    <w:p w14:paraId="16FFD077" w14:textId="77777777" w:rsidR="00D554C7" w:rsidRDefault="00D554C7">
      <w:pPr>
        <w:pBdr>
          <w:bottom w:val="single" w:sz="6" w:space="1" w:color="1F3864"/>
        </w:pBdr>
        <w:spacing w:before="200" w:after="200"/>
      </w:pPr>
    </w:p>
    <w:p w14:paraId="6EED182E" w14:textId="77777777" w:rsidR="00D554C7" w:rsidRDefault="00000000">
      <w:pPr>
        <w:pStyle w:val="Heading1"/>
        <w:spacing w:before="320" w:after="160"/>
      </w:pPr>
      <w:r>
        <w:rPr>
          <w:b/>
          <w:bCs/>
          <w:color w:val="1F3864"/>
          <w:sz w:val="28"/>
          <w:szCs w:val="28"/>
        </w:rPr>
        <w:t>4. Conclusion — Next Steps</w:t>
      </w:r>
    </w:p>
    <w:p w14:paraId="15EFF3D2" w14:textId="77777777" w:rsidR="00F365DE" w:rsidRPr="00F365DE" w:rsidRDefault="00F365DE" w:rsidP="00F365DE">
      <w:pPr>
        <w:spacing w:before="80" w:after="80"/>
        <w:rPr>
          <w:color w:val="000000"/>
        </w:rPr>
      </w:pPr>
      <w:r w:rsidRPr="00F365DE">
        <w:rPr>
          <w:color w:val="000000"/>
        </w:rPr>
        <w:t>The EDA of the Silver Price dataset provides strong insights into price trends, volatility, and feature relationships. The findings show that silver prices are highly volatile and influenced by market activity, with strong correlations among core price features. However, due to limitations such as lack of external factors and inability to capture non-linear patterns, these insights are not sufficient for accurate prediction.</w:t>
      </w:r>
    </w:p>
    <w:p w14:paraId="3169735E" w14:textId="77777777" w:rsidR="00F365DE" w:rsidRPr="00F365DE" w:rsidRDefault="00F365DE" w:rsidP="00F365DE">
      <w:pPr>
        <w:spacing w:before="80" w:after="80"/>
        <w:rPr>
          <w:color w:val="000000"/>
        </w:rPr>
      </w:pPr>
      <w:r w:rsidRPr="00F365DE">
        <w:rPr>
          <w:color w:val="000000"/>
        </w:rPr>
        <w:t>The next step is to move toward machine learning and time series forecasting models. Models such as Linear Regression, Random Forest, and LSTM can be applied to predict future silver prices. Feature engineering should be enhanced by including lag features, rolling averages, and external economic indicators. Model evaluation should be done using metrics like RMSE and MAE to ensure accuracy.</w:t>
      </w:r>
    </w:p>
    <w:p w14:paraId="357B99D7" w14:textId="77777777" w:rsidR="00F365DE" w:rsidRPr="00F365DE" w:rsidRDefault="00F365DE" w:rsidP="00F365DE">
      <w:pPr>
        <w:spacing w:before="80" w:after="80"/>
        <w:rPr>
          <w:color w:val="000000"/>
        </w:rPr>
      </w:pPr>
      <w:r w:rsidRPr="00F365DE">
        <w:rPr>
          <w:color w:val="000000"/>
        </w:rPr>
        <w:t>Ultimately, the goal is to develop a robust prediction system that can forecast silver prices and assist in financial decision-making.</w:t>
      </w:r>
    </w:p>
    <w:p w14:paraId="5BD8CF95" w14:textId="77777777" w:rsidR="00B32E4B" w:rsidRDefault="00B32E4B">
      <w:pPr>
        <w:spacing w:before="80" w:after="80"/>
      </w:pPr>
    </w:p>
    <w:sectPr w:rsidR="00B32E4B">
      <w:pgSz w:w="11906" w:h="16838"/>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1E4DD92A-B1A0-48D0-A390-B8C226D78550}"/>
  </w:font>
  <w:font w:name="Calibri">
    <w:panose1 w:val="020F0502020204030204"/>
    <w:charset w:val="00"/>
    <w:family w:val="swiss"/>
    <w:pitch w:val="variable"/>
    <w:sig w:usb0="E4002EFF" w:usb1="C200247B" w:usb2="00000009" w:usb3="00000000" w:csb0="000001FF" w:csb1="00000000"/>
    <w:embedRegular r:id="rId2" w:fontKey="{58E92CC5-F4AF-4E2E-9853-76ACD950DFAC}"/>
  </w:font>
  <w:font w:name="Cambria">
    <w:panose1 w:val="02040503050406030204"/>
    <w:charset w:val="00"/>
    <w:family w:val="roman"/>
    <w:pitch w:val="variable"/>
    <w:sig w:usb0="E00006FF" w:usb1="420024FF" w:usb2="02000000" w:usb3="00000000" w:csb0="0000019F" w:csb1="00000000"/>
    <w:embedRegular r:id="rId3" w:fontKey="{E4BAD4EB-7E4E-4A67-AA5D-D09F476FFA35}"/>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A333FAB"/>
    <w:multiLevelType w:val="multilevel"/>
    <w:tmpl w:val="0AB299E2"/>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15873787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554C7"/>
    <w:rsid w:val="00945452"/>
    <w:rsid w:val="00B32E4B"/>
    <w:rsid w:val="00D554C7"/>
    <w:rsid w:val="00F365D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3278E6"/>
  <w15:docId w15:val="{BD6F40D2-6CF1-4A48-886C-C5FB5EC7BF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Heading2">
    <w:name w:val="heading 2"/>
    <w:basedOn w:val="Normal"/>
    <w:next w:val="Normal"/>
    <w:uiPriority w:val="9"/>
    <w:unhideWhenUsed/>
    <w:qFormat/>
    <w:pPr>
      <w:pBdr>
        <w:top w:val="nil"/>
        <w:left w:val="nil"/>
        <w:bottom w:val="nil"/>
        <w:right w:val="nil"/>
        <w:between w:val="nil"/>
      </w:pBdr>
      <w:outlineLvl w:val="1"/>
    </w:pPr>
    <w:rPr>
      <w:color w:val="2E74B5"/>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3</Pages>
  <Words>680</Words>
  <Characters>3882</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om mahalle</dc:creator>
  <cp:lastModifiedBy>om mahalle</cp:lastModifiedBy>
  <cp:revision>2</cp:revision>
  <dcterms:created xsi:type="dcterms:W3CDTF">2026-04-21T18:27:00Z</dcterms:created>
  <dcterms:modified xsi:type="dcterms:W3CDTF">2026-04-21T18:27:00Z</dcterms:modified>
</cp:coreProperties>
</file>