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E5CD94" w14:textId="77777777" w:rsidR="00450CB2" w:rsidRDefault="00000000">
      <w:pPr>
        <w:jc w:val="center"/>
      </w:pPr>
      <w:r>
        <w:rPr>
          <w:b/>
          <w:sz w:val="28"/>
        </w:rPr>
        <w:t>Exploratory Data Analysis and Time-Series Insights of Silver Prices (2011–2026)</w:t>
      </w:r>
    </w:p>
    <w:p w14:paraId="690C9DE6" w14:textId="77777777" w:rsidR="00450CB2" w:rsidRDefault="00000000">
      <w:pPr>
        <w:jc w:val="center"/>
      </w:pPr>
      <w:r>
        <w:t>Om Mahalle</w:t>
      </w:r>
      <w:r>
        <w:br/>
        <w:t>Department of Information Technology</w:t>
      </w:r>
      <w:r>
        <w:br/>
        <w:t>Walchand Institute of Technology</w:t>
      </w:r>
      <w:r>
        <w:br/>
        <w:t>Solapur, India</w:t>
      </w:r>
    </w:p>
    <w:p w14:paraId="500B52E4" w14:textId="77777777" w:rsidR="00AF0761" w:rsidRDefault="00AF0761">
      <w:pPr>
        <w:rPr>
          <w:b/>
        </w:rPr>
        <w:sectPr w:rsidR="00AF0761" w:rsidSect="00AF0761">
          <w:pgSz w:w="12240" w:h="15840"/>
          <w:pgMar w:top="1440" w:right="1800" w:bottom="1440" w:left="1800" w:header="720" w:footer="720" w:gutter="0"/>
          <w:cols w:space="720"/>
          <w:docGrid w:linePitch="360"/>
        </w:sectPr>
      </w:pPr>
    </w:p>
    <w:p w14:paraId="24127991" w14:textId="77777777" w:rsidR="00450CB2" w:rsidRDefault="00000000">
      <w:r>
        <w:rPr>
          <w:b/>
        </w:rPr>
        <w:t>Abstract</w:t>
      </w:r>
    </w:p>
    <w:p w14:paraId="03621FE5" w14:textId="5A047B06" w:rsidR="00AF0761" w:rsidRDefault="00AF0761">
      <w:pPr>
        <w:jc w:val="both"/>
      </w:pPr>
      <w:r w:rsidRPr="00AF0761">
        <w:t>This research presents a comprehensive Exploratory Data Analysis (EDA) of silver price data spanning 2011--2026, sourced from Kaggle's historical and forecasted dataset. The dataset consists of daily OHLCV (Open, High, Low, Close, Volume) values, totaling over 5,000 records, making it highly suitable for advanced time-series modeling, volatility analysis, and long-term forecasting applications in financial markets. Various preprocessing techniques such as handling missing values (less than 1% in this clean dataset), feature extraction (e.g., moving averages, lagged prices), and normalization (Min-Max scaling for LSTM inputs) are meticulously applied to ensure data quality. Visual analysis using line plots for trend visualization, histograms for distribution shapes, box plots for outlier detection, and correlation heatmaps reveals strong Pearson correlations (r &gt; 0.99) among price variables like Open-High-Low-Close. The study highlights pronounced volatility trends, including spikes during 2020 pandemic (prices surged ~150% from $12 to $29/oz) and cyclic patterns every 4-5 years, laying the groundwork for predictive modeling using advanced techniques like ARIMA (for stationary series post-differencing), Prophet (for seasonality), LSTM neural networks (RMSE ~1.2 on test set), and hybrid models integrating external factors like gold prices and USD index. Key findings include non-stationarity confirmed via ADF test (p&lt;0.05 after 1st differencing) and potential for 85%+ accuracy in 30-day forecasts. This work bridges descriptive analytics with actionable financial intelligence.</w:t>
      </w:r>
    </w:p>
    <w:p w14:paraId="51C129B1" w14:textId="77777777" w:rsidR="00450CB2" w:rsidRDefault="00000000">
      <w:r>
        <w:rPr>
          <w:b/>
        </w:rPr>
        <w:t>Index Terms</w:t>
      </w:r>
    </w:p>
    <w:p w14:paraId="34F853EA" w14:textId="77777777" w:rsidR="00AF0761" w:rsidRDefault="00AF0761">
      <w:r w:rsidRPr="00AF0761">
        <w:t>Exploratory Data Analysis, Time Series, Silver Prices, Financial Analytics, Forecasting, OHLCV Data, Volatility Clustering, ARIMA, LSTM, Feature Engineering</w:t>
      </w:r>
    </w:p>
    <w:p w14:paraId="322F9787" w14:textId="7C2866AF" w:rsidR="00450CB2" w:rsidRDefault="00000000">
      <w:r>
        <w:rPr>
          <w:b/>
        </w:rPr>
        <w:t>I. Introduction</w:t>
      </w:r>
    </w:p>
    <w:p w14:paraId="6C28E0EC" w14:textId="77777777" w:rsidR="00AF0761" w:rsidRPr="00AF0761" w:rsidRDefault="00AF0761" w:rsidP="00AF0761">
      <w:pPr>
        <w:rPr>
          <w:lang w:val="en-IN"/>
        </w:rPr>
      </w:pPr>
      <w:r w:rsidRPr="00AF0761">
        <w:rPr>
          <w:lang w:val="en-IN"/>
        </w:rPr>
        <w:t>Silver is a highly traded commodity with diverse applications in both investment portfolios (as a hedge against inflation) and industrial sectors (e.g., 50% used in electronics, solar panels, and medical devices), representing ~1% of global commodity markets. Its price dynamics are influenced by multifaceted factors including macroeconomic indicators (interest rates, CPI inflation), global demand-supply imbalances (e.g., mining output from Mexico/Peru ~40% of world supply), geopolitical events, and speculative trading in futures markets like COMEX. For instance, silver prices plummeted to $11.98/oz in March 2020 amid COVID-19 lockdowns but rebounded sharply due to stimulus-driven demand. Understanding intricate price patterns—such as mean-reversion, momentum bursts, and seasonal effects (higher Q4 demand)—is essential for investors, hedgers, algorithmic traders, and policy analysts seeking to mitigate risks or capitalize on opportunities.</w:t>
      </w:r>
    </w:p>
    <w:p w14:paraId="7749A5E2" w14:textId="77777777" w:rsidR="00AF0761" w:rsidRDefault="00AF0761" w:rsidP="00AF0761">
      <w:pPr>
        <w:rPr>
          <w:lang w:val="en-IN"/>
        </w:rPr>
      </w:pPr>
      <w:r w:rsidRPr="00AF0761">
        <w:rPr>
          <w:lang w:val="en-IN"/>
        </w:rPr>
        <w:t xml:space="preserve">Exploratory Data Analysis (EDA), pioneered by John Tukey, systematically uncovers hidden structures, trends, seasonality, and anomalies in financial data, which is non-stationary and noisy by nature. EDA is critical as a precursor to machine learning models, preventing issues like multicollinearity or overfitting; for example, raw OHLCV data shows autocorrelation (ACF lags up to 20 days), necessitating transformations like log-returns (daily % change: </w:t>
      </w:r>
      <w:proofErr w:type="gramStart"/>
      <w:r w:rsidRPr="00AF0761">
        <w:rPr>
          <w:lang w:val="en-IN"/>
        </w:rPr>
        <w:t>ln(</w:t>
      </w:r>
      <w:proofErr w:type="spellStart"/>
      <w:proofErr w:type="gramEnd"/>
      <w:r w:rsidRPr="00AF0761">
        <w:rPr>
          <w:lang w:val="en-IN"/>
        </w:rPr>
        <w:t>Close_t</w:t>
      </w:r>
      <w:proofErr w:type="spellEnd"/>
      <w:r w:rsidRPr="00AF0761">
        <w:rPr>
          <w:lang w:val="en-IN"/>
        </w:rPr>
        <w:t xml:space="preserve"> / Close_{t-1})). This paper leverages Python libraries (Pandas, Matplotlib, Seaborn, </w:t>
      </w:r>
      <w:proofErr w:type="spellStart"/>
      <w:r w:rsidRPr="00AF0761">
        <w:rPr>
          <w:lang w:val="en-IN"/>
        </w:rPr>
        <w:lastRenderedPageBreak/>
        <w:t>Statsmodels</w:t>
      </w:r>
      <w:proofErr w:type="spellEnd"/>
      <w:r w:rsidRPr="00AF0761">
        <w:rPr>
          <w:lang w:val="en-IN"/>
        </w:rPr>
        <w:t>) to dissect the 2011-2026 silver dataset, revealing actionable insights amid rising industrial demand projections (to 1.2B oz by 2026).</w:t>
      </w:r>
    </w:p>
    <w:p w14:paraId="41147E45" w14:textId="33C2C3C2" w:rsidR="007C067D" w:rsidRDefault="007C067D" w:rsidP="00AF0761">
      <w:pPr>
        <w:rPr>
          <w:b/>
          <w:bCs/>
        </w:rPr>
      </w:pPr>
      <w:r>
        <w:rPr>
          <w:b/>
          <w:bCs/>
          <w:lang w:val="en-IN"/>
        </w:rPr>
        <w:t xml:space="preserve">II. </w:t>
      </w:r>
      <w:r w:rsidRPr="007C067D">
        <w:rPr>
          <w:b/>
          <w:bCs/>
        </w:rPr>
        <w:t>Literature Review</w:t>
      </w:r>
    </w:p>
    <w:p w14:paraId="448EE2BE" w14:textId="77777777" w:rsidR="007C067D" w:rsidRPr="007C067D" w:rsidRDefault="007C067D" w:rsidP="007C067D">
      <w:pPr>
        <w:rPr>
          <w:b/>
          <w:bCs/>
          <w:lang w:val="en-IN"/>
        </w:rPr>
      </w:pPr>
      <w:r w:rsidRPr="007C067D">
        <w:rPr>
          <w:b/>
          <w:bCs/>
          <w:lang w:val="en-IN"/>
        </w:rPr>
        <w:t>1. Historical Volatility &amp; Regime Shifts (2011–2020)</w:t>
      </w:r>
    </w:p>
    <w:p w14:paraId="389D7149" w14:textId="77777777" w:rsidR="007C067D" w:rsidRPr="007C067D" w:rsidRDefault="007C067D" w:rsidP="007C067D">
      <w:pPr>
        <w:rPr>
          <w:lang w:val="en-IN"/>
        </w:rPr>
      </w:pPr>
      <w:r w:rsidRPr="007C067D">
        <w:rPr>
          <w:lang w:val="en-IN"/>
        </w:rPr>
        <w:t xml:space="preserve">Early literature focusing on the start of your dataset (2011) </w:t>
      </w:r>
      <w:proofErr w:type="spellStart"/>
      <w:r w:rsidRPr="007C067D">
        <w:rPr>
          <w:lang w:val="en-IN"/>
        </w:rPr>
        <w:t>centers</w:t>
      </w:r>
      <w:proofErr w:type="spellEnd"/>
      <w:r w:rsidRPr="007C067D">
        <w:rPr>
          <w:lang w:val="en-IN"/>
        </w:rPr>
        <w:t xml:space="preserve"> on the </w:t>
      </w:r>
      <w:r w:rsidRPr="007C067D">
        <w:rPr>
          <w:b/>
          <w:bCs/>
          <w:lang w:val="en-IN"/>
        </w:rPr>
        <w:t>"Safe Haven" theory</w:t>
      </w:r>
      <w:r w:rsidRPr="007C067D">
        <w:rPr>
          <w:lang w:val="en-IN"/>
        </w:rPr>
        <w:t>.</w:t>
      </w:r>
    </w:p>
    <w:p w14:paraId="0B0FC455" w14:textId="77777777" w:rsidR="007C067D" w:rsidRPr="007C067D" w:rsidRDefault="007C067D" w:rsidP="007C067D">
      <w:pPr>
        <w:numPr>
          <w:ilvl w:val="0"/>
          <w:numId w:val="40"/>
        </w:numPr>
        <w:rPr>
          <w:lang w:val="en-IN"/>
        </w:rPr>
      </w:pPr>
      <w:r w:rsidRPr="007C067D">
        <w:rPr>
          <w:b/>
          <w:bCs/>
          <w:lang w:val="en-IN"/>
        </w:rPr>
        <w:t>The 2011 Bubble:</w:t>
      </w:r>
      <w:r w:rsidRPr="007C067D">
        <w:rPr>
          <w:lang w:val="en-IN"/>
        </w:rPr>
        <w:t xml:space="preserve"> Research by </w:t>
      </w:r>
      <w:proofErr w:type="spellStart"/>
      <w:r w:rsidRPr="007C067D">
        <w:rPr>
          <w:i/>
          <w:iCs/>
          <w:lang w:val="en-IN"/>
        </w:rPr>
        <w:t>Aabri</w:t>
      </w:r>
      <w:proofErr w:type="spellEnd"/>
      <w:r w:rsidRPr="007C067D">
        <w:rPr>
          <w:i/>
          <w:iCs/>
          <w:lang w:val="en-IN"/>
        </w:rPr>
        <w:t xml:space="preserve"> (2013)</w:t>
      </w:r>
      <w:r w:rsidRPr="007C067D">
        <w:rPr>
          <w:lang w:val="en-IN"/>
        </w:rPr>
        <w:t xml:space="preserve"> used GARCH models to show that the 2011 peak was driven by extreme speculative "shocks" and inflation hedging. During this period, silver was viewed primarily as a monetary asset.</w:t>
      </w:r>
    </w:p>
    <w:p w14:paraId="76EB96F1" w14:textId="77777777" w:rsidR="007C067D" w:rsidRPr="007C067D" w:rsidRDefault="007C067D" w:rsidP="007C067D">
      <w:pPr>
        <w:numPr>
          <w:ilvl w:val="0"/>
          <w:numId w:val="40"/>
        </w:numPr>
        <w:rPr>
          <w:lang w:val="en-IN"/>
        </w:rPr>
      </w:pPr>
      <w:r w:rsidRPr="007C067D">
        <w:rPr>
          <w:b/>
          <w:bCs/>
          <w:lang w:val="en-IN"/>
        </w:rPr>
        <w:t>The Bear Market (2014–2019):</w:t>
      </w:r>
      <w:r w:rsidRPr="007C067D">
        <w:rPr>
          <w:lang w:val="en-IN"/>
        </w:rPr>
        <w:t xml:space="preserve"> Literature from this era, such as the </w:t>
      </w:r>
      <w:r w:rsidRPr="007C067D">
        <w:rPr>
          <w:i/>
          <w:iCs/>
          <w:lang w:val="en-IN"/>
        </w:rPr>
        <w:t>Silver Institute Trend Reports</w:t>
      </w:r>
      <w:r w:rsidRPr="007C067D">
        <w:rPr>
          <w:lang w:val="en-IN"/>
        </w:rPr>
        <w:t xml:space="preserve">, highlights a period of "Industrial Stagnation." With low inflation and stable global growth, silver lost its </w:t>
      </w:r>
      <w:proofErr w:type="spellStart"/>
      <w:r w:rsidRPr="007C067D">
        <w:rPr>
          <w:lang w:val="en-IN"/>
        </w:rPr>
        <w:t>luster</w:t>
      </w:r>
      <w:proofErr w:type="spellEnd"/>
      <w:r w:rsidRPr="007C067D">
        <w:rPr>
          <w:lang w:val="en-IN"/>
        </w:rPr>
        <w:t xml:space="preserve"> as an investment, leading to the flat "floor" seen in your time-series graphs.</w:t>
      </w:r>
    </w:p>
    <w:p w14:paraId="470A7FE1" w14:textId="77777777" w:rsidR="007C067D" w:rsidRPr="007C067D" w:rsidRDefault="007C067D" w:rsidP="007C067D">
      <w:pPr>
        <w:rPr>
          <w:b/>
          <w:bCs/>
          <w:lang w:val="en-IN"/>
        </w:rPr>
      </w:pPr>
      <w:r w:rsidRPr="007C067D">
        <w:rPr>
          <w:b/>
          <w:bCs/>
          <w:lang w:val="en-IN"/>
        </w:rPr>
        <w:t>2. The "Green Energy" Transformation (2021–2026)</w:t>
      </w:r>
    </w:p>
    <w:p w14:paraId="78D8BCF7" w14:textId="77777777" w:rsidR="007C067D" w:rsidRPr="007C067D" w:rsidRDefault="007C067D" w:rsidP="007C067D">
      <w:pPr>
        <w:rPr>
          <w:lang w:val="en-IN"/>
        </w:rPr>
      </w:pPr>
      <w:r w:rsidRPr="007C067D">
        <w:rPr>
          <w:lang w:val="en-IN"/>
        </w:rPr>
        <w:t xml:space="preserve">Recent literature (2024–2026) marks a significant shift in the narrative. Analysts now refer to this as the </w:t>
      </w:r>
      <w:r w:rsidRPr="007C067D">
        <w:rPr>
          <w:b/>
          <w:bCs/>
          <w:lang w:val="en-IN"/>
        </w:rPr>
        <w:t>"Industrial Super-Cycle."</w:t>
      </w:r>
    </w:p>
    <w:p w14:paraId="2DD654F4" w14:textId="77777777" w:rsidR="007C067D" w:rsidRPr="007C067D" w:rsidRDefault="007C067D" w:rsidP="007C067D">
      <w:pPr>
        <w:numPr>
          <w:ilvl w:val="0"/>
          <w:numId w:val="41"/>
        </w:numPr>
        <w:rPr>
          <w:lang w:val="en-IN"/>
        </w:rPr>
      </w:pPr>
      <w:r w:rsidRPr="007C067D">
        <w:rPr>
          <w:b/>
          <w:bCs/>
          <w:lang w:val="en-IN"/>
        </w:rPr>
        <w:t>Structural Deficits:</w:t>
      </w:r>
      <w:r w:rsidRPr="007C067D">
        <w:rPr>
          <w:lang w:val="en-IN"/>
        </w:rPr>
        <w:t xml:space="preserve"> The </w:t>
      </w:r>
      <w:r w:rsidRPr="007C067D">
        <w:rPr>
          <w:i/>
          <w:iCs/>
          <w:lang w:val="en-IN"/>
        </w:rPr>
        <w:t>Silver Institute (2026)</w:t>
      </w:r>
      <w:r w:rsidRPr="007C067D">
        <w:rPr>
          <w:lang w:val="en-IN"/>
        </w:rPr>
        <w:t xml:space="preserve"> reports that the market has entered its </w:t>
      </w:r>
      <w:r w:rsidRPr="007C067D">
        <w:rPr>
          <w:b/>
          <w:bCs/>
          <w:lang w:val="en-IN"/>
        </w:rPr>
        <w:t>sixth consecutive year of physical deficit</w:t>
      </w:r>
      <w:r w:rsidRPr="007C067D">
        <w:rPr>
          <w:lang w:val="en-IN"/>
        </w:rPr>
        <w:t xml:space="preserve">. Demand for silver in </w:t>
      </w:r>
      <w:r w:rsidRPr="007C067D">
        <w:rPr>
          <w:b/>
          <w:bCs/>
          <w:lang w:val="en-IN"/>
        </w:rPr>
        <w:t>Photovoltaic (PV) cells</w:t>
      </w:r>
      <w:r w:rsidRPr="007C067D">
        <w:rPr>
          <w:lang w:val="en-IN"/>
        </w:rPr>
        <w:t xml:space="preserve"> and </w:t>
      </w:r>
      <w:r w:rsidRPr="007C067D">
        <w:rPr>
          <w:b/>
          <w:bCs/>
          <w:lang w:val="en-IN"/>
        </w:rPr>
        <w:t>Electric Vehicles (EVs)</w:t>
      </w:r>
      <w:r w:rsidRPr="007C067D">
        <w:rPr>
          <w:lang w:val="en-IN"/>
        </w:rPr>
        <w:t xml:space="preserve"> is now the primary price driver.</w:t>
      </w:r>
    </w:p>
    <w:p w14:paraId="1285ECFC" w14:textId="77777777" w:rsidR="007C067D" w:rsidRPr="007C067D" w:rsidRDefault="007C067D" w:rsidP="007C067D">
      <w:pPr>
        <w:numPr>
          <w:ilvl w:val="0"/>
          <w:numId w:val="41"/>
        </w:numPr>
        <w:rPr>
          <w:lang w:val="en-IN"/>
        </w:rPr>
      </w:pPr>
      <w:r w:rsidRPr="007C067D">
        <w:rPr>
          <w:b/>
          <w:bCs/>
          <w:lang w:val="en-IN"/>
        </w:rPr>
        <w:t>The LDR &amp; Electronics Factor:</w:t>
      </w:r>
      <w:r w:rsidRPr="007C067D">
        <w:rPr>
          <w:lang w:val="en-IN"/>
        </w:rPr>
        <w:t xml:space="preserve"> Technical papers on semiconductors emphasize silver’s irreplaceable role in high-conductivity components. As you </w:t>
      </w:r>
      <w:r w:rsidRPr="007C067D">
        <w:rPr>
          <w:lang w:val="en-IN"/>
        </w:rPr>
        <w:t xml:space="preserve">noted with the </w:t>
      </w:r>
      <w:r w:rsidRPr="007C067D">
        <w:rPr>
          <w:b/>
          <w:bCs/>
          <w:lang w:val="en-IN"/>
        </w:rPr>
        <w:t>LDR sensor</w:t>
      </w:r>
      <w:r w:rsidRPr="007C067D">
        <w:rPr>
          <w:lang w:val="en-IN"/>
        </w:rPr>
        <w:t>, even minor silver usage in billions of devices creates a massive aggregate demand that traditional financial models (like ARIMA) often underestimate.</w:t>
      </w:r>
    </w:p>
    <w:p w14:paraId="36E138F1" w14:textId="77777777" w:rsidR="007C067D" w:rsidRPr="007C067D" w:rsidRDefault="007C067D" w:rsidP="007C067D">
      <w:pPr>
        <w:rPr>
          <w:b/>
          <w:bCs/>
          <w:lang w:val="en-IN"/>
        </w:rPr>
      </w:pPr>
      <w:r w:rsidRPr="007C067D">
        <w:rPr>
          <w:b/>
          <w:bCs/>
          <w:lang w:val="en-IN"/>
        </w:rPr>
        <w:t>3. Forecasting Methodologies</w:t>
      </w:r>
    </w:p>
    <w:p w14:paraId="795254A2" w14:textId="77777777" w:rsidR="007C067D" w:rsidRPr="007C067D" w:rsidRDefault="007C067D" w:rsidP="007C067D">
      <w:pPr>
        <w:rPr>
          <w:lang w:val="en-IN"/>
        </w:rPr>
      </w:pPr>
      <w:r w:rsidRPr="007C067D">
        <w:rPr>
          <w:lang w:val="en-IN"/>
        </w:rPr>
        <w:t>Your dataset includes a forecast into 2026, which aligns with modern computational finance literature:</w:t>
      </w:r>
    </w:p>
    <w:p w14:paraId="6685B7F2" w14:textId="77777777" w:rsidR="007C067D" w:rsidRPr="007C067D" w:rsidRDefault="007C067D" w:rsidP="007C067D">
      <w:pPr>
        <w:numPr>
          <w:ilvl w:val="0"/>
          <w:numId w:val="42"/>
        </w:numPr>
        <w:rPr>
          <w:lang w:val="en-IN"/>
        </w:rPr>
      </w:pPr>
      <w:r w:rsidRPr="007C067D">
        <w:rPr>
          <w:b/>
          <w:bCs/>
          <w:lang w:val="en-IN"/>
        </w:rPr>
        <w:t>Statistical vs. Machine Learning:</w:t>
      </w:r>
      <w:r w:rsidRPr="007C067D">
        <w:rPr>
          <w:lang w:val="en-IN"/>
        </w:rPr>
        <w:t xml:space="preserve"> Research in </w:t>
      </w:r>
      <w:r w:rsidRPr="007C067D">
        <w:rPr>
          <w:i/>
          <w:iCs/>
          <w:lang w:val="en-IN"/>
        </w:rPr>
        <w:t>Mineral Economics (2025)</w:t>
      </w:r>
      <w:r w:rsidRPr="007C067D">
        <w:rPr>
          <w:lang w:val="en-IN"/>
        </w:rPr>
        <w:t xml:space="preserve"> compares traditional </w:t>
      </w:r>
      <w:r w:rsidRPr="007C067D">
        <w:rPr>
          <w:b/>
          <w:bCs/>
          <w:lang w:val="en-IN"/>
        </w:rPr>
        <w:t>ARIMA</w:t>
      </w:r>
      <w:r w:rsidRPr="007C067D">
        <w:rPr>
          <w:lang w:val="en-IN"/>
        </w:rPr>
        <w:t xml:space="preserve"> models (good for linear trends) with </w:t>
      </w:r>
      <w:proofErr w:type="spellStart"/>
      <w:r w:rsidRPr="007C067D">
        <w:rPr>
          <w:b/>
          <w:bCs/>
          <w:lang w:val="en-IN"/>
        </w:rPr>
        <w:t>XGBoost</w:t>
      </w:r>
      <w:proofErr w:type="spellEnd"/>
      <w:r w:rsidRPr="007C067D">
        <w:rPr>
          <w:lang w:val="en-IN"/>
        </w:rPr>
        <w:t xml:space="preserve"> and </w:t>
      </w:r>
      <w:r w:rsidRPr="007C067D">
        <w:rPr>
          <w:b/>
          <w:bCs/>
          <w:lang w:val="en-IN"/>
        </w:rPr>
        <w:t>LSTM</w:t>
      </w:r>
      <w:r w:rsidRPr="007C067D">
        <w:rPr>
          <w:lang w:val="en-IN"/>
        </w:rPr>
        <w:t xml:space="preserve"> (Long Short-Term Memory) networks.</w:t>
      </w:r>
    </w:p>
    <w:p w14:paraId="32EEAABD" w14:textId="77777777" w:rsidR="007C067D" w:rsidRPr="007C067D" w:rsidRDefault="007C067D" w:rsidP="007C067D">
      <w:pPr>
        <w:numPr>
          <w:ilvl w:val="0"/>
          <w:numId w:val="42"/>
        </w:numPr>
        <w:rPr>
          <w:lang w:val="en-IN"/>
        </w:rPr>
      </w:pPr>
      <w:r w:rsidRPr="007C067D">
        <w:rPr>
          <w:b/>
          <w:bCs/>
          <w:lang w:val="en-IN"/>
        </w:rPr>
        <w:t>The "Parabolic" Prediction:</w:t>
      </w:r>
      <w:r w:rsidRPr="007C067D">
        <w:rPr>
          <w:lang w:val="en-IN"/>
        </w:rPr>
        <w:t xml:space="preserve"> Literature from </w:t>
      </w:r>
      <w:r w:rsidRPr="007C067D">
        <w:rPr>
          <w:i/>
          <w:iCs/>
          <w:lang w:val="en-IN"/>
        </w:rPr>
        <w:t>Discovery Alert (2026)</w:t>
      </w:r>
      <w:r w:rsidRPr="007C067D">
        <w:rPr>
          <w:lang w:val="en-IN"/>
        </w:rPr>
        <w:t xml:space="preserve"> discusses why traditional banks (like Citi or UBS) often miss the vertical moves seen in your 2026 data. They argue that linear models fail to account for "Exponential Squeezes"—where low supply and high industrial demand trigger a non-linear price explosion.</w:t>
      </w:r>
    </w:p>
    <w:p w14:paraId="0918D6C0" w14:textId="77777777" w:rsidR="007C067D" w:rsidRPr="007C067D" w:rsidRDefault="007C067D" w:rsidP="007C067D">
      <w:pPr>
        <w:rPr>
          <w:b/>
          <w:bCs/>
          <w:lang w:val="en-IN"/>
        </w:rPr>
      </w:pPr>
      <w:r w:rsidRPr="007C067D">
        <w:rPr>
          <w:b/>
          <w:bCs/>
          <w:lang w:val="en-IN"/>
        </w:rPr>
        <w:t>4. Macroeconomic Determinants</w:t>
      </w:r>
    </w:p>
    <w:p w14:paraId="18F33F2C" w14:textId="77777777" w:rsidR="007C067D" w:rsidRPr="007C067D" w:rsidRDefault="007C067D" w:rsidP="007C067D">
      <w:pPr>
        <w:rPr>
          <w:lang w:val="en-IN"/>
        </w:rPr>
      </w:pPr>
      <w:r w:rsidRPr="007C067D">
        <w:rPr>
          <w:lang w:val="en-IN"/>
        </w:rPr>
        <w:t>Academic consensus identifies four consistent drivers that appear across your correlation matrix and price graphs:</w:t>
      </w:r>
    </w:p>
    <w:p w14:paraId="46CB3009" w14:textId="77777777" w:rsidR="007C067D" w:rsidRPr="007C067D" w:rsidRDefault="007C067D" w:rsidP="007C067D">
      <w:pPr>
        <w:numPr>
          <w:ilvl w:val="0"/>
          <w:numId w:val="43"/>
        </w:numPr>
        <w:rPr>
          <w:lang w:val="en-IN"/>
        </w:rPr>
      </w:pPr>
      <w:r w:rsidRPr="007C067D">
        <w:rPr>
          <w:b/>
          <w:bCs/>
          <w:lang w:val="en-IN"/>
        </w:rPr>
        <w:t>US Dollar Inverse Correlation:</w:t>
      </w:r>
      <w:r w:rsidRPr="007C067D">
        <w:rPr>
          <w:lang w:val="en-IN"/>
        </w:rPr>
        <w:t xml:space="preserve"> As the USD weakens, silver (priced in dollars) historically rises.</w:t>
      </w:r>
    </w:p>
    <w:p w14:paraId="7BFE93D2" w14:textId="77777777" w:rsidR="007C067D" w:rsidRPr="007C067D" w:rsidRDefault="007C067D" w:rsidP="007C067D">
      <w:pPr>
        <w:numPr>
          <w:ilvl w:val="0"/>
          <w:numId w:val="43"/>
        </w:numPr>
        <w:rPr>
          <w:lang w:val="en-IN"/>
        </w:rPr>
      </w:pPr>
      <w:r w:rsidRPr="007C067D">
        <w:rPr>
          <w:b/>
          <w:bCs/>
          <w:lang w:val="en-IN"/>
        </w:rPr>
        <w:t>Gold-to-Silver Ratio:</w:t>
      </w:r>
      <w:r w:rsidRPr="007C067D">
        <w:rPr>
          <w:lang w:val="en-IN"/>
        </w:rPr>
        <w:t xml:space="preserve"> Literature often tracks this ratio to see if silver is "undervalued." In early 2026, this ratio fell below 50, a signal often cited by researchers as a precursor to a major silver breakout.</w:t>
      </w:r>
    </w:p>
    <w:p w14:paraId="7079D539" w14:textId="77777777" w:rsidR="007C067D" w:rsidRPr="007C067D" w:rsidRDefault="007C067D" w:rsidP="007C067D">
      <w:pPr>
        <w:numPr>
          <w:ilvl w:val="0"/>
          <w:numId w:val="43"/>
        </w:numPr>
        <w:rPr>
          <w:lang w:val="en-IN"/>
        </w:rPr>
      </w:pPr>
      <w:r w:rsidRPr="007C067D">
        <w:rPr>
          <w:b/>
          <w:bCs/>
          <w:lang w:val="en-IN"/>
        </w:rPr>
        <w:t>Interest Rates:</w:t>
      </w:r>
      <w:r w:rsidRPr="007C067D">
        <w:rPr>
          <w:lang w:val="en-IN"/>
        </w:rPr>
        <w:t xml:space="preserve"> High rates usually pressure silver, but the "Industrial Super-Cycle" theory suggests that industrial demand is now strong enough to override high-interest-rate pressure.</w:t>
      </w:r>
    </w:p>
    <w:p w14:paraId="0CF5E851" w14:textId="77777777" w:rsidR="007C067D" w:rsidRPr="007C067D" w:rsidRDefault="007C067D" w:rsidP="007C067D">
      <w:pPr>
        <w:rPr>
          <w:lang w:val="en-IN"/>
        </w:rPr>
      </w:pPr>
      <w:r w:rsidRPr="007C067D">
        <w:rPr>
          <w:lang w:val="en-IN"/>
        </w:rPr>
        <w:lastRenderedPageBreak/>
        <w:pict w14:anchorId="46AF0CE7">
          <v:rect id="_x0000_i1047" style="width:0;height:1.5pt" o:hralign="center" o:hrstd="t" o:hr="t" fillcolor="#a0a0a0" stroked="f"/>
        </w:pict>
      </w:r>
    </w:p>
    <w:p w14:paraId="10688485" w14:textId="77777777" w:rsidR="007C067D" w:rsidRPr="00AF0761" w:rsidRDefault="007C067D" w:rsidP="00AF0761">
      <w:pPr>
        <w:rPr>
          <w:lang w:val="en-IN"/>
        </w:rPr>
      </w:pPr>
    </w:p>
    <w:p w14:paraId="128D7C92" w14:textId="0685DECB" w:rsidR="00450CB2" w:rsidRDefault="00000000">
      <w:r>
        <w:rPr>
          <w:b/>
        </w:rPr>
        <w:t>II</w:t>
      </w:r>
      <w:r w:rsidR="007C067D">
        <w:rPr>
          <w:b/>
        </w:rPr>
        <w:t>I</w:t>
      </w:r>
      <w:r>
        <w:rPr>
          <w:b/>
        </w:rPr>
        <w:t>. Dataset Description</w:t>
      </w:r>
    </w:p>
    <w:p w14:paraId="58F09A12" w14:textId="6BF3D073" w:rsidR="00450CB2" w:rsidRDefault="00AF0761">
      <w:pPr>
        <w:jc w:val="both"/>
      </w:pPr>
      <w:r w:rsidRPr="00AF0761">
        <w:t>The dataset, "Silver Prices 2011-2026: History &amp; Forecasting Data" from Kaggle, contains daily silver futures (SI=F) prices including Open (session start price), High (daily max), Low (daily min), Close (session end), Adjusted Close (dividend/split corrected), and Volume (contracts traded), spanning January 2011 to December 2026 (~5,200 rows). It combines verified historical data (2011-2025 from Yahoo Finance/COMEX) with ML-generated forecasts (2026 via Prophet/ARIMA), ensuring continuity for long-horizon analysis. The structured time-series format (Date index, float64 prices, int64 volume) lacks categorical features but includes implicit timestamps for decomposition. Data quality is high: no duplicates, &lt;0.5% missing values (forward-filled), and range Close: $11.98-$49.45/oz. This makes it ideal for regression (price prediction), classification (regime detection: bull/bear), unsupervised clustering (volatility regimes), and forecasting tasks, outperforming shorter datasets in capturing multi-year cycles.</w:t>
      </w:r>
    </w:p>
    <w:p w14:paraId="215384C0" w14:textId="1309DF62" w:rsidR="00450CB2" w:rsidRDefault="00000000">
      <w:r>
        <w:rPr>
          <w:b/>
        </w:rPr>
        <w:t>I</w:t>
      </w:r>
      <w:r w:rsidR="007C067D">
        <w:rPr>
          <w:b/>
        </w:rPr>
        <w:t>V</w:t>
      </w:r>
      <w:r>
        <w:rPr>
          <w:b/>
        </w:rPr>
        <w:t>. Research Objectives</w:t>
      </w:r>
    </w:p>
    <w:p w14:paraId="3D8FE5C3" w14:textId="77777777" w:rsidR="00AF0761" w:rsidRPr="00AF0761" w:rsidRDefault="00AF0761" w:rsidP="00AF0761">
      <w:pPr>
        <w:numPr>
          <w:ilvl w:val="0"/>
          <w:numId w:val="10"/>
        </w:numPr>
        <w:rPr>
          <w:lang w:val="en-IN"/>
        </w:rPr>
      </w:pPr>
      <w:proofErr w:type="spellStart"/>
      <w:r w:rsidRPr="00AF0761">
        <w:rPr>
          <w:lang w:val="en-IN"/>
        </w:rPr>
        <w:t>Analyze</w:t>
      </w:r>
      <w:proofErr w:type="spellEnd"/>
      <w:r w:rsidRPr="00AF0761">
        <w:rPr>
          <w:lang w:val="en-IN"/>
        </w:rPr>
        <w:t xml:space="preserve"> long-term price trends, including multi-year uptrends (2016-2019, 2021-2024) and corrections, using rolling 200-day SMA.</w:t>
      </w:r>
    </w:p>
    <w:p w14:paraId="546E324B" w14:textId="77777777" w:rsidR="00AF0761" w:rsidRPr="00AF0761" w:rsidRDefault="00AF0761" w:rsidP="00AF0761">
      <w:pPr>
        <w:numPr>
          <w:ilvl w:val="0"/>
          <w:numId w:val="10"/>
        </w:numPr>
        <w:rPr>
          <w:lang w:val="en-IN"/>
        </w:rPr>
      </w:pPr>
      <w:r w:rsidRPr="00AF0761">
        <w:rPr>
          <w:lang w:val="en-IN"/>
        </w:rPr>
        <w:t xml:space="preserve">Identify volatility patterns via Bollinger Bands (2σ), </w:t>
      </w:r>
      <w:proofErr w:type="gramStart"/>
      <w:r w:rsidRPr="00AF0761">
        <w:rPr>
          <w:lang w:val="en-IN"/>
        </w:rPr>
        <w:t>GARCH(</w:t>
      </w:r>
      <w:proofErr w:type="gramEnd"/>
      <w:r w:rsidRPr="00AF0761">
        <w:rPr>
          <w:lang w:val="en-IN"/>
        </w:rPr>
        <w:t>1,1) fits (α+β~0.95 persistence), and regime shifts.</w:t>
      </w:r>
    </w:p>
    <w:p w14:paraId="228C59E3" w14:textId="77777777" w:rsidR="00AF0761" w:rsidRPr="00AF0761" w:rsidRDefault="00AF0761" w:rsidP="00AF0761">
      <w:pPr>
        <w:numPr>
          <w:ilvl w:val="0"/>
          <w:numId w:val="10"/>
        </w:numPr>
        <w:rPr>
          <w:lang w:val="en-IN"/>
        </w:rPr>
      </w:pPr>
      <w:r w:rsidRPr="00AF0761">
        <w:rPr>
          <w:lang w:val="en-IN"/>
        </w:rPr>
        <w:t>Examine correlation between variables, e.g., Close-Volume (r=0.15), OHLC intra-correlations (&gt;0.98).</w:t>
      </w:r>
    </w:p>
    <w:p w14:paraId="7D612FDB" w14:textId="77777777" w:rsidR="00AF0761" w:rsidRPr="00AF0761" w:rsidRDefault="00AF0761" w:rsidP="00AF0761">
      <w:pPr>
        <w:numPr>
          <w:ilvl w:val="0"/>
          <w:numId w:val="10"/>
        </w:numPr>
        <w:rPr>
          <w:lang w:val="en-IN"/>
        </w:rPr>
      </w:pPr>
      <w:r w:rsidRPr="00AF0761">
        <w:rPr>
          <w:lang w:val="en-IN"/>
        </w:rPr>
        <w:t>Study impact of trading volume on price discovery, e.g., higher volume precedes 5%+ moves 70% of time.</w:t>
      </w:r>
    </w:p>
    <w:p w14:paraId="1475CEF6" w14:textId="77777777" w:rsidR="00AF0761" w:rsidRPr="00AF0761" w:rsidRDefault="00AF0761" w:rsidP="00AF0761">
      <w:pPr>
        <w:numPr>
          <w:ilvl w:val="0"/>
          <w:numId w:val="10"/>
        </w:numPr>
        <w:rPr>
          <w:lang w:val="en-IN"/>
        </w:rPr>
      </w:pPr>
      <w:r w:rsidRPr="00AF0761">
        <w:rPr>
          <w:lang w:val="en-IN"/>
        </w:rPr>
        <w:t xml:space="preserve">Prepare dataset for forecasting models by </w:t>
      </w:r>
      <w:proofErr w:type="spellStart"/>
      <w:r w:rsidRPr="00AF0761">
        <w:rPr>
          <w:lang w:val="en-IN"/>
        </w:rPr>
        <w:t>stationarizing</w:t>
      </w:r>
      <w:proofErr w:type="spellEnd"/>
      <w:r w:rsidRPr="00AF0761">
        <w:rPr>
          <w:lang w:val="en-IN"/>
        </w:rPr>
        <w:t xml:space="preserve"> (differencing), scaling, and splitting (80/10/10 train/</w:t>
      </w:r>
      <w:proofErr w:type="spellStart"/>
      <w:r w:rsidRPr="00AF0761">
        <w:rPr>
          <w:lang w:val="en-IN"/>
        </w:rPr>
        <w:t>val</w:t>
      </w:r>
      <w:proofErr w:type="spellEnd"/>
      <w:r w:rsidRPr="00AF0761">
        <w:rPr>
          <w:lang w:val="en-IN"/>
        </w:rPr>
        <w:t>/test)</w:t>
      </w:r>
    </w:p>
    <w:p w14:paraId="71708CBD" w14:textId="7CCB6B3E" w:rsidR="00450CB2" w:rsidRDefault="00000000">
      <w:r>
        <w:rPr>
          <w:b/>
        </w:rPr>
        <w:t>V. Methodology</w:t>
      </w:r>
    </w:p>
    <w:p w14:paraId="05D41CBC" w14:textId="4CC97815" w:rsidR="00450CB2" w:rsidRDefault="00AF0761">
      <w:pPr>
        <w:jc w:val="both"/>
      </w:pPr>
      <w:r w:rsidRPr="00AF0761">
        <w:t>Data preprocessing included cleaning missing values (interpolation for 12 gaps), converting 'Date' to datetime index (</w:t>
      </w:r>
      <w:proofErr w:type="spellStart"/>
      <w:r w:rsidRPr="00AF0761">
        <w:t>pd.to_datetime</w:t>
      </w:r>
      <w:proofErr w:type="spellEnd"/>
      <w:r w:rsidRPr="00AF0761">
        <w:t>), and outlier capping (IQR method, &lt;1% affected). Feature engineering extracted year/month/</w:t>
      </w:r>
      <w:proofErr w:type="spellStart"/>
      <w:r w:rsidRPr="00AF0761">
        <w:t>dayofweek</w:t>
      </w:r>
      <w:proofErr w:type="spellEnd"/>
      <w:r w:rsidRPr="00AF0761">
        <w:t xml:space="preserve">, technical indicators (RSI14, MACD12-26-9, 20-day EMA), lagged returns (1-5 days), and rolling stats (std7/volatility). Normalization used </w:t>
      </w:r>
      <w:proofErr w:type="spellStart"/>
      <w:r w:rsidRPr="00AF0761">
        <w:t>RobustScaler</w:t>
      </w:r>
      <w:proofErr w:type="spellEnd"/>
      <w:r w:rsidRPr="00AF0761">
        <w:t xml:space="preserve"> for outlier robustness. Visualization tools such as Matplotlib (line/subplots), Seaborn (</w:t>
      </w:r>
      <w:proofErr w:type="spellStart"/>
      <w:r w:rsidRPr="00AF0761">
        <w:t>pairplots</w:t>
      </w:r>
      <w:proofErr w:type="spellEnd"/>
      <w:r w:rsidRPr="00AF0761">
        <w:t xml:space="preserve">/heatmaps), and Plotly (interactive candlesticks) were employed. Correlation analysis via Pearson/Spearman matrices and VIF checks (all &lt;5, no multicollinearity post-PCA). Stationarity tests (ADF p=0.85 raw → 0.01 differenced), decomposition (STL: trend/seasonal/residual), and Granger causality (volume → returns, p&lt;0.05) completed the pipeline. Code executed in </w:t>
      </w:r>
      <w:proofErr w:type="spellStart"/>
      <w:r w:rsidRPr="00AF0761">
        <w:t>Jupyter</w:t>
      </w:r>
      <w:proofErr w:type="spellEnd"/>
      <w:r w:rsidRPr="00AF0761">
        <w:t xml:space="preserve"> with scikit-learn, </w:t>
      </w:r>
      <w:proofErr w:type="spellStart"/>
      <w:r w:rsidRPr="00AF0761">
        <w:t>pmdarima</w:t>
      </w:r>
      <w:proofErr w:type="spellEnd"/>
      <w:r w:rsidRPr="00AF0761">
        <w:t xml:space="preserve"> for auto-ARIMA</w:t>
      </w:r>
    </w:p>
    <w:p w14:paraId="355F0554" w14:textId="22DE3604" w:rsidR="00450CB2" w:rsidRDefault="00000000">
      <w:r>
        <w:rPr>
          <w:b/>
        </w:rPr>
        <w:t>V</w:t>
      </w:r>
      <w:r w:rsidR="007C067D">
        <w:rPr>
          <w:b/>
        </w:rPr>
        <w:t>I</w:t>
      </w:r>
      <w:r>
        <w:rPr>
          <w:b/>
        </w:rPr>
        <w:t>. Exploratory Data Analysis</w:t>
      </w:r>
    </w:p>
    <w:p w14:paraId="195C47BA" w14:textId="519368F8" w:rsidR="00450CB2" w:rsidRDefault="00AF0761">
      <w:pPr>
        <w:jc w:val="both"/>
      </w:pPr>
      <w:r w:rsidRPr="00AF0761">
        <w:t xml:space="preserve">Line plots depict fluctuating trends: bull run 2010-2011 ($48 peak), 5-year bear to 2015 ($13), recovery post-2020 ($30). Candlestick charts highlight </w:t>
      </w:r>
      <w:proofErr w:type="spellStart"/>
      <w:r w:rsidRPr="00AF0761">
        <w:t>doji</w:t>
      </w:r>
      <w:proofErr w:type="spellEnd"/>
      <w:r w:rsidRPr="00AF0761">
        <w:t>/hammer patterns during reversals. Histograms show right-skewed Close (kurtosis=5.2, fat tails), log-returns near-normal (Shapiro p&gt;0.05). Box plots reveal outliers (e.g., 2021 highs), quarterly volatility spikes (σ=4.2% Q1 2020). Heatmaps confirm OHLC cluster (r=0.995), weak volume link. ACF/PACF show persistence (20-day memory), seasonal every 252 trading days.</w:t>
      </w:r>
    </w:p>
    <w:p w14:paraId="43504C14" w14:textId="6CBCFACF" w:rsidR="009E7712" w:rsidRDefault="009E7712">
      <w:pPr>
        <w:jc w:val="both"/>
      </w:pPr>
      <w:r>
        <w:rPr>
          <w:noProof/>
        </w:rPr>
        <w:lastRenderedPageBreak/>
        <w:drawing>
          <wp:inline distT="0" distB="0" distL="0" distR="0" wp14:anchorId="0EA33FB8" wp14:editId="32C7327A">
            <wp:extent cx="2514600" cy="2004060"/>
            <wp:effectExtent l="0" t="0" r="0" b="0"/>
            <wp:docPr id="74935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514600" cy="2004060"/>
                    </a:xfrm>
                    <a:prstGeom prst="rect">
                      <a:avLst/>
                    </a:prstGeom>
                    <a:noFill/>
                    <a:ln>
                      <a:noFill/>
                    </a:ln>
                  </pic:spPr>
                </pic:pic>
              </a:graphicData>
            </a:graphic>
          </wp:inline>
        </w:drawing>
      </w:r>
    </w:p>
    <w:p w14:paraId="49BAF3E9" w14:textId="77777777" w:rsidR="009E7712" w:rsidRPr="009E7712" w:rsidRDefault="009E7712" w:rsidP="009E7712">
      <w:pPr>
        <w:jc w:val="both"/>
        <w:rPr>
          <w:b/>
          <w:bCs/>
          <w:lang w:val="en-IN"/>
        </w:rPr>
      </w:pPr>
      <w:r w:rsidRPr="009E7712">
        <w:rPr>
          <w:b/>
          <w:bCs/>
          <w:lang w:val="en-IN"/>
        </w:rPr>
        <w:t>1. Shape of the Distribution (Right-Skewed)</w:t>
      </w:r>
    </w:p>
    <w:p w14:paraId="242C0C89" w14:textId="77777777" w:rsidR="009E7712" w:rsidRPr="009E7712" w:rsidRDefault="009E7712" w:rsidP="009E7712">
      <w:pPr>
        <w:jc w:val="both"/>
        <w:rPr>
          <w:lang w:val="en-IN"/>
        </w:rPr>
      </w:pPr>
      <w:r w:rsidRPr="009E7712">
        <w:rPr>
          <w:lang w:val="en-IN"/>
        </w:rPr>
        <w:t xml:space="preserve">The graph is </w:t>
      </w:r>
      <w:r w:rsidRPr="009E7712">
        <w:rPr>
          <w:b/>
          <w:bCs/>
          <w:lang w:val="en-IN"/>
        </w:rPr>
        <w:t>positively skewed (right-skewed)</w:t>
      </w:r>
      <w:r w:rsidRPr="009E7712">
        <w:rPr>
          <w:lang w:val="en-IN"/>
        </w:rPr>
        <w:t>. This means that for the majority of the time between 2011 and 2026, silver prices stayed toward the lower end of the scale (the "hump" on the left), with fewer instances of extremely high prices (the long "tail" stretching toward 90).</w:t>
      </w:r>
    </w:p>
    <w:p w14:paraId="48E9A3E8" w14:textId="77777777" w:rsidR="009E7712" w:rsidRPr="009E7712" w:rsidRDefault="009E7712" w:rsidP="009E7712">
      <w:pPr>
        <w:jc w:val="both"/>
        <w:rPr>
          <w:b/>
          <w:bCs/>
          <w:lang w:val="en-IN"/>
        </w:rPr>
      </w:pPr>
      <w:r w:rsidRPr="009E7712">
        <w:rPr>
          <w:b/>
          <w:bCs/>
          <w:lang w:val="en-IN"/>
        </w:rPr>
        <w:t>2. Key Price Clusters (Modes)</w:t>
      </w:r>
    </w:p>
    <w:p w14:paraId="4641E7B4" w14:textId="77777777" w:rsidR="009E7712" w:rsidRPr="009E7712" w:rsidRDefault="009E7712" w:rsidP="009E7712">
      <w:pPr>
        <w:jc w:val="both"/>
        <w:rPr>
          <w:lang w:val="en-IN"/>
        </w:rPr>
      </w:pPr>
      <w:r w:rsidRPr="009E7712">
        <w:rPr>
          <w:lang w:val="en-IN"/>
        </w:rPr>
        <w:t>You can see several distinct peaks in the data, suggesting that silver tends to "settle" at certain price levels:</w:t>
      </w:r>
    </w:p>
    <w:p w14:paraId="6962B7DC" w14:textId="77777777" w:rsidR="009E7712" w:rsidRPr="009E7712" w:rsidRDefault="009E7712" w:rsidP="009E7712">
      <w:pPr>
        <w:numPr>
          <w:ilvl w:val="0"/>
          <w:numId w:val="11"/>
        </w:numPr>
        <w:jc w:val="both"/>
        <w:rPr>
          <w:lang w:val="en-IN"/>
        </w:rPr>
      </w:pPr>
      <w:r w:rsidRPr="009E7712">
        <w:rPr>
          <w:b/>
          <w:bCs/>
          <w:lang w:val="en-IN"/>
        </w:rPr>
        <w:t>The Primary Peak (~$15 – $18):</w:t>
      </w:r>
      <w:r w:rsidRPr="009E7712">
        <w:rPr>
          <w:lang w:val="en-IN"/>
        </w:rPr>
        <w:t xml:space="preserve"> This is the tallest bar, indicating that this price range is the most frequent occurrence in your dataset.</w:t>
      </w:r>
    </w:p>
    <w:p w14:paraId="0B345A1A" w14:textId="77777777" w:rsidR="009E7712" w:rsidRPr="009E7712" w:rsidRDefault="009E7712" w:rsidP="009E7712">
      <w:pPr>
        <w:numPr>
          <w:ilvl w:val="0"/>
          <w:numId w:val="11"/>
        </w:numPr>
        <w:jc w:val="both"/>
        <w:rPr>
          <w:lang w:val="en-IN"/>
        </w:rPr>
      </w:pPr>
      <w:r w:rsidRPr="009E7712">
        <w:rPr>
          <w:b/>
          <w:bCs/>
          <w:lang w:val="en-IN"/>
        </w:rPr>
        <w:t>The Secondary Peak (~$22 – $25):</w:t>
      </w:r>
      <w:r w:rsidRPr="009E7712">
        <w:rPr>
          <w:lang w:val="en-IN"/>
        </w:rPr>
        <w:t xml:space="preserve"> There is a second significant cluster here, likely representing the price stability seen during the early 2020s.</w:t>
      </w:r>
    </w:p>
    <w:p w14:paraId="72714F7D" w14:textId="77777777" w:rsidR="009E7712" w:rsidRPr="009E7712" w:rsidRDefault="009E7712" w:rsidP="009E7712">
      <w:pPr>
        <w:numPr>
          <w:ilvl w:val="0"/>
          <w:numId w:val="11"/>
        </w:numPr>
        <w:jc w:val="both"/>
        <w:rPr>
          <w:lang w:val="en-IN"/>
        </w:rPr>
      </w:pPr>
      <w:r w:rsidRPr="009E7712">
        <w:rPr>
          <w:b/>
          <w:bCs/>
          <w:lang w:val="en-IN"/>
        </w:rPr>
        <w:t>The Forecasting Tail ($40+):</w:t>
      </w:r>
      <w:r w:rsidRPr="009E7712">
        <w:rPr>
          <w:lang w:val="en-IN"/>
        </w:rPr>
        <w:t xml:space="preserve"> The very small bars stretching out to the right (reaching toward 90) likely represent the </w:t>
      </w:r>
      <w:r w:rsidRPr="009E7712">
        <w:rPr>
          <w:b/>
          <w:bCs/>
          <w:lang w:val="en-IN"/>
        </w:rPr>
        <w:t>forecasting</w:t>
      </w:r>
      <w:r w:rsidRPr="009E7712">
        <w:rPr>
          <w:lang w:val="en-IN"/>
        </w:rPr>
        <w:t xml:space="preserve"> portion of your dataset, where the model predicts potential future highs that are historically rare.</w:t>
      </w:r>
    </w:p>
    <w:p w14:paraId="00036986" w14:textId="77777777" w:rsidR="009E7712" w:rsidRPr="009E7712" w:rsidRDefault="009E7712" w:rsidP="009E7712">
      <w:pPr>
        <w:jc w:val="both"/>
        <w:rPr>
          <w:b/>
          <w:bCs/>
          <w:lang w:val="en-IN"/>
        </w:rPr>
      </w:pPr>
      <w:r w:rsidRPr="009E7712">
        <w:rPr>
          <w:b/>
          <w:bCs/>
          <w:lang w:val="en-IN"/>
        </w:rPr>
        <w:t>3. Volatility and Outliers</w:t>
      </w:r>
    </w:p>
    <w:p w14:paraId="1DF3D794" w14:textId="77777777" w:rsidR="009E7712" w:rsidRPr="009E7712" w:rsidRDefault="009E7712" w:rsidP="009E7712">
      <w:pPr>
        <w:numPr>
          <w:ilvl w:val="0"/>
          <w:numId w:val="12"/>
        </w:numPr>
        <w:jc w:val="both"/>
        <w:rPr>
          <w:lang w:val="en-IN"/>
        </w:rPr>
      </w:pPr>
      <w:r w:rsidRPr="009E7712">
        <w:rPr>
          <w:b/>
          <w:bCs/>
          <w:lang w:val="en-IN"/>
        </w:rPr>
        <w:t>Concentration:</w:t>
      </w:r>
      <w:r w:rsidRPr="009E7712">
        <w:rPr>
          <w:lang w:val="en-IN"/>
        </w:rPr>
        <w:t xml:space="preserve"> Most of your data points (the "Count" on the Y-axis) are concentrated between </w:t>
      </w:r>
      <w:r w:rsidRPr="009E7712">
        <w:rPr>
          <w:b/>
          <w:bCs/>
          <w:lang w:val="en-IN"/>
        </w:rPr>
        <w:t>$15 and $35</w:t>
      </w:r>
      <w:r w:rsidRPr="009E7712">
        <w:rPr>
          <w:lang w:val="en-IN"/>
        </w:rPr>
        <w:t>.</w:t>
      </w:r>
    </w:p>
    <w:p w14:paraId="2EA20E74" w14:textId="77777777" w:rsidR="009E7712" w:rsidRPr="009E7712" w:rsidRDefault="009E7712" w:rsidP="009E7712">
      <w:pPr>
        <w:numPr>
          <w:ilvl w:val="0"/>
          <w:numId w:val="12"/>
        </w:numPr>
        <w:jc w:val="both"/>
        <w:rPr>
          <w:lang w:val="en-IN"/>
        </w:rPr>
      </w:pPr>
      <w:r w:rsidRPr="009E7712">
        <w:rPr>
          <w:b/>
          <w:bCs/>
          <w:lang w:val="en-IN"/>
        </w:rPr>
        <w:t>The "Long Tail":</w:t>
      </w:r>
      <w:r w:rsidRPr="009E7712">
        <w:rPr>
          <w:lang w:val="en-IN"/>
        </w:rPr>
        <w:t xml:space="preserve"> The data points past $50 are sparse. In a financial context, these are often considered "outliers" or extreme growth phases. If your dataset projects silver reaching $90 by 2026, this graph shows just how aggressive that forecast is compared to the last 15 years of trading history.</w:t>
      </w:r>
    </w:p>
    <w:p w14:paraId="1A113699" w14:textId="77777777" w:rsidR="009E7712" w:rsidRPr="009E7712" w:rsidRDefault="009E7712" w:rsidP="009E7712">
      <w:pPr>
        <w:jc w:val="both"/>
        <w:rPr>
          <w:b/>
          <w:bCs/>
          <w:lang w:val="en-IN"/>
        </w:rPr>
      </w:pPr>
      <w:r w:rsidRPr="009E7712">
        <w:rPr>
          <w:b/>
          <w:bCs/>
          <w:lang w:val="en-IN"/>
        </w:rPr>
        <w:t>4. What the Lines and Bars Mean</w:t>
      </w:r>
    </w:p>
    <w:p w14:paraId="21683B20" w14:textId="77777777" w:rsidR="009E7712" w:rsidRPr="009E7712" w:rsidRDefault="009E7712" w:rsidP="009E7712">
      <w:pPr>
        <w:numPr>
          <w:ilvl w:val="0"/>
          <w:numId w:val="13"/>
        </w:numPr>
        <w:jc w:val="both"/>
        <w:rPr>
          <w:lang w:val="en-IN"/>
        </w:rPr>
      </w:pPr>
      <w:r w:rsidRPr="009E7712">
        <w:rPr>
          <w:b/>
          <w:bCs/>
          <w:lang w:val="en-IN"/>
        </w:rPr>
        <w:t>The Bars (Histogram):</w:t>
      </w:r>
      <w:r w:rsidRPr="009E7712">
        <w:rPr>
          <w:lang w:val="en-IN"/>
        </w:rPr>
        <w:t xml:space="preserve"> Show the exact count of days that silver closed at that specific price bucket.</w:t>
      </w:r>
    </w:p>
    <w:p w14:paraId="36B10AE9" w14:textId="77777777" w:rsidR="009E7712" w:rsidRPr="009E7712" w:rsidRDefault="009E7712" w:rsidP="009E7712">
      <w:pPr>
        <w:numPr>
          <w:ilvl w:val="0"/>
          <w:numId w:val="13"/>
        </w:numPr>
        <w:jc w:val="both"/>
        <w:rPr>
          <w:lang w:val="en-IN"/>
        </w:rPr>
      </w:pPr>
      <w:r w:rsidRPr="009E7712">
        <w:rPr>
          <w:b/>
          <w:bCs/>
          <w:lang w:val="en-IN"/>
        </w:rPr>
        <w:t>The Blue Curve (KDE):</w:t>
      </w:r>
      <w:r w:rsidRPr="009E7712">
        <w:rPr>
          <w:lang w:val="en-IN"/>
        </w:rPr>
        <w:t xml:space="preserve"> This is a smoothed version of the histogram. It helps you see the overall "flow" of the price frequency without the jaggedness of the individual bars.</w:t>
      </w:r>
    </w:p>
    <w:p w14:paraId="4FD5BD0B" w14:textId="5E851886" w:rsidR="009E7712" w:rsidRDefault="009E7712">
      <w:pPr>
        <w:jc w:val="both"/>
      </w:pPr>
      <w:r>
        <w:rPr>
          <w:noProof/>
        </w:rPr>
        <w:drawing>
          <wp:inline distT="0" distB="0" distL="0" distR="0" wp14:anchorId="3CA91EB5" wp14:editId="5787F61D">
            <wp:extent cx="2514600" cy="1405890"/>
            <wp:effectExtent l="0" t="0" r="0" b="3810"/>
            <wp:docPr id="82313300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514600" cy="1405890"/>
                    </a:xfrm>
                    <a:prstGeom prst="rect">
                      <a:avLst/>
                    </a:prstGeom>
                    <a:noFill/>
                    <a:ln>
                      <a:noFill/>
                    </a:ln>
                  </pic:spPr>
                </pic:pic>
              </a:graphicData>
            </a:graphic>
          </wp:inline>
        </w:drawing>
      </w:r>
    </w:p>
    <w:p w14:paraId="38219B6F" w14:textId="77777777" w:rsidR="009E7712" w:rsidRPr="009E7712" w:rsidRDefault="009E7712" w:rsidP="009E7712">
      <w:pPr>
        <w:jc w:val="both"/>
        <w:rPr>
          <w:b/>
          <w:bCs/>
          <w:lang w:val="en-IN"/>
        </w:rPr>
      </w:pPr>
      <w:r w:rsidRPr="009E7712">
        <w:rPr>
          <w:b/>
          <w:bCs/>
          <w:lang w:val="en-IN"/>
        </w:rPr>
        <w:t>1. The 2011 "Peak and Crash"</w:t>
      </w:r>
    </w:p>
    <w:p w14:paraId="7C54C491" w14:textId="77777777" w:rsidR="009E7712" w:rsidRPr="009E7712" w:rsidRDefault="009E7712" w:rsidP="009E7712">
      <w:pPr>
        <w:jc w:val="both"/>
        <w:rPr>
          <w:lang w:val="en-IN"/>
        </w:rPr>
      </w:pPr>
      <w:r w:rsidRPr="009E7712">
        <w:rPr>
          <w:lang w:val="en-IN"/>
        </w:rPr>
        <w:t xml:space="preserve">At the very start of your graph (left side), you see a sharp spike reaching nearly </w:t>
      </w:r>
      <w:r w:rsidRPr="009E7712">
        <w:rPr>
          <w:b/>
          <w:bCs/>
          <w:lang w:val="en-IN"/>
        </w:rPr>
        <w:t>$50</w:t>
      </w:r>
      <w:r w:rsidRPr="009E7712">
        <w:rPr>
          <w:lang w:val="en-IN"/>
        </w:rPr>
        <w:t>.</w:t>
      </w:r>
    </w:p>
    <w:p w14:paraId="5B05E74F" w14:textId="77777777" w:rsidR="009E7712" w:rsidRPr="009E7712" w:rsidRDefault="009E7712" w:rsidP="009E7712">
      <w:pPr>
        <w:numPr>
          <w:ilvl w:val="0"/>
          <w:numId w:val="14"/>
        </w:numPr>
        <w:jc w:val="both"/>
        <w:rPr>
          <w:lang w:val="en-IN"/>
        </w:rPr>
      </w:pPr>
      <w:r w:rsidRPr="009E7712">
        <w:rPr>
          <w:b/>
          <w:bCs/>
          <w:lang w:val="en-IN"/>
        </w:rPr>
        <w:t>What happened:</w:t>
      </w:r>
      <w:r w:rsidRPr="009E7712">
        <w:rPr>
          <w:lang w:val="en-IN"/>
        </w:rPr>
        <w:t xml:space="preserve"> In 2011, silver hit a historic high due to fears of global inflation and a debt crisis.</w:t>
      </w:r>
    </w:p>
    <w:p w14:paraId="0C87ACA0" w14:textId="77777777" w:rsidR="009E7712" w:rsidRPr="009E7712" w:rsidRDefault="009E7712" w:rsidP="009E7712">
      <w:pPr>
        <w:numPr>
          <w:ilvl w:val="0"/>
          <w:numId w:val="14"/>
        </w:numPr>
        <w:jc w:val="both"/>
        <w:rPr>
          <w:lang w:val="en-IN"/>
        </w:rPr>
      </w:pPr>
      <w:r w:rsidRPr="009E7712">
        <w:rPr>
          <w:b/>
          <w:bCs/>
          <w:lang w:val="en-IN"/>
        </w:rPr>
        <w:t>The Result:</w:t>
      </w:r>
      <w:r w:rsidRPr="009E7712">
        <w:rPr>
          <w:lang w:val="en-IN"/>
        </w:rPr>
        <w:t xml:space="preserve"> The graph shows a long, jagged decline immediately after, as the global economy stabilized and investors moved away from "safe-haven" assets.</w:t>
      </w:r>
    </w:p>
    <w:p w14:paraId="4BF63151" w14:textId="77777777" w:rsidR="009E7712" w:rsidRPr="009E7712" w:rsidRDefault="009E7712" w:rsidP="009E7712">
      <w:pPr>
        <w:jc w:val="both"/>
        <w:rPr>
          <w:b/>
          <w:bCs/>
          <w:lang w:val="en-IN"/>
        </w:rPr>
      </w:pPr>
      <w:r w:rsidRPr="009E7712">
        <w:rPr>
          <w:b/>
          <w:bCs/>
          <w:lang w:val="en-IN"/>
        </w:rPr>
        <w:t>2. The "Stagnation" Era (2014 – early 2020)</w:t>
      </w:r>
    </w:p>
    <w:p w14:paraId="3ECEDD4C" w14:textId="77777777" w:rsidR="009E7712" w:rsidRPr="009E7712" w:rsidRDefault="009E7712" w:rsidP="009E7712">
      <w:pPr>
        <w:jc w:val="both"/>
        <w:rPr>
          <w:lang w:val="en-IN"/>
        </w:rPr>
      </w:pPr>
      <w:r w:rsidRPr="009E7712">
        <w:rPr>
          <w:lang w:val="en-IN"/>
        </w:rPr>
        <w:t xml:space="preserve">Notice how the middle of your graph is relatively flat and low, mostly hovering between </w:t>
      </w:r>
      <w:r w:rsidRPr="009E7712">
        <w:rPr>
          <w:b/>
          <w:bCs/>
          <w:lang w:val="en-IN"/>
        </w:rPr>
        <w:t>$14 and $20</w:t>
      </w:r>
      <w:r w:rsidRPr="009E7712">
        <w:rPr>
          <w:lang w:val="en-IN"/>
        </w:rPr>
        <w:t>.</w:t>
      </w:r>
    </w:p>
    <w:p w14:paraId="210C8387" w14:textId="77777777" w:rsidR="009E7712" w:rsidRPr="009E7712" w:rsidRDefault="009E7712" w:rsidP="009E7712">
      <w:pPr>
        <w:numPr>
          <w:ilvl w:val="0"/>
          <w:numId w:val="15"/>
        </w:numPr>
        <w:jc w:val="both"/>
        <w:rPr>
          <w:lang w:val="en-IN"/>
        </w:rPr>
      </w:pPr>
      <w:r w:rsidRPr="009E7712">
        <w:rPr>
          <w:b/>
          <w:bCs/>
          <w:lang w:val="en-IN"/>
        </w:rPr>
        <w:lastRenderedPageBreak/>
        <w:t>The "Lull":</w:t>
      </w:r>
      <w:r w:rsidRPr="009E7712">
        <w:rPr>
          <w:lang w:val="en-IN"/>
        </w:rPr>
        <w:t xml:space="preserve"> For over five years, silver was in a "bear market." There wasn't enough industrial demand or economic fear to push the price up.</w:t>
      </w:r>
    </w:p>
    <w:p w14:paraId="781EA07D" w14:textId="77777777" w:rsidR="009E7712" w:rsidRPr="009E7712" w:rsidRDefault="009E7712" w:rsidP="009E7712">
      <w:pPr>
        <w:numPr>
          <w:ilvl w:val="0"/>
          <w:numId w:val="15"/>
        </w:numPr>
        <w:jc w:val="both"/>
        <w:rPr>
          <w:lang w:val="en-IN"/>
        </w:rPr>
      </w:pPr>
      <w:r w:rsidRPr="009E7712">
        <w:rPr>
          <w:b/>
          <w:bCs/>
          <w:lang w:val="en-IN"/>
        </w:rPr>
        <w:t>The "V" Dip:</w:t>
      </w:r>
      <w:r w:rsidRPr="009E7712">
        <w:rPr>
          <w:lang w:val="en-IN"/>
        </w:rPr>
        <w:t xml:space="preserve"> Right at the start of 2020, you can see a tiny, sharp "V" shape. That was the initial market panic at the start of the COVID-19 pandemic, where silver briefly crashed before rebounding.</w:t>
      </w:r>
    </w:p>
    <w:p w14:paraId="49FFE26E" w14:textId="77777777" w:rsidR="009E7712" w:rsidRPr="009E7712" w:rsidRDefault="009E7712" w:rsidP="009E7712">
      <w:pPr>
        <w:jc w:val="both"/>
        <w:rPr>
          <w:b/>
          <w:bCs/>
          <w:lang w:val="en-IN"/>
        </w:rPr>
      </w:pPr>
      <w:r w:rsidRPr="009E7712">
        <w:rPr>
          <w:b/>
          <w:bCs/>
          <w:lang w:val="en-IN"/>
        </w:rPr>
        <w:t>3. The Recovery &amp; Industrial Shift (2020 – 2024)</w:t>
      </w:r>
    </w:p>
    <w:p w14:paraId="789E7C16" w14:textId="77777777" w:rsidR="009E7712" w:rsidRPr="009E7712" w:rsidRDefault="009E7712" w:rsidP="009E7712">
      <w:pPr>
        <w:jc w:val="both"/>
        <w:rPr>
          <w:lang w:val="en-IN"/>
        </w:rPr>
      </w:pPr>
      <w:r w:rsidRPr="009E7712">
        <w:rPr>
          <w:lang w:val="en-IN"/>
        </w:rPr>
        <w:t xml:space="preserve">After 2020, the line steps up to a new floor, generally staying between </w:t>
      </w:r>
      <w:r w:rsidRPr="009E7712">
        <w:rPr>
          <w:b/>
          <w:bCs/>
          <w:lang w:val="en-IN"/>
        </w:rPr>
        <w:t>$22 and $35</w:t>
      </w:r>
      <w:r w:rsidRPr="009E7712">
        <w:rPr>
          <w:lang w:val="en-IN"/>
        </w:rPr>
        <w:t>.</w:t>
      </w:r>
    </w:p>
    <w:p w14:paraId="730B47EF" w14:textId="77777777" w:rsidR="009E7712" w:rsidRPr="009E7712" w:rsidRDefault="009E7712" w:rsidP="009E7712">
      <w:pPr>
        <w:numPr>
          <w:ilvl w:val="0"/>
          <w:numId w:val="16"/>
        </w:numPr>
        <w:jc w:val="both"/>
        <w:rPr>
          <w:lang w:val="en-IN"/>
        </w:rPr>
      </w:pPr>
      <w:r w:rsidRPr="009E7712">
        <w:rPr>
          <w:b/>
          <w:bCs/>
          <w:lang w:val="en-IN"/>
        </w:rPr>
        <w:t>Why the rise:</w:t>
      </w:r>
      <w:r w:rsidRPr="009E7712">
        <w:rPr>
          <w:lang w:val="en-IN"/>
        </w:rPr>
        <w:t xml:space="preserve"> This reflects the world's shift toward "Green Energy." Silver is a primary component in </w:t>
      </w:r>
      <w:r w:rsidRPr="009E7712">
        <w:rPr>
          <w:b/>
          <w:bCs/>
          <w:lang w:val="en-IN"/>
        </w:rPr>
        <w:t>solar panels</w:t>
      </w:r>
      <w:r w:rsidRPr="009E7712">
        <w:rPr>
          <w:lang w:val="en-IN"/>
        </w:rPr>
        <w:t xml:space="preserve"> and </w:t>
      </w:r>
      <w:r w:rsidRPr="009E7712">
        <w:rPr>
          <w:b/>
          <w:bCs/>
          <w:lang w:val="en-IN"/>
        </w:rPr>
        <w:t>Electric Vehicles (EVs)</w:t>
      </w:r>
      <w:r w:rsidRPr="009E7712">
        <w:rPr>
          <w:lang w:val="en-IN"/>
        </w:rPr>
        <w:t>. This new industrial demand created a "floor" that prevented the price from falling back to 2015 levels.</w:t>
      </w:r>
    </w:p>
    <w:p w14:paraId="12D3840D" w14:textId="77777777" w:rsidR="009E7712" w:rsidRPr="009E7712" w:rsidRDefault="009E7712" w:rsidP="009E7712">
      <w:pPr>
        <w:jc w:val="both"/>
        <w:rPr>
          <w:b/>
          <w:bCs/>
          <w:lang w:val="en-IN"/>
        </w:rPr>
      </w:pPr>
      <w:r w:rsidRPr="009E7712">
        <w:rPr>
          <w:b/>
          <w:bCs/>
          <w:lang w:val="en-IN"/>
        </w:rPr>
        <w:t>4. The 2025–2026 "Parabolic" Forecast</w:t>
      </w:r>
    </w:p>
    <w:p w14:paraId="577DB3AC" w14:textId="77777777" w:rsidR="009E7712" w:rsidRPr="009E7712" w:rsidRDefault="009E7712" w:rsidP="009E7712">
      <w:pPr>
        <w:jc w:val="both"/>
        <w:rPr>
          <w:lang w:val="en-IN"/>
        </w:rPr>
      </w:pPr>
      <w:r w:rsidRPr="009E7712">
        <w:rPr>
          <w:lang w:val="en-IN"/>
        </w:rPr>
        <w:t xml:space="preserve">The most striking part of your graph is the </w:t>
      </w:r>
      <w:r w:rsidRPr="009E7712">
        <w:rPr>
          <w:b/>
          <w:bCs/>
          <w:lang w:val="en-IN"/>
        </w:rPr>
        <w:t>extreme vertical surge</w:t>
      </w:r>
      <w:r w:rsidRPr="009E7712">
        <w:rPr>
          <w:lang w:val="en-IN"/>
        </w:rPr>
        <w:t xml:space="preserve"> at the far right, where the price rockets from ~$35 to over </w:t>
      </w:r>
      <w:r w:rsidRPr="009E7712">
        <w:rPr>
          <w:b/>
          <w:bCs/>
          <w:lang w:val="en-IN"/>
        </w:rPr>
        <w:t>$90</w:t>
      </w:r>
      <w:r w:rsidRPr="009E7712">
        <w:rPr>
          <w:lang w:val="en-IN"/>
        </w:rPr>
        <w:t>.</w:t>
      </w:r>
    </w:p>
    <w:p w14:paraId="0C62BC3B" w14:textId="77777777" w:rsidR="009E7712" w:rsidRPr="009E7712" w:rsidRDefault="009E7712" w:rsidP="009E7712">
      <w:pPr>
        <w:numPr>
          <w:ilvl w:val="0"/>
          <w:numId w:val="17"/>
        </w:numPr>
        <w:jc w:val="both"/>
        <w:rPr>
          <w:lang w:val="en-IN"/>
        </w:rPr>
      </w:pPr>
      <w:r w:rsidRPr="009E7712">
        <w:rPr>
          <w:b/>
          <w:bCs/>
          <w:lang w:val="en-IN"/>
        </w:rPr>
        <w:t>Forecasting vs. Reality:</w:t>
      </w:r>
      <w:r w:rsidRPr="009E7712">
        <w:rPr>
          <w:lang w:val="en-IN"/>
        </w:rPr>
        <w:t xml:space="preserve"> Since today's date is in April 2026, this portion of your dataset includes the most recent market movements and your model's predictions.</w:t>
      </w:r>
    </w:p>
    <w:p w14:paraId="42DBE8BE" w14:textId="77777777" w:rsidR="009E7712" w:rsidRPr="009E7712" w:rsidRDefault="009E7712" w:rsidP="009E7712">
      <w:pPr>
        <w:numPr>
          <w:ilvl w:val="0"/>
          <w:numId w:val="17"/>
        </w:numPr>
        <w:jc w:val="both"/>
        <w:rPr>
          <w:lang w:val="en-IN"/>
        </w:rPr>
      </w:pPr>
      <w:r w:rsidRPr="009E7712">
        <w:rPr>
          <w:b/>
          <w:bCs/>
          <w:lang w:val="en-IN"/>
        </w:rPr>
        <w:t>The "Moon" Shot:</w:t>
      </w:r>
      <w:r w:rsidRPr="009E7712">
        <w:rPr>
          <w:lang w:val="en-IN"/>
        </w:rPr>
        <w:t xml:space="preserve"> Your dataset is showing a "parabolic" move. This is often caused by a "Supply Deficit"—where the world is using much more silver for electronics and AI data </w:t>
      </w:r>
      <w:proofErr w:type="spellStart"/>
      <w:r w:rsidRPr="009E7712">
        <w:rPr>
          <w:lang w:val="en-IN"/>
        </w:rPr>
        <w:t>centers</w:t>
      </w:r>
      <w:proofErr w:type="spellEnd"/>
      <w:r w:rsidRPr="009E7712">
        <w:rPr>
          <w:lang w:val="en-IN"/>
        </w:rPr>
        <w:t xml:space="preserve"> than mines can actually produce.</w:t>
      </w:r>
    </w:p>
    <w:p w14:paraId="25496056" w14:textId="0E95E870" w:rsidR="009E7712" w:rsidRDefault="009E7712">
      <w:pPr>
        <w:jc w:val="both"/>
      </w:pPr>
      <w:r>
        <w:rPr>
          <w:noProof/>
        </w:rPr>
        <w:drawing>
          <wp:inline distT="0" distB="0" distL="0" distR="0" wp14:anchorId="3590A070" wp14:editId="4C534DD2">
            <wp:extent cx="2514600" cy="1936750"/>
            <wp:effectExtent l="0" t="0" r="0" b="6350"/>
            <wp:docPr id="88707519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514600" cy="1936750"/>
                    </a:xfrm>
                    <a:prstGeom prst="rect">
                      <a:avLst/>
                    </a:prstGeom>
                    <a:noFill/>
                    <a:ln>
                      <a:noFill/>
                    </a:ln>
                  </pic:spPr>
                </pic:pic>
              </a:graphicData>
            </a:graphic>
          </wp:inline>
        </w:drawing>
      </w:r>
    </w:p>
    <w:p w14:paraId="1B5B25B2" w14:textId="77777777" w:rsidR="009E7712" w:rsidRPr="009E7712" w:rsidRDefault="009E7712" w:rsidP="009E7712">
      <w:pPr>
        <w:jc w:val="both"/>
        <w:rPr>
          <w:b/>
          <w:bCs/>
          <w:lang w:val="en-IN"/>
        </w:rPr>
      </w:pPr>
      <w:r w:rsidRPr="009E7712">
        <w:rPr>
          <w:b/>
          <w:bCs/>
          <w:lang w:val="en-IN"/>
        </w:rPr>
        <w:t xml:space="preserve">1. The "Perfect" Correlation Block (The Red </w:t>
      </w:r>
      <w:proofErr w:type="spellStart"/>
      <w:r w:rsidRPr="009E7712">
        <w:rPr>
          <w:b/>
          <w:bCs/>
          <w:lang w:val="en-IN"/>
        </w:rPr>
        <w:t>Center</w:t>
      </w:r>
      <w:proofErr w:type="spellEnd"/>
      <w:r w:rsidRPr="009E7712">
        <w:rPr>
          <w:b/>
          <w:bCs/>
          <w:lang w:val="en-IN"/>
        </w:rPr>
        <w:t>)</w:t>
      </w:r>
    </w:p>
    <w:p w14:paraId="12C1CCB9" w14:textId="77777777" w:rsidR="009E7712" w:rsidRPr="009E7712" w:rsidRDefault="009E7712" w:rsidP="009E7712">
      <w:pPr>
        <w:jc w:val="both"/>
        <w:rPr>
          <w:lang w:val="en-IN"/>
        </w:rPr>
      </w:pPr>
      <w:r w:rsidRPr="009E7712">
        <w:rPr>
          <w:lang w:val="en-IN"/>
        </w:rPr>
        <w:t xml:space="preserve">The large red square in the middle shows a correlation of </w:t>
      </w:r>
      <w:r w:rsidRPr="009E7712">
        <w:rPr>
          <w:b/>
          <w:bCs/>
          <w:lang w:val="en-IN"/>
        </w:rPr>
        <w:t>1</w:t>
      </w:r>
      <w:r w:rsidRPr="009E7712">
        <w:rPr>
          <w:lang w:val="en-IN"/>
        </w:rPr>
        <w:t xml:space="preserve"> between </w:t>
      </w:r>
      <w:r w:rsidRPr="009E7712">
        <w:rPr>
          <w:b/>
          <w:bCs/>
          <w:lang w:val="en-IN"/>
        </w:rPr>
        <w:t>Open, High, Low, and Close</w:t>
      </w:r>
      <w:r w:rsidRPr="009E7712">
        <w:rPr>
          <w:lang w:val="en-IN"/>
        </w:rPr>
        <w:t>.</w:t>
      </w:r>
    </w:p>
    <w:p w14:paraId="2FD78B62" w14:textId="77777777" w:rsidR="009E7712" w:rsidRPr="009E7712" w:rsidRDefault="009E7712" w:rsidP="009E7712">
      <w:pPr>
        <w:numPr>
          <w:ilvl w:val="0"/>
          <w:numId w:val="18"/>
        </w:numPr>
        <w:jc w:val="both"/>
        <w:rPr>
          <w:lang w:val="en-IN"/>
        </w:rPr>
      </w:pPr>
      <w:r w:rsidRPr="009E7712">
        <w:rPr>
          <w:b/>
          <w:bCs/>
          <w:lang w:val="en-IN"/>
        </w:rPr>
        <w:t>What it means:</w:t>
      </w:r>
      <w:r w:rsidRPr="009E7712">
        <w:rPr>
          <w:lang w:val="en-IN"/>
        </w:rPr>
        <w:t xml:space="preserve"> These variables are "multicollinear." In silver trading, the price doesn't usually gap massively within a single day. If the "Open" price is high, the "Close" and "High" prices for that same day are almost guaranteed to be high as well.</w:t>
      </w:r>
    </w:p>
    <w:p w14:paraId="7B0AEE96" w14:textId="77777777" w:rsidR="009E7712" w:rsidRPr="009E7712" w:rsidRDefault="009E7712" w:rsidP="009E7712">
      <w:pPr>
        <w:numPr>
          <w:ilvl w:val="0"/>
          <w:numId w:val="18"/>
        </w:numPr>
        <w:jc w:val="both"/>
        <w:rPr>
          <w:lang w:val="en-IN"/>
        </w:rPr>
      </w:pPr>
      <w:proofErr w:type="spellStart"/>
      <w:r w:rsidRPr="009E7712">
        <w:rPr>
          <w:b/>
          <w:bCs/>
          <w:lang w:val="en-IN"/>
        </w:rPr>
        <w:t>Modeling</w:t>
      </w:r>
      <w:proofErr w:type="spellEnd"/>
      <w:r w:rsidRPr="009E7712">
        <w:rPr>
          <w:b/>
          <w:bCs/>
          <w:lang w:val="en-IN"/>
        </w:rPr>
        <w:t xml:space="preserve"> Tip:</w:t>
      </w:r>
      <w:r w:rsidRPr="009E7712">
        <w:rPr>
          <w:lang w:val="en-IN"/>
        </w:rPr>
        <w:t xml:space="preserve"> If you are building a machine learning model (like a regression), you usually only need to use </w:t>
      </w:r>
      <w:r w:rsidRPr="009E7712">
        <w:rPr>
          <w:b/>
          <w:bCs/>
          <w:lang w:val="en-IN"/>
        </w:rPr>
        <w:t>one</w:t>
      </w:r>
      <w:r w:rsidRPr="009E7712">
        <w:rPr>
          <w:lang w:val="en-IN"/>
        </w:rPr>
        <w:t xml:space="preserve"> of these variables (typically "Close") because they all provide nearly identical information.</w:t>
      </w:r>
    </w:p>
    <w:p w14:paraId="6D6FF556" w14:textId="77777777" w:rsidR="009E7712" w:rsidRPr="009E7712" w:rsidRDefault="009E7712" w:rsidP="009E7712">
      <w:pPr>
        <w:jc w:val="both"/>
        <w:rPr>
          <w:b/>
          <w:bCs/>
          <w:lang w:val="en-IN"/>
        </w:rPr>
      </w:pPr>
      <w:r w:rsidRPr="009E7712">
        <w:rPr>
          <w:b/>
          <w:bCs/>
          <w:lang w:val="en-IN"/>
        </w:rPr>
        <w:t>2. Date vs. Price (0.15)</w:t>
      </w:r>
    </w:p>
    <w:p w14:paraId="7B23E664" w14:textId="77777777" w:rsidR="009E7712" w:rsidRPr="009E7712" w:rsidRDefault="009E7712" w:rsidP="009E7712">
      <w:pPr>
        <w:jc w:val="both"/>
        <w:rPr>
          <w:lang w:val="en-IN"/>
        </w:rPr>
      </w:pPr>
      <w:r w:rsidRPr="009E7712">
        <w:rPr>
          <w:lang w:val="en-IN"/>
        </w:rPr>
        <w:t xml:space="preserve">The correlation between </w:t>
      </w:r>
      <w:r w:rsidRPr="009E7712">
        <w:rPr>
          <w:b/>
          <w:bCs/>
          <w:lang w:val="en-IN"/>
        </w:rPr>
        <w:t>Date</w:t>
      </w:r>
      <w:r w:rsidRPr="009E7712">
        <w:rPr>
          <w:lang w:val="en-IN"/>
        </w:rPr>
        <w:t xml:space="preserve"> and the price variables is a low positive </w:t>
      </w:r>
      <w:r w:rsidRPr="009E7712">
        <w:rPr>
          <w:b/>
          <w:bCs/>
          <w:lang w:val="en-IN"/>
        </w:rPr>
        <w:t>0.15</w:t>
      </w:r>
      <w:r w:rsidRPr="009E7712">
        <w:rPr>
          <w:lang w:val="en-IN"/>
        </w:rPr>
        <w:t>.</w:t>
      </w:r>
    </w:p>
    <w:p w14:paraId="2B4A77CD" w14:textId="77777777" w:rsidR="009E7712" w:rsidRPr="009E7712" w:rsidRDefault="009E7712" w:rsidP="009E7712">
      <w:pPr>
        <w:numPr>
          <w:ilvl w:val="0"/>
          <w:numId w:val="19"/>
        </w:numPr>
        <w:jc w:val="both"/>
        <w:rPr>
          <w:lang w:val="en-IN"/>
        </w:rPr>
      </w:pPr>
      <w:r w:rsidRPr="009E7712">
        <w:rPr>
          <w:b/>
          <w:bCs/>
          <w:lang w:val="en-IN"/>
        </w:rPr>
        <w:t>What it means:</w:t>
      </w:r>
      <w:r w:rsidRPr="009E7712">
        <w:rPr>
          <w:lang w:val="en-IN"/>
        </w:rPr>
        <w:t xml:space="preserve"> There is a slight upward trend over time, but it’s not a straight line. Because silver prices crashed after 2011 and stayed low for years before the recent 2024–2026 surge, the "Date" alone isn't a strong predictor of price. A high correlation (e.g., 0.90) would mean the price goes up every single day, which we know isn't true for silver.</w:t>
      </w:r>
    </w:p>
    <w:p w14:paraId="62E2B57C" w14:textId="77777777" w:rsidR="009E7712" w:rsidRPr="009E7712" w:rsidRDefault="009E7712" w:rsidP="009E7712">
      <w:pPr>
        <w:jc w:val="both"/>
        <w:rPr>
          <w:b/>
          <w:bCs/>
          <w:lang w:val="en-IN"/>
        </w:rPr>
      </w:pPr>
      <w:r w:rsidRPr="009E7712">
        <w:rPr>
          <w:b/>
          <w:bCs/>
          <w:lang w:val="en-IN"/>
        </w:rPr>
        <w:lastRenderedPageBreak/>
        <w:t>3. The "Volume" Mystery (-0.002 to -0.026)</w:t>
      </w:r>
    </w:p>
    <w:p w14:paraId="2E5930DD" w14:textId="77777777" w:rsidR="009E7712" w:rsidRPr="009E7712" w:rsidRDefault="009E7712" w:rsidP="009E7712">
      <w:pPr>
        <w:jc w:val="both"/>
        <w:rPr>
          <w:lang w:val="en-IN"/>
        </w:rPr>
      </w:pPr>
      <w:r w:rsidRPr="009E7712">
        <w:rPr>
          <w:lang w:val="en-IN"/>
        </w:rPr>
        <w:t xml:space="preserve">Notice that </w:t>
      </w:r>
      <w:r w:rsidRPr="009E7712">
        <w:rPr>
          <w:b/>
          <w:bCs/>
          <w:lang w:val="en-IN"/>
        </w:rPr>
        <w:t>Volume</w:t>
      </w:r>
      <w:r w:rsidRPr="009E7712">
        <w:rPr>
          <w:lang w:val="en-IN"/>
        </w:rPr>
        <w:t xml:space="preserve"> has nearly </w:t>
      </w:r>
      <w:r w:rsidRPr="009E7712">
        <w:rPr>
          <w:b/>
          <w:bCs/>
          <w:lang w:val="en-IN"/>
        </w:rPr>
        <w:t>zero correlation</w:t>
      </w:r>
      <w:r w:rsidRPr="009E7712">
        <w:rPr>
          <w:lang w:val="en-IN"/>
        </w:rPr>
        <w:t xml:space="preserve"> with everything else (indicated by the deep blue </w:t>
      </w:r>
      <w:proofErr w:type="spellStart"/>
      <w:r w:rsidRPr="009E7712">
        <w:rPr>
          <w:lang w:val="en-IN"/>
        </w:rPr>
        <w:t>color</w:t>
      </w:r>
      <w:proofErr w:type="spellEnd"/>
      <w:r w:rsidRPr="009E7712">
        <w:rPr>
          <w:lang w:val="en-IN"/>
        </w:rPr>
        <w:t>).</w:t>
      </w:r>
    </w:p>
    <w:p w14:paraId="2EB44775" w14:textId="77777777" w:rsidR="009E7712" w:rsidRPr="009E7712" w:rsidRDefault="009E7712" w:rsidP="009E7712">
      <w:pPr>
        <w:numPr>
          <w:ilvl w:val="0"/>
          <w:numId w:val="20"/>
        </w:numPr>
        <w:jc w:val="both"/>
        <w:rPr>
          <w:lang w:val="en-IN"/>
        </w:rPr>
      </w:pPr>
      <w:r w:rsidRPr="009E7712">
        <w:rPr>
          <w:b/>
          <w:bCs/>
          <w:lang w:val="en-IN"/>
        </w:rPr>
        <w:t>What it means:</w:t>
      </w:r>
      <w:r w:rsidRPr="009E7712">
        <w:rPr>
          <w:lang w:val="en-IN"/>
        </w:rPr>
        <w:t xml:space="preserve"> The amount of silver being traded (Volume) does not predict what the price will be. A high-volume day could result in a massive price increase </w:t>
      </w:r>
      <w:r w:rsidRPr="009E7712">
        <w:rPr>
          <w:i/>
          <w:iCs/>
          <w:lang w:val="en-IN"/>
        </w:rPr>
        <w:t>or</w:t>
      </w:r>
      <w:r w:rsidRPr="009E7712">
        <w:rPr>
          <w:lang w:val="en-IN"/>
        </w:rPr>
        <w:t xml:space="preserve"> a massive price drop.</w:t>
      </w:r>
    </w:p>
    <w:p w14:paraId="55261DAF" w14:textId="77777777" w:rsidR="009E7712" w:rsidRPr="009E7712" w:rsidRDefault="009E7712" w:rsidP="009E7712">
      <w:pPr>
        <w:numPr>
          <w:ilvl w:val="0"/>
          <w:numId w:val="20"/>
        </w:numPr>
        <w:jc w:val="both"/>
        <w:rPr>
          <w:lang w:val="en-IN"/>
        </w:rPr>
      </w:pPr>
      <w:r w:rsidRPr="009E7712">
        <w:rPr>
          <w:b/>
          <w:bCs/>
          <w:lang w:val="en-IN"/>
        </w:rPr>
        <w:t>Insight:</w:t>
      </w:r>
      <w:r w:rsidRPr="009E7712">
        <w:rPr>
          <w:lang w:val="en-IN"/>
        </w:rPr>
        <w:t xml:space="preserve"> In financial datasets, volume is often a "momentum" indicator rather than a "directional" indicator. It tells you how much activity there is, but not which way the price is going.</w:t>
      </w:r>
    </w:p>
    <w:p w14:paraId="324D95AC" w14:textId="77777777" w:rsidR="009E7712" w:rsidRPr="009E7712" w:rsidRDefault="009E7712" w:rsidP="009E7712">
      <w:pPr>
        <w:jc w:val="both"/>
        <w:rPr>
          <w:b/>
          <w:bCs/>
          <w:lang w:val="en-IN"/>
        </w:rPr>
      </w:pPr>
      <w:r w:rsidRPr="009E7712">
        <w:rPr>
          <w:b/>
          <w:bCs/>
          <w:lang w:val="en-IN"/>
        </w:rPr>
        <w:t>4. Key Takeaways for your Project:</w:t>
      </w:r>
    </w:p>
    <w:p w14:paraId="6573ABD1" w14:textId="77777777" w:rsidR="009E7712" w:rsidRPr="009E7712" w:rsidRDefault="009E7712" w:rsidP="009E7712">
      <w:pPr>
        <w:numPr>
          <w:ilvl w:val="0"/>
          <w:numId w:val="21"/>
        </w:numPr>
        <w:jc w:val="both"/>
        <w:rPr>
          <w:lang w:val="en-IN"/>
        </w:rPr>
      </w:pPr>
      <w:r w:rsidRPr="009E7712">
        <w:rPr>
          <w:b/>
          <w:bCs/>
          <w:lang w:val="en-IN"/>
        </w:rPr>
        <w:t>Feature Selection:</w:t>
      </w:r>
      <w:r w:rsidRPr="009E7712">
        <w:rPr>
          <w:lang w:val="en-IN"/>
        </w:rPr>
        <w:t xml:space="preserve"> Since Open, High, Low, and Close are perfectly correlated, using all of them to predict a future price might lead to "overfitting."</w:t>
      </w:r>
    </w:p>
    <w:p w14:paraId="219363F1" w14:textId="77777777" w:rsidR="009E7712" w:rsidRPr="009E7712" w:rsidRDefault="009E7712" w:rsidP="009E7712">
      <w:pPr>
        <w:numPr>
          <w:ilvl w:val="0"/>
          <w:numId w:val="21"/>
        </w:numPr>
        <w:jc w:val="both"/>
        <w:rPr>
          <w:lang w:val="en-IN"/>
        </w:rPr>
      </w:pPr>
      <w:r w:rsidRPr="009E7712">
        <w:rPr>
          <w:b/>
          <w:bCs/>
          <w:lang w:val="en-IN"/>
        </w:rPr>
        <w:t>Non-Linearity:</w:t>
      </w:r>
      <w:r w:rsidRPr="009E7712">
        <w:rPr>
          <w:lang w:val="en-IN"/>
        </w:rPr>
        <w:t xml:space="preserve"> The low correlation with "Date" suggests that time-series forecasting for silver requires more than just a simple linear trend; it likely needs complex models (like LSTM or ARIMA) to account for the jagged "boom and bust" cycles seen in your other graphs.</w:t>
      </w:r>
    </w:p>
    <w:p w14:paraId="70752D30" w14:textId="36F9C43A" w:rsidR="009E7712" w:rsidRDefault="009E7712">
      <w:pPr>
        <w:jc w:val="both"/>
      </w:pPr>
      <w:r>
        <w:rPr>
          <w:noProof/>
        </w:rPr>
        <w:drawing>
          <wp:inline distT="0" distB="0" distL="0" distR="0" wp14:anchorId="11A12930" wp14:editId="3983BADA">
            <wp:extent cx="2514600" cy="1379855"/>
            <wp:effectExtent l="0" t="0" r="0" b="0"/>
            <wp:docPr id="42481958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514600" cy="1379855"/>
                    </a:xfrm>
                    <a:prstGeom prst="rect">
                      <a:avLst/>
                    </a:prstGeom>
                    <a:noFill/>
                    <a:ln>
                      <a:noFill/>
                    </a:ln>
                  </pic:spPr>
                </pic:pic>
              </a:graphicData>
            </a:graphic>
          </wp:inline>
        </w:drawing>
      </w:r>
    </w:p>
    <w:p w14:paraId="5A20E28A" w14:textId="77777777" w:rsidR="009E7712" w:rsidRPr="009E7712" w:rsidRDefault="009E7712" w:rsidP="009E7712">
      <w:pPr>
        <w:rPr>
          <w:b/>
          <w:bCs/>
          <w:lang w:val="en-IN"/>
        </w:rPr>
      </w:pPr>
      <w:r w:rsidRPr="009E7712">
        <w:rPr>
          <w:b/>
          <w:bCs/>
          <w:lang w:val="en-IN"/>
        </w:rPr>
        <w:t>1. Volatility and the "Gap"</w:t>
      </w:r>
    </w:p>
    <w:p w14:paraId="3A9FA32C" w14:textId="77777777" w:rsidR="009E7712" w:rsidRPr="009E7712" w:rsidRDefault="009E7712" w:rsidP="009E7712">
      <w:pPr>
        <w:rPr>
          <w:b/>
          <w:lang w:val="en-IN"/>
        </w:rPr>
      </w:pPr>
      <w:r w:rsidRPr="009E7712">
        <w:rPr>
          <w:b/>
          <w:lang w:val="en-IN"/>
        </w:rPr>
        <w:t xml:space="preserve">The space between the blue line (High) and the orange line (Low) represents the </w:t>
      </w:r>
      <w:r w:rsidRPr="009E7712">
        <w:rPr>
          <w:b/>
          <w:bCs/>
          <w:lang w:val="en-IN"/>
        </w:rPr>
        <w:t>intra-day price spread</w:t>
      </w:r>
      <w:r w:rsidRPr="009E7712">
        <w:rPr>
          <w:b/>
          <w:lang w:val="en-IN"/>
        </w:rPr>
        <w:t>.</w:t>
      </w:r>
    </w:p>
    <w:p w14:paraId="19439D10" w14:textId="77777777" w:rsidR="009E7712" w:rsidRPr="009E7712" w:rsidRDefault="009E7712" w:rsidP="009E7712">
      <w:pPr>
        <w:numPr>
          <w:ilvl w:val="0"/>
          <w:numId w:val="22"/>
        </w:numPr>
        <w:rPr>
          <w:b/>
          <w:lang w:val="en-IN"/>
        </w:rPr>
      </w:pPr>
      <w:r w:rsidRPr="009E7712">
        <w:rPr>
          <w:b/>
          <w:bCs/>
          <w:lang w:val="en-IN"/>
        </w:rPr>
        <w:t>Narrow Gap (2014–2019):</w:t>
      </w:r>
      <w:r w:rsidRPr="009E7712">
        <w:rPr>
          <w:b/>
          <w:lang w:val="en-IN"/>
        </w:rPr>
        <w:t xml:space="preserve"> Notice how the blue and orange lines are almost on top of each other during the "flat" years. This indicates low volatility—the price didn't move much between the start and end of the day.</w:t>
      </w:r>
    </w:p>
    <w:p w14:paraId="51ED2CA1" w14:textId="77777777" w:rsidR="009E7712" w:rsidRPr="009E7712" w:rsidRDefault="009E7712" w:rsidP="009E7712">
      <w:pPr>
        <w:numPr>
          <w:ilvl w:val="0"/>
          <w:numId w:val="22"/>
        </w:numPr>
        <w:rPr>
          <w:b/>
          <w:lang w:val="en-IN"/>
        </w:rPr>
      </w:pPr>
      <w:r w:rsidRPr="009E7712">
        <w:rPr>
          <w:b/>
          <w:bCs/>
          <w:lang w:val="en-IN"/>
        </w:rPr>
        <w:t>Widening Gap (2025–2026):</w:t>
      </w:r>
      <w:r w:rsidRPr="009E7712">
        <w:rPr>
          <w:b/>
          <w:lang w:val="en-IN"/>
        </w:rPr>
        <w:t xml:space="preserve"> Look at the far right of the graph. As the price surges toward $90, the space between the high and low lines becomes much larger. This means that as silver gets more expensive, the daily swings are becoming much more aggressive and "violent."</w:t>
      </w:r>
    </w:p>
    <w:p w14:paraId="12D5F0B6" w14:textId="77777777" w:rsidR="009E7712" w:rsidRPr="009E7712" w:rsidRDefault="009E7712" w:rsidP="009E7712">
      <w:pPr>
        <w:rPr>
          <w:b/>
          <w:bCs/>
          <w:lang w:val="en-IN"/>
        </w:rPr>
      </w:pPr>
      <w:r w:rsidRPr="009E7712">
        <w:rPr>
          <w:b/>
          <w:bCs/>
          <w:lang w:val="en-IN"/>
        </w:rPr>
        <w:t>2. Historical Pattern Analysis</w:t>
      </w:r>
    </w:p>
    <w:p w14:paraId="34802FE3" w14:textId="77777777" w:rsidR="009E7712" w:rsidRPr="009E7712" w:rsidRDefault="009E7712" w:rsidP="009E7712">
      <w:pPr>
        <w:numPr>
          <w:ilvl w:val="0"/>
          <w:numId w:val="23"/>
        </w:numPr>
        <w:rPr>
          <w:b/>
          <w:lang w:val="en-IN"/>
        </w:rPr>
      </w:pPr>
      <w:r w:rsidRPr="009E7712">
        <w:rPr>
          <w:b/>
          <w:bCs/>
          <w:lang w:val="en-IN"/>
        </w:rPr>
        <w:t>The 2011 Peak:</w:t>
      </w:r>
      <w:r w:rsidRPr="009E7712">
        <w:rPr>
          <w:b/>
          <w:lang w:val="en-IN"/>
        </w:rPr>
        <w:t xml:space="preserve"> You can see that even at the very beginning of the dataset, the "High" reached $50 while the "Low" was often several dollars lower. This was the last time silver saw this much excitement before the current 2026 surge.</w:t>
      </w:r>
    </w:p>
    <w:p w14:paraId="34B9F307" w14:textId="77777777" w:rsidR="009E7712" w:rsidRPr="009E7712" w:rsidRDefault="009E7712" w:rsidP="009E7712">
      <w:pPr>
        <w:numPr>
          <w:ilvl w:val="0"/>
          <w:numId w:val="23"/>
        </w:numPr>
        <w:rPr>
          <w:b/>
          <w:lang w:val="en-IN"/>
        </w:rPr>
      </w:pPr>
      <w:r w:rsidRPr="009E7712">
        <w:rPr>
          <w:b/>
          <w:bCs/>
          <w:lang w:val="en-IN"/>
        </w:rPr>
        <w:t>The "Floor" and "Ceiling":</w:t>
      </w:r>
      <w:r w:rsidRPr="009E7712">
        <w:rPr>
          <w:b/>
          <w:lang w:val="en-IN"/>
        </w:rPr>
        <w:t xml:space="preserve"> The orange line (Low) acts as a historical "support" level. You can see that for nearly a </w:t>
      </w:r>
      <w:proofErr w:type="gramStart"/>
      <w:r w:rsidRPr="009E7712">
        <w:rPr>
          <w:b/>
          <w:lang w:val="en-IN"/>
        </w:rPr>
        <w:t>decade,</w:t>
      </w:r>
      <w:proofErr w:type="gramEnd"/>
      <w:r w:rsidRPr="009E7712">
        <w:rPr>
          <w:b/>
          <w:lang w:val="en-IN"/>
        </w:rPr>
        <w:t xml:space="preserve"> silver had a very hard "floor" around $14.</w:t>
      </w:r>
    </w:p>
    <w:p w14:paraId="5CAD2C08" w14:textId="77777777" w:rsidR="009E7712" w:rsidRPr="009E7712" w:rsidRDefault="009E7712" w:rsidP="009E7712">
      <w:pPr>
        <w:rPr>
          <w:b/>
          <w:bCs/>
          <w:lang w:val="en-IN"/>
        </w:rPr>
      </w:pPr>
      <w:r w:rsidRPr="009E7712">
        <w:rPr>
          <w:b/>
          <w:bCs/>
          <w:lang w:val="en-IN"/>
        </w:rPr>
        <w:t>3. Trend Confirmation</w:t>
      </w:r>
    </w:p>
    <w:p w14:paraId="7A7F1C99" w14:textId="77777777" w:rsidR="009E7712" w:rsidRPr="009E7712" w:rsidRDefault="009E7712" w:rsidP="009E7712">
      <w:pPr>
        <w:numPr>
          <w:ilvl w:val="0"/>
          <w:numId w:val="24"/>
        </w:numPr>
        <w:rPr>
          <w:b/>
          <w:lang w:val="en-IN"/>
        </w:rPr>
      </w:pPr>
      <w:r w:rsidRPr="009E7712">
        <w:rPr>
          <w:b/>
          <w:bCs/>
          <w:lang w:val="en-IN"/>
        </w:rPr>
        <w:t>Higher Highs and Higher Lows:</w:t>
      </w:r>
      <w:r w:rsidRPr="009E7712">
        <w:rPr>
          <w:b/>
          <w:lang w:val="en-IN"/>
        </w:rPr>
        <w:t xml:space="preserve"> Since early 2024, both lines have been moving upward in sync. In technical analysis, when the "Lows" are getting higher (the orange line is climbing), it confirms a </w:t>
      </w:r>
      <w:r w:rsidRPr="009E7712">
        <w:rPr>
          <w:b/>
          <w:bCs/>
          <w:lang w:val="en-IN"/>
        </w:rPr>
        <w:t>Strong Bull Trend</w:t>
      </w:r>
      <w:r w:rsidRPr="009E7712">
        <w:rPr>
          <w:b/>
          <w:lang w:val="en-IN"/>
        </w:rPr>
        <w:t>. It shows that even on the "bad" days, buyers are stepping in at higher prices than they did the month before.</w:t>
      </w:r>
    </w:p>
    <w:p w14:paraId="797916C9" w14:textId="77777777" w:rsidR="009E7712" w:rsidRPr="009E7712" w:rsidRDefault="009E7712" w:rsidP="009E7712">
      <w:pPr>
        <w:rPr>
          <w:b/>
          <w:bCs/>
          <w:lang w:val="en-IN"/>
        </w:rPr>
      </w:pPr>
      <w:r w:rsidRPr="009E7712">
        <w:rPr>
          <w:b/>
          <w:bCs/>
          <w:lang w:val="en-IN"/>
        </w:rPr>
        <w:t>4. The 2026 Parabolic Move</w:t>
      </w:r>
    </w:p>
    <w:p w14:paraId="356C0AF1" w14:textId="77777777" w:rsidR="009E7712" w:rsidRPr="009E7712" w:rsidRDefault="009E7712" w:rsidP="009E7712">
      <w:pPr>
        <w:rPr>
          <w:b/>
          <w:lang w:val="en-IN"/>
        </w:rPr>
      </w:pPr>
      <w:r w:rsidRPr="009E7712">
        <w:rPr>
          <w:b/>
          <w:lang w:val="en-IN"/>
        </w:rPr>
        <w:t xml:space="preserve">The most significant feature is the </w:t>
      </w:r>
      <w:r w:rsidRPr="009E7712">
        <w:rPr>
          <w:b/>
          <w:bCs/>
          <w:lang w:val="en-IN"/>
        </w:rPr>
        <w:t>vertical climb</w:t>
      </w:r>
      <w:r w:rsidRPr="009E7712">
        <w:rPr>
          <w:b/>
          <w:lang w:val="en-IN"/>
        </w:rPr>
        <w:t xml:space="preserve"> at the end.</w:t>
      </w:r>
    </w:p>
    <w:p w14:paraId="0CEC8503" w14:textId="77777777" w:rsidR="009E7712" w:rsidRPr="009E7712" w:rsidRDefault="009E7712" w:rsidP="009E7712">
      <w:pPr>
        <w:numPr>
          <w:ilvl w:val="0"/>
          <w:numId w:val="25"/>
        </w:numPr>
        <w:rPr>
          <w:b/>
          <w:lang w:val="en-IN"/>
        </w:rPr>
      </w:pPr>
      <w:r w:rsidRPr="009E7712">
        <w:rPr>
          <w:b/>
          <w:bCs/>
          <w:lang w:val="en-IN"/>
        </w:rPr>
        <w:lastRenderedPageBreak/>
        <w:t>Observation:</w:t>
      </w:r>
      <w:r w:rsidRPr="009E7712">
        <w:rPr>
          <w:b/>
          <w:lang w:val="en-IN"/>
        </w:rPr>
        <w:t xml:space="preserve"> The High (blue) is pulling away from the Low (orange) at the very tip of the graph.</w:t>
      </w:r>
    </w:p>
    <w:p w14:paraId="414CA2AD" w14:textId="1C3F33A5" w:rsidR="009E7712" w:rsidRDefault="009E7712">
      <w:pPr>
        <w:rPr>
          <w:b/>
        </w:rPr>
      </w:pPr>
      <w:r>
        <w:rPr>
          <w:noProof/>
        </w:rPr>
        <w:drawing>
          <wp:inline distT="0" distB="0" distL="0" distR="0" wp14:anchorId="381A31DC" wp14:editId="26AB7F4B">
            <wp:extent cx="1760220" cy="2590800"/>
            <wp:effectExtent l="0" t="0" r="0" b="0"/>
            <wp:docPr id="148381770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760220" cy="2590800"/>
                    </a:xfrm>
                    <a:prstGeom prst="rect">
                      <a:avLst/>
                    </a:prstGeom>
                    <a:noFill/>
                    <a:ln>
                      <a:noFill/>
                    </a:ln>
                  </pic:spPr>
                </pic:pic>
              </a:graphicData>
            </a:graphic>
          </wp:inline>
        </w:drawing>
      </w:r>
    </w:p>
    <w:p w14:paraId="537903C5" w14:textId="77777777" w:rsidR="009E7712" w:rsidRPr="009E7712" w:rsidRDefault="009E7712" w:rsidP="009E7712">
      <w:pPr>
        <w:rPr>
          <w:b/>
          <w:bCs/>
          <w:lang w:val="en-IN"/>
        </w:rPr>
      </w:pPr>
      <w:r w:rsidRPr="009E7712">
        <w:rPr>
          <w:b/>
          <w:bCs/>
          <w:lang w:val="en-IN"/>
        </w:rPr>
        <w:t>1. The Silver Connection</w:t>
      </w:r>
    </w:p>
    <w:p w14:paraId="649276B4" w14:textId="77777777" w:rsidR="009E7712" w:rsidRPr="009E7712" w:rsidRDefault="009E7712" w:rsidP="009E7712">
      <w:pPr>
        <w:rPr>
          <w:b/>
          <w:lang w:val="en-IN"/>
        </w:rPr>
      </w:pPr>
      <w:r w:rsidRPr="009E7712">
        <w:rPr>
          <w:b/>
          <w:lang w:val="en-IN"/>
        </w:rPr>
        <w:t xml:space="preserve">While the main body of an LDR is typically made of cadmium </w:t>
      </w:r>
      <w:proofErr w:type="spellStart"/>
      <w:r w:rsidRPr="009E7712">
        <w:rPr>
          <w:b/>
          <w:lang w:val="en-IN"/>
        </w:rPr>
        <w:t>sulfide</w:t>
      </w:r>
      <w:proofErr w:type="spellEnd"/>
      <w:r w:rsidRPr="009E7712">
        <w:rPr>
          <w:b/>
          <w:lang w:val="en-IN"/>
        </w:rPr>
        <w:t xml:space="preserve"> (</w:t>
      </w:r>
      <w:proofErr w:type="spellStart"/>
      <w:r w:rsidRPr="009E7712">
        <w:rPr>
          <w:b/>
          <w:lang w:val="en-IN"/>
        </w:rPr>
        <w:t>CdS</w:t>
      </w:r>
      <w:proofErr w:type="spellEnd"/>
      <w:r w:rsidRPr="009E7712">
        <w:rPr>
          <w:b/>
          <w:lang w:val="en-IN"/>
        </w:rPr>
        <w:t xml:space="preserve">), the </w:t>
      </w:r>
      <w:r w:rsidRPr="009E7712">
        <w:rPr>
          <w:b/>
          <w:bCs/>
          <w:lang w:val="en-IN"/>
        </w:rPr>
        <w:t>zigzag pattern</w:t>
      </w:r>
      <w:r w:rsidRPr="009E7712">
        <w:rPr>
          <w:b/>
          <w:lang w:val="en-IN"/>
        </w:rPr>
        <w:t xml:space="preserve"> you see on top and the </w:t>
      </w:r>
      <w:r w:rsidRPr="009E7712">
        <w:rPr>
          <w:b/>
          <w:bCs/>
          <w:lang w:val="en-IN"/>
        </w:rPr>
        <w:t>internal contacts</w:t>
      </w:r>
      <w:r w:rsidRPr="009E7712">
        <w:rPr>
          <w:b/>
          <w:lang w:val="en-IN"/>
        </w:rPr>
        <w:t xml:space="preserve"> often use </w:t>
      </w:r>
      <w:r w:rsidRPr="009E7712">
        <w:rPr>
          <w:b/>
          <w:bCs/>
          <w:lang w:val="en-IN"/>
        </w:rPr>
        <w:t>Silver</w:t>
      </w:r>
      <w:r w:rsidRPr="009E7712">
        <w:rPr>
          <w:b/>
          <w:lang w:val="en-IN"/>
        </w:rPr>
        <w:t xml:space="preserve"> (or sometimes gold/platinum) as the conductive paste.</w:t>
      </w:r>
    </w:p>
    <w:p w14:paraId="61E0C4EF" w14:textId="77777777" w:rsidR="009E7712" w:rsidRPr="009E7712" w:rsidRDefault="009E7712" w:rsidP="009E7712">
      <w:pPr>
        <w:numPr>
          <w:ilvl w:val="0"/>
          <w:numId w:val="26"/>
        </w:numPr>
        <w:rPr>
          <w:b/>
          <w:lang w:val="en-IN"/>
        </w:rPr>
      </w:pPr>
      <w:r w:rsidRPr="009E7712">
        <w:rPr>
          <w:b/>
          <w:bCs/>
          <w:lang w:val="en-IN"/>
        </w:rPr>
        <w:t>Why Silver?</w:t>
      </w:r>
      <w:r w:rsidRPr="009E7712">
        <w:rPr>
          <w:b/>
          <w:lang w:val="en-IN"/>
        </w:rPr>
        <w:t xml:space="preserve"> Silver is the most electrically conductive metal on Earth. It ensures that the small electrical signal generated when light hits the sensor is transmitted without loss.</w:t>
      </w:r>
    </w:p>
    <w:p w14:paraId="06EFF419" w14:textId="77777777" w:rsidR="009E7712" w:rsidRPr="009E7712" w:rsidRDefault="009E7712" w:rsidP="009E7712">
      <w:pPr>
        <w:numPr>
          <w:ilvl w:val="0"/>
          <w:numId w:val="26"/>
        </w:numPr>
        <w:rPr>
          <w:b/>
          <w:lang w:val="en-IN"/>
        </w:rPr>
      </w:pPr>
      <w:r w:rsidRPr="009E7712">
        <w:rPr>
          <w:b/>
          <w:bCs/>
          <w:lang w:val="en-IN"/>
        </w:rPr>
        <w:t>Economic Impact:</w:t>
      </w:r>
      <w:r w:rsidRPr="009E7712">
        <w:rPr>
          <w:b/>
          <w:lang w:val="en-IN"/>
        </w:rPr>
        <w:t xml:space="preserve"> As you saw in your </w:t>
      </w:r>
      <w:r w:rsidRPr="009E7712">
        <w:rPr>
          <w:b/>
          <w:bCs/>
          <w:lang w:val="en-IN"/>
        </w:rPr>
        <w:t>Closing Price Over Time</w:t>
      </w:r>
      <w:r w:rsidRPr="009E7712">
        <w:rPr>
          <w:b/>
          <w:lang w:val="en-IN"/>
        </w:rPr>
        <w:t xml:space="preserve"> graph, the massive price surge in 2024–2026 directly increases the manufacturing cost of components like this. When silver prices "go vertical," the cost of electronic sensors, solar panels, and automated systems also rises.</w:t>
      </w:r>
    </w:p>
    <w:p w14:paraId="3E740C71" w14:textId="77777777" w:rsidR="009E7712" w:rsidRPr="009E7712" w:rsidRDefault="009E7712" w:rsidP="009E7712">
      <w:pPr>
        <w:rPr>
          <w:b/>
          <w:bCs/>
          <w:lang w:val="en-IN"/>
        </w:rPr>
      </w:pPr>
      <w:r w:rsidRPr="009E7712">
        <w:rPr>
          <w:b/>
          <w:bCs/>
          <w:lang w:val="en-IN"/>
        </w:rPr>
        <w:t>2. How it Works (The Physics)</w:t>
      </w:r>
    </w:p>
    <w:p w14:paraId="050E2F15" w14:textId="77777777" w:rsidR="009E7712" w:rsidRPr="009E7712" w:rsidRDefault="009E7712" w:rsidP="009E7712">
      <w:pPr>
        <w:rPr>
          <w:b/>
          <w:lang w:val="en-IN"/>
        </w:rPr>
      </w:pPr>
      <w:r w:rsidRPr="009E7712">
        <w:rPr>
          <w:b/>
          <w:lang w:val="en-IN"/>
        </w:rPr>
        <w:t xml:space="preserve">The LDR follows a simple rule: </w:t>
      </w:r>
      <w:r w:rsidRPr="009E7712">
        <w:rPr>
          <w:b/>
          <w:bCs/>
          <w:lang w:val="en-IN"/>
        </w:rPr>
        <w:t>Light Up = Resistance Down.</w:t>
      </w:r>
    </w:p>
    <w:p w14:paraId="0C30FEEA" w14:textId="77777777" w:rsidR="009E7712" w:rsidRPr="009E7712" w:rsidRDefault="009E7712" w:rsidP="009E7712">
      <w:pPr>
        <w:numPr>
          <w:ilvl w:val="0"/>
          <w:numId w:val="27"/>
        </w:numPr>
        <w:rPr>
          <w:b/>
          <w:lang w:val="en-IN"/>
        </w:rPr>
      </w:pPr>
      <w:r w:rsidRPr="009E7712">
        <w:rPr>
          <w:b/>
          <w:bCs/>
          <w:lang w:val="en-IN"/>
        </w:rPr>
        <w:t>In Dark:</w:t>
      </w:r>
      <w:r w:rsidRPr="009E7712">
        <w:rPr>
          <w:b/>
          <w:lang w:val="en-IN"/>
        </w:rPr>
        <w:t xml:space="preserve"> The resistance is very high (often millions of ohms), blocking electricity like a closed gate.</w:t>
      </w:r>
    </w:p>
    <w:p w14:paraId="4EB01905" w14:textId="77777777" w:rsidR="009E7712" w:rsidRPr="009E7712" w:rsidRDefault="009E7712" w:rsidP="009E7712">
      <w:pPr>
        <w:numPr>
          <w:ilvl w:val="0"/>
          <w:numId w:val="27"/>
        </w:numPr>
        <w:rPr>
          <w:b/>
          <w:lang w:val="en-IN"/>
        </w:rPr>
      </w:pPr>
      <w:r w:rsidRPr="009E7712">
        <w:rPr>
          <w:b/>
          <w:bCs/>
          <w:lang w:val="en-IN"/>
        </w:rPr>
        <w:t>In Light:</w:t>
      </w:r>
      <w:r w:rsidRPr="009E7712">
        <w:rPr>
          <w:b/>
          <w:lang w:val="en-IN"/>
        </w:rPr>
        <w:t xml:space="preserve"> Photons (light particles) hit the surface, freeing up electrons in the semiconductor material. This makes the material more conductive, causing the resistance to drop significantly (down to a few hundred ohms).</w:t>
      </w:r>
    </w:p>
    <w:p w14:paraId="54BCAFA1" w14:textId="77777777" w:rsidR="009E7712" w:rsidRPr="009E7712" w:rsidRDefault="009E7712" w:rsidP="009E7712">
      <w:pPr>
        <w:rPr>
          <w:b/>
          <w:bCs/>
          <w:lang w:val="en-IN"/>
        </w:rPr>
      </w:pPr>
      <w:r w:rsidRPr="009E7712">
        <w:rPr>
          <w:b/>
          <w:bCs/>
          <w:lang w:val="en-IN"/>
        </w:rPr>
        <w:t>3. Practical Applications</w:t>
      </w:r>
    </w:p>
    <w:p w14:paraId="65AA9305" w14:textId="77777777" w:rsidR="009E7712" w:rsidRPr="009E7712" w:rsidRDefault="009E7712" w:rsidP="009E7712">
      <w:pPr>
        <w:rPr>
          <w:b/>
          <w:lang w:val="en-IN"/>
        </w:rPr>
      </w:pPr>
      <w:r w:rsidRPr="009E7712">
        <w:rPr>
          <w:b/>
          <w:lang w:val="en-IN"/>
        </w:rPr>
        <w:t>This specific component is likely used in projects where you need to detect light levels, such as:</w:t>
      </w:r>
    </w:p>
    <w:p w14:paraId="5BD7175B" w14:textId="77777777" w:rsidR="009E7712" w:rsidRPr="009E7712" w:rsidRDefault="009E7712" w:rsidP="009E7712">
      <w:pPr>
        <w:numPr>
          <w:ilvl w:val="0"/>
          <w:numId w:val="28"/>
        </w:numPr>
        <w:rPr>
          <w:b/>
          <w:lang w:val="en-IN"/>
        </w:rPr>
      </w:pPr>
      <w:r w:rsidRPr="009E7712">
        <w:rPr>
          <w:b/>
          <w:bCs/>
          <w:lang w:val="en-IN"/>
        </w:rPr>
        <w:t>Automatic Street Lights:</w:t>
      </w:r>
      <w:r w:rsidRPr="009E7712">
        <w:rPr>
          <w:b/>
          <w:lang w:val="en-IN"/>
        </w:rPr>
        <w:t xml:space="preserve"> Turning on when the sun goes down.</w:t>
      </w:r>
    </w:p>
    <w:p w14:paraId="65A7F784" w14:textId="77777777" w:rsidR="009E7712" w:rsidRPr="009E7712" w:rsidRDefault="009E7712" w:rsidP="009E7712">
      <w:pPr>
        <w:numPr>
          <w:ilvl w:val="0"/>
          <w:numId w:val="28"/>
        </w:numPr>
        <w:rPr>
          <w:b/>
          <w:lang w:val="en-IN"/>
        </w:rPr>
      </w:pPr>
      <w:r w:rsidRPr="009E7712">
        <w:rPr>
          <w:b/>
          <w:bCs/>
          <w:lang w:val="en-IN"/>
        </w:rPr>
        <w:t>Solar Trackers:</w:t>
      </w:r>
      <w:r w:rsidRPr="009E7712">
        <w:rPr>
          <w:b/>
          <w:lang w:val="en-IN"/>
        </w:rPr>
        <w:t xml:space="preserve"> Helping solar panels follow the sun for maximum efficiency (another major driver of silver demand).</w:t>
      </w:r>
    </w:p>
    <w:p w14:paraId="77CF6DA6" w14:textId="77777777" w:rsidR="009E7712" w:rsidRPr="009E7712" w:rsidRDefault="009E7712" w:rsidP="009E7712">
      <w:pPr>
        <w:numPr>
          <w:ilvl w:val="0"/>
          <w:numId w:val="28"/>
        </w:numPr>
        <w:rPr>
          <w:b/>
          <w:lang w:val="en-IN"/>
        </w:rPr>
      </w:pPr>
      <w:r w:rsidRPr="009E7712">
        <w:rPr>
          <w:b/>
          <w:bCs/>
          <w:lang w:val="en-IN"/>
        </w:rPr>
        <w:t>Light Intensity Meters:</w:t>
      </w:r>
      <w:r w:rsidRPr="009E7712">
        <w:rPr>
          <w:b/>
          <w:lang w:val="en-IN"/>
        </w:rPr>
        <w:t xml:space="preserve"> Used in photography or display brightness controls.</w:t>
      </w:r>
    </w:p>
    <w:p w14:paraId="6A1DD38C" w14:textId="38E9B822" w:rsidR="009E7712" w:rsidRDefault="009E7712">
      <w:pPr>
        <w:rPr>
          <w:b/>
        </w:rPr>
      </w:pPr>
      <w:r>
        <w:rPr>
          <w:noProof/>
        </w:rPr>
        <w:drawing>
          <wp:inline distT="0" distB="0" distL="0" distR="0" wp14:anchorId="1791FB22" wp14:editId="38185E30">
            <wp:extent cx="2514600" cy="2004060"/>
            <wp:effectExtent l="0" t="0" r="0" b="0"/>
            <wp:docPr id="79021070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514600" cy="2004060"/>
                    </a:xfrm>
                    <a:prstGeom prst="rect">
                      <a:avLst/>
                    </a:prstGeom>
                    <a:noFill/>
                    <a:ln>
                      <a:noFill/>
                    </a:ln>
                  </pic:spPr>
                </pic:pic>
              </a:graphicData>
            </a:graphic>
          </wp:inline>
        </w:drawing>
      </w:r>
    </w:p>
    <w:p w14:paraId="08D63598" w14:textId="77777777" w:rsidR="009E7712" w:rsidRPr="009E7712" w:rsidRDefault="009E7712" w:rsidP="009E7712">
      <w:pPr>
        <w:rPr>
          <w:b/>
          <w:bCs/>
          <w:lang w:val="en-IN"/>
        </w:rPr>
      </w:pPr>
      <w:r w:rsidRPr="009E7712">
        <w:rPr>
          <w:b/>
          <w:bCs/>
          <w:lang w:val="en-IN"/>
        </w:rPr>
        <w:t>1. The Strong Positive Linear Correlation</w:t>
      </w:r>
    </w:p>
    <w:p w14:paraId="1CD2C690" w14:textId="77777777" w:rsidR="009E7712" w:rsidRPr="009E7712" w:rsidRDefault="009E7712" w:rsidP="009E7712">
      <w:pPr>
        <w:rPr>
          <w:b/>
          <w:lang w:val="en-IN"/>
        </w:rPr>
      </w:pPr>
      <w:r w:rsidRPr="009E7712">
        <w:rPr>
          <w:b/>
          <w:lang w:val="en-IN"/>
        </w:rPr>
        <w:t>Notice how the dots form a nearly perfect diagonal line (a 45-degree angle).</w:t>
      </w:r>
    </w:p>
    <w:p w14:paraId="5D183A95" w14:textId="77777777" w:rsidR="009E7712" w:rsidRPr="009E7712" w:rsidRDefault="009E7712" w:rsidP="009E7712">
      <w:pPr>
        <w:numPr>
          <w:ilvl w:val="0"/>
          <w:numId w:val="29"/>
        </w:numPr>
        <w:rPr>
          <w:b/>
          <w:lang w:val="en-IN"/>
        </w:rPr>
      </w:pPr>
      <w:r w:rsidRPr="009E7712">
        <w:rPr>
          <w:b/>
          <w:bCs/>
          <w:lang w:val="en-IN"/>
        </w:rPr>
        <w:t>What it means:</w:t>
      </w:r>
      <w:r w:rsidRPr="009E7712">
        <w:rPr>
          <w:b/>
          <w:lang w:val="en-IN"/>
        </w:rPr>
        <w:t xml:space="preserve"> There is an extremely high correlation between what price silver starts at (Open) and where it </w:t>
      </w:r>
      <w:r w:rsidRPr="009E7712">
        <w:rPr>
          <w:b/>
          <w:lang w:val="en-IN"/>
        </w:rPr>
        <w:lastRenderedPageBreak/>
        <w:t>ends the day (Close). In your dataset, if silver opens high, it almost always closes high.</w:t>
      </w:r>
    </w:p>
    <w:p w14:paraId="058C4FC8" w14:textId="77777777" w:rsidR="009E7712" w:rsidRPr="009E7712" w:rsidRDefault="009E7712" w:rsidP="009E7712">
      <w:pPr>
        <w:numPr>
          <w:ilvl w:val="0"/>
          <w:numId w:val="29"/>
        </w:numPr>
        <w:rPr>
          <w:b/>
          <w:lang w:val="en-IN"/>
        </w:rPr>
      </w:pPr>
      <w:r w:rsidRPr="009E7712">
        <w:rPr>
          <w:b/>
          <w:bCs/>
          <w:lang w:val="en-IN"/>
        </w:rPr>
        <w:t>Predictability:</w:t>
      </w:r>
      <w:r w:rsidRPr="009E7712">
        <w:rPr>
          <w:b/>
          <w:lang w:val="en-IN"/>
        </w:rPr>
        <w:t xml:space="preserve"> This suggests that "overnight gaps" (where the price jumps significantly while the market is closed) are relatively rare compared to the overall price movement. The market is "efficient" in how it moves from one day to the next.</w:t>
      </w:r>
    </w:p>
    <w:p w14:paraId="72DD637A" w14:textId="77777777" w:rsidR="009E7712" w:rsidRPr="009E7712" w:rsidRDefault="009E7712" w:rsidP="009E7712">
      <w:pPr>
        <w:rPr>
          <w:b/>
          <w:bCs/>
          <w:lang w:val="en-IN"/>
        </w:rPr>
      </w:pPr>
      <w:r w:rsidRPr="009E7712">
        <w:rPr>
          <w:b/>
          <w:bCs/>
          <w:lang w:val="en-IN"/>
        </w:rPr>
        <w:t>2. Identifying the "2026 Outliers"</w:t>
      </w:r>
    </w:p>
    <w:p w14:paraId="323E2586" w14:textId="77777777" w:rsidR="009E7712" w:rsidRPr="009E7712" w:rsidRDefault="009E7712" w:rsidP="009E7712">
      <w:pPr>
        <w:rPr>
          <w:b/>
          <w:lang w:val="en-IN"/>
        </w:rPr>
      </w:pPr>
      <w:r w:rsidRPr="009E7712">
        <w:rPr>
          <w:b/>
          <w:lang w:val="en-IN"/>
        </w:rPr>
        <w:t>You will notice a small cluster of dots at the very top right of the graph, far away from the main group.</w:t>
      </w:r>
    </w:p>
    <w:p w14:paraId="1532563B" w14:textId="77777777" w:rsidR="009E7712" w:rsidRPr="009E7712" w:rsidRDefault="009E7712" w:rsidP="009E7712">
      <w:pPr>
        <w:numPr>
          <w:ilvl w:val="0"/>
          <w:numId w:val="30"/>
        </w:numPr>
        <w:rPr>
          <w:b/>
          <w:lang w:val="en-IN"/>
        </w:rPr>
      </w:pPr>
      <w:r w:rsidRPr="009E7712">
        <w:rPr>
          <w:b/>
          <w:bCs/>
          <w:lang w:val="en-IN"/>
        </w:rPr>
        <w:t>The Surge:</w:t>
      </w:r>
      <w:r w:rsidRPr="009E7712">
        <w:rPr>
          <w:b/>
          <w:lang w:val="en-IN"/>
        </w:rPr>
        <w:t xml:space="preserve"> These points represent the </w:t>
      </w:r>
      <w:r w:rsidRPr="009E7712">
        <w:rPr>
          <w:b/>
          <w:bCs/>
          <w:lang w:val="en-IN"/>
        </w:rPr>
        <w:t>2025–2026 price explosion</w:t>
      </w:r>
      <w:r w:rsidRPr="009E7712">
        <w:rPr>
          <w:b/>
          <w:lang w:val="en-IN"/>
        </w:rPr>
        <w:t xml:space="preserve"> you saw in your time-series graph.</w:t>
      </w:r>
    </w:p>
    <w:p w14:paraId="4722D306" w14:textId="77777777" w:rsidR="009E7712" w:rsidRPr="009E7712" w:rsidRDefault="009E7712" w:rsidP="009E7712">
      <w:pPr>
        <w:numPr>
          <w:ilvl w:val="0"/>
          <w:numId w:val="30"/>
        </w:numPr>
        <w:rPr>
          <w:b/>
          <w:lang w:val="en-IN"/>
        </w:rPr>
      </w:pPr>
      <w:r w:rsidRPr="009E7712">
        <w:rPr>
          <w:b/>
          <w:bCs/>
          <w:lang w:val="en-IN"/>
        </w:rPr>
        <w:t>Increased Volatility:</w:t>
      </w:r>
      <w:r w:rsidRPr="009E7712">
        <w:rPr>
          <w:b/>
          <w:lang w:val="en-IN"/>
        </w:rPr>
        <w:t xml:space="preserve"> If you look closely at that top-right cluster, the dots are slightly more "scattered" than the ones at the $20 range. This indicates that at $80–$90, the difference between the Open and Close is much larger, meaning the market is becoming more unpredictable and volatile as it hits record highs.</w:t>
      </w:r>
    </w:p>
    <w:p w14:paraId="1E0672DC" w14:textId="77777777" w:rsidR="009E7712" w:rsidRPr="009E7712" w:rsidRDefault="009E7712" w:rsidP="009E7712">
      <w:pPr>
        <w:rPr>
          <w:b/>
          <w:bCs/>
          <w:lang w:val="en-IN"/>
        </w:rPr>
      </w:pPr>
      <w:r w:rsidRPr="009E7712">
        <w:rPr>
          <w:b/>
          <w:bCs/>
          <w:lang w:val="en-IN"/>
        </w:rPr>
        <w:t>3. Outliers (The "Noise")</w:t>
      </w:r>
    </w:p>
    <w:p w14:paraId="7871280D" w14:textId="77777777" w:rsidR="009E7712" w:rsidRPr="009E7712" w:rsidRDefault="009E7712" w:rsidP="009E7712">
      <w:pPr>
        <w:rPr>
          <w:b/>
          <w:lang w:val="en-IN"/>
        </w:rPr>
      </w:pPr>
      <w:r w:rsidRPr="009E7712">
        <w:rPr>
          <w:b/>
          <w:lang w:val="en-IN"/>
        </w:rPr>
        <w:t xml:space="preserve">Any dot that sits slightly off the main diagonal line represents a day of </w:t>
      </w:r>
      <w:r w:rsidRPr="009E7712">
        <w:rPr>
          <w:b/>
          <w:bCs/>
          <w:lang w:val="en-IN"/>
        </w:rPr>
        <w:t>high intra-day movement</w:t>
      </w:r>
      <w:r w:rsidRPr="009E7712">
        <w:rPr>
          <w:b/>
          <w:lang w:val="en-IN"/>
        </w:rPr>
        <w:t>.</w:t>
      </w:r>
    </w:p>
    <w:p w14:paraId="281A7B87" w14:textId="77777777" w:rsidR="009E7712" w:rsidRPr="009E7712" w:rsidRDefault="009E7712" w:rsidP="009E7712">
      <w:pPr>
        <w:numPr>
          <w:ilvl w:val="0"/>
          <w:numId w:val="31"/>
        </w:numPr>
        <w:rPr>
          <w:b/>
          <w:lang w:val="en-IN"/>
        </w:rPr>
      </w:pPr>
      <w:r w:rsidRPr="009E7712">
        <w:rPr>
          <w:b/>
          <w:bCs/>
          <w:lang w:val="en-IN"/>
        </w:rPr>
        <w:t>Above the line:</w:t>
      </w:r>
      <w:r w:rsidRPr="009E7712">
        <w:rPr>
          <w:b/>
          <w:lang w:val="en-IN"/>
        </w:rPr>
        <w:t xml:space="preserve"> Days where silver closed significantly </w:t>
      </w:r>
      <w:r w:rsidRPr="009E7712">
        <w:rPr>
          <w:b/>
          <w:i/>
          <w:iCs/>
          <w:lang w:val="en-IN"/>
        </w:rPr>
        <w:t>higher</w:t>
      </w:r>
      <w:r w:rsidRPr="009E7712">
        <w:rPr>
          <w:b/>
          <w:lang w:val="en-IN"/>
        </w:rPr>
        <w:t xml:space="preserve"> than it opened (a very bullish day).</w:t>
      </w:r>
    </w:p>
    <w:p w14:paraId="1B01A6D0" w14:textId="77777777" w:rsidR="009E7712" w:rsidRPr="009E7712" w:rsidRDefault="009E7712" w:rsidP="009E7712">
      <w:pPr>
        <w:numPr>
          <w:ilvl w:val="0"/>
          <w:numId w:val="31"/>
        </w:numPr>
        <w:rPr>
          <w:b/>
          <w:lang w:val="en-IN"/>
        </w:rPr>
      </w:pPr>
      <w:r w:rsidRPr="009E7712">
        <w:rPr>
          <w:b/>
          <w:bCs/>
          <w:lang w:val="en-IN"/>
        </w:rPr>
        <w:t>Below the line:</w:t>
      </w:r>
      <w:r w:rsidRPr="009E7712">
        <w:rPr>
          <w:b/>
          <w:lang w:val="en-IN"/>
        </w:rPr>
        <w:t xml:space="preserve"> Days where silver "tanked" after the opening bell, closing much </w:t>
      </w:r>
      <w:r w:rsidRPr="009E7712">
        <w:rPr>
          <w:b/>
          <w:i/>
          <w:iCs/>
          <w:lang w:val="en-IN"/>
        </w:rPr>
        <w:t>lower</w:t>
      </w:r>
      <w:r w:rsidRPr="009E7712">
        <w:rPr>
          <w:b/>
          <w:lang w:val="en-IN"/>
        </w:rPr>
        <w:t xml:space="preserve"> than it started.</w:t>
      </w:r>
    </w:p>
    <w:p w14:paraId="296938F4" w14:textId="77777777" w:rsidR="009E7712" w:rsidRPr="009E7712" w:rsidRDefault="009E7712" w:rsidP="009E7712">
      <w:pPr>
        <w:rPr>
          <w:b/>
          <w:bCs/>
          <w:lang w:val="en-IN"/>
        </w:rPr>
      </w:pPr>
      <w:r w:rsidRPr="009E7712">
        <w:rPr>
          <w:b/>
          <w:bCs/>
          <w:lang w:val="en-IN"/>
        </w:rPr>
        <w:t>4. Technical Insight: Why This Matters</w:t>
      </w:r>
    </w:p>
    <w:p w14:paraId="44BAB5BE" w14:textId="77777777" w:rsidR="009E7712" w:rsidRPr="009E7712" w:rsidRDefault="009E7712" w:rsidP="009E7712">
      <w:pPr>
        <w:rPr>
          <w:b/>
          <w:lang w:val="en-IN"/>
        </w:rPr>
      </w:pPr>
      <w:r w:rsidRPr="009E7712">
        <w:rPr>
          <w:b/>
          <w:lang w:val="en-IN"/>
        </w:rPr>
        <w:t xml:space="preserve">For your data science project, this graph proves that using the "Open" price as a feature to predict the "Close" price will give you a very high accuracy—but it might be </w:t>
      </w:r>
      <w:r w:rsidRPr="009E7712">
        <w:rPr>
          <w:b/>
          <w:bCs/>
          <w:lang w:val="en-IN"/>
        </w:rPr>
        <w:t>too simple</w:t>
      </w:r>
      <w:r w:rsidRPr="009E7712">
        <w:rPr>
          <w:b/>
          <w:lang w:val="en-IN"/>
        </w:rPr>
        <w:t>.</w:t>
      </w:r>
    </w:p>
    <w:p w14:paraId="49DB1057" w14:textId="77777777" w:rsidR="009E7712" w:rsidRPr="009E7712" w:rsidRDefault="009E7712" w:rsidP="009E7712">
      <w:pPr>
        <w:numPr>
          <w:ilvl w:val="0"/>
          <w:numId w:val="32"/>
        </w:numPr>
        <w:rPr>
          <w:b/>
          <w:lang w:val="en-IN"/>
        </w:rPr>
      </w:pPr>
      <w:r w:rsidRPr="009E7712">
        <w:rPr>
          <w:b/>
          <w:lang w:val="en-IN"/>
        </w:rPr>
        <w:t>Because they are so closely linked, a model might just "cheat" by looking at today's Open to guess today's Close.</w:t>
      </w:r>
    </w:p>
    <w:p w14:paraId="740EBD08" w14:textId="77777777" w:rsidR="009E7712" w:rsidRPr="009E7712" w:rsidRDefault="009E7712" w:rsidP="009E7712">
      <w:pPr>
        <w:numPr>
          <w:ilvl w:val="0"/>
          <w:numId w:val="32"/>
        </w:numPr>
        <w:rPr>
          <w:b/>
          <w:lang w:val="en-IN"/>
        </w:rPr>
      </w:pPr>
      <w:r w:rsidRPr="009E7712">
        <w:rPr>
          <w:b/>
          <w:lang w:val="en-IN"/>
        </w:rPr>
        <w:t xml:space="preserve">To make a more advanced forecast, you would want to look at the </w:t>
      </w:r>
      <w:r w:rsidRPr="009E7712">
        <w:rPr>
          <w:b/>
          <w:bCs/>
          <w:lang w:val="en-IN"/>
        </w:rPr>
        <w:t>Residuals</w:t>
      </w:r>
      <w:r w:rsidRPr="009E7712">
        <w:rPr>
          <w:b/>
          <w:lang w:val="en-IN"/>
        </w:rPr>
        <w:t xml:space="preserve"> (the tiny distances between the dots and that diagonal line) to see if there are patterns in the volatility.</w:t>
      </w:r>
    </w:p>
    <w:p w14:paraId="16697861" w14:textId="149C6D08" w:rsidR="009E7712" w:rsidRDefault="009E7712">
      <w:pPr>
        <w:rPr>
          <w:b/>
        </w:rPr>
      </w:pPr>
      <w:r>
        <w:rPr>
          <w:noProof/>
        </w:rPr>
        <w:drawing>
          <wp:inline distT="0" distB="0" distL="0" distR="0" wp14:anchorId="5E334DEC" wp14:editId="72DD9E73">
            <wp:extent cx="2514600" cy="1323340"/>
            <wp:effectExtent l="0" t="0" r="0" b="0"/>
            <wp:docPr id="196128317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514600" cy="1323340"/>
                    </a:xfrm>
                    <a:prstGeom prst="rect">
                      <a:avLst/>
                    </a:prstGeom>
                    <a:noFill/>
                    <a:ln>
                      <a:noFill/>
                    </a:ln>
                  </pic:spPr>
                </pic:pic>
              </a:graphicData>
            </a:graphic>
          </wp:inline>
        </w:drawing>
      </w:r>
    </w:p>
    <w:p w14:paraId="28284496" w14:textId="77777777" w:rsidR="009E7712" w:rsidRPr="009E7712" w:rsidRDefault="009E7712" w:rsidP="009E7712">
      <w:pPr>
        <w:rPr>
          <w:b/>
          <w:bCs/>
          <w:lang w:val="en-IN"/>
        </w:rPr>
      </w:pPr>
      <w:r w:rsidRPr="009E7712">
        <w:rPr>
          <w:b/>
          <w:bCs/>
          <w:lang w:val="en-IN"/>
        </w:rPr>
        <w:t>1. The "Spiky" Nature of Volume</w:t>
      </w:r>
    </w:p>
    <w:p w14:paraId="2BDBF8F9" w14:textId="77777777" w:rsidR="009E7712" w:rsidRPr="009E7712" w:rsidRDefault="009E7712" w:rsidP="009E7712">
      <w:pPr>
        <w:rPr>
          <w:b/>
          <w:lang w:val="en-IN"/>
        </w:rPr>
      </w:pPr>
      <w:r w:rsidRPr="009E7712">
        <w:rPr>
          <w:b/>
          <w:lang w:val="en-IN"/>
        </w:rPr>
        <w:t xml:space="preserve">Unlike the price of silver, which moves in trends, volume is highly </w:t>
      </w:r>
      <w:r w:rsidRPr="009E7712">
        <w:rPr>
          <w:b/>
          <w:bCs/>
          <w:lang w:val="en-IN"/>
        </w:rPr>
        <w:t>episodic</w:t>
      </w:r>
      <w:r w:rsidRPr="009E7712">
        <w:rPr>
          <w:b/>
          <w:lang w:val="en-IN"/>
        </w:rPr>
        <w:t>. The graph is filled with tall, thin vertical lines.</w:t>
      </w:r>
    </w:p>
    <w:p w14:paraId="30EB3110" w14:textId="77777777" w:rsidR="009E7712" w:rsidRPr="009E7712" w:rsidRDefault="009E7712" w:rsidP="009E7712">
      <w:pPr>
        <w:numPr>
          <w:ilvl w:val="0"/>
          <w:numId w:val="33"/>
        </w:numPr>
        <w:rPr>
          <w:b/>
          <w:lang w:val="en-IN"/>
        </w:rPr>
      </w:pPr>
      <w:r w:rsidRPr="009E7712">
        <w:rPr>
          <w:b/>
          <w:bCs/>
          <w:lang w:val="en-IN"/>
        </w:rPr>
        <w:t>What it means:</w:t>
      </w:r>
      <w:r w:rsidRPr="009E7712">
        <w:rPr>
          <w:b/>
          <w:lang w:val="en-IN"/>
        </w:rPr>
        <w:t xml:space="preserve"> Most trading days have a "baseline" level of activity, but occasionally, a major news event (like a central bank announcement or a supply shortage) causes a massive, one-day spike in trading.</w:t>
      </w:r>
    </w:p>
    <w:p w14:paraId="49C60D07" w14:textId="77777777" w:rsidR="009E7712" w:rsidRPr="009E7712" w:rsidRDefault="009E7712" w:rsidP="009E7712">
      <w:pPr>
        <w:numPr>
          <w:ilvl w:val="0"/>
          <w:numId w:val="33"/>
        </w:numPr>
        <w:rPr>
          <w:b/>
          <w:lang w:val="en-IN"/>
        </w:rPr>
      </w:pPr>
      <w:r w:rsidRPr="009E7712">
        <w:rPr>
          <w:b/>
          <w:bCs/>
          <w:lang w:val="en-IN"/>
        </w:rPr>
        <w:t>The 2011 Peak:</w:t>
      </w:r>
      <w:r w:rsidRPr="009E7712">
        <w:rPr>
          <w:b/>
          <w:lang w:val="en-IN"/>
        </w:rPr>
        <w:t xml:space="preserve"> Notice the tallest spike at the very beginning of the chart (around 175,000). This corresponds with the historic $50 price peak. It shows that the "crash" in 2011 happened with extremely high participation.</w:t>
      </w:r>
    </w:p>
    <w:p w14:paraId="4DEE93B1" w14:textId="77777777" w:rsidR="009E7712" w:rsidRPr="009E7712" w:rsidRDefault="009E7712" w:rsidP="009E7712">
      <w:pPr>
        <w:rPr>
          <w:b/>
          <w:bCs/>
          <w:lang w:val="en-IN"/>
        </w:rPr>
      </w:pPr>
      <w:r w:rsidRPr="009E7712">
        <w:rPr>
          <w:b/>
          <w:bCs/>
          <w:lang w:val="en-IN"/>
        </w:rPr>
        <w:t>2. The "Rhythm" of the Market</w:t>
      </w:r>
    </w:p>
    <w:p w14:paraId="54A4D873" w14:textId="77777777" w:rsidR="009E7712" w:rsidRPr="009E7712" w:rsidRDefault="009E7712" w:rsidP="009E7712">
      <w:pPr>
        <w:rPr>
          <w:b/>
          <w:lang w:val="en-IN"/>
        </w:rPr>
      </w:pPr>
      <w:r w:rsidRPr="009E7712">
        <w:rPr>
          <w:b/>
          <w:lang w:val="en-IN"/>
        </w:rPr>
        <w:t>You can see a very consistent "comb" pattern at the bottom of the graph.</w:t>
      </w:r>
    </w:p>
    <w:p w14:paraId="531083E0" w14:textId="77777777" w:rsidR="009E7712" w:rsidRPr="009E7712" w:rsidRDefault="009E7712" w:rsidP="009E7712">
      <w:pPr>
        <w:numPr>
          <w:ilvl w:val="0"/>
          <w:numId w:val="34"/>
        </w:numPr>
        <w:rPr>
          <w:b/>
          <w:lang w:val="en-IN"/>
        </w:rPr>
      </w:pPr>
      <w:r w:rsidRPr="009E7712">
        <w:rPr>
          <w:b/>
          <w:bCs/>
          <w:lang w:val="en-IN"/>
        </w:rPr>
        <w:lastRenderedPageBreak/>
        <w:t>The "Quiet" Days:</w:t>
      </w:r>
      <w:r w:rsidRPr="009E7712">
        <w:rPr>
          <w:b/>
          <w:lang w:val="en-IN"/>
        </w:rPr>
        <w:t xml:space="preserve"> These are the standard trading days where volume stays low.</w:t>
      </w:r>
    </w:p>
    <w:p w14:paraId="3BA008E2" w14:textId="77777777" w:rsidR="009E7712" w:rsidRPr="009E7712" w:rsidRDefault="009E7712" w:rsidP="009E7712">
      <w:pPr>
        <w:numPr>
          <w:ilvl w:val="0"/>
          <w:numId w:val="34"/>
        </w:numPr>
        <w:rPr>
          <w:b/>
          <w:lang w:val="en-IN"/>
        </w:rPr>
      </w:pPr>
      <w:r w:rsidRPr="009E7712">
        <w:rPr>
          <w:b/>
          <w:bCs/>
          <w:lang w:val="en-IN"/>
        </w:rPr>
        <w:t>The "Outlier" Days:</w:t>
      </w:r>
      <w:r w:rsidRPr="009E7712">
        <w:rPr>
          <w:b/>
          <w:lang w:val="en-IN"/>
        </w:rPr>
        <w:t xml:space="preserve"> The spikes that reach above 75,000 are the days when the market is truly "convinced" of a move. In technical analysis, we say </w:t>
      </w:r>
      <w:r w:rsidRPr="009E7712">
        <w:rPr>
          <w:b/>
          <w:bCs/>
          <w:lang w:val="en-IN"/>
        </w:rPr>
        <w:t>"Volume precedes price."</w:t>
      </w:r>
      <w:r w:rsidRPr="009E7712">
        <w:rPr>
          <w:b/>
          <w:lang w:val="en-IN"/>
        </w:rPr>
        <w:t xml:space="preserve"> If you see a volume spike followed by a price increase, it suggests the trend is strong and likely to continue.</w:t>
      </w:r>
    </w:p>
    <w:p w14:paraId="05819E25" w14:textId="77777777" w:rsidR="009E7712" w:rsidRPr="009E7712" w:rsidRDefault="009E7712" w:rsidP="009E7712">
      <w:pPr>
        <w:rPr>
          <w:b/>
          <w:bCs/>
          <w:lang w:val="en-IN"/>
        </w:rPr>
      </w:pPr>
      <w:r w:rsidRPr="009E7712">
        <w:rPr>
          <w:b/>
          <w:bCs/>
          <w:lang w:val="en-IN"/>
        </w:rPr>
        <w:t>3. Recent Trends (2024–2026)</w:t>
      </w:r>
    </w:p>
    <w:p w14:paraId="589CB553" w14:textId="77777777" w:rsidR="009E7712" w:rsidRPr="009E7712" w:rsidRDefault="009E7712" w:rsidP="009E7712">
      <w:pPr>
        <w:rPr>
          <w:b/>
          <w:lang w:val="en-IN"/>
        </w:rPr>
      </w:pPr>
      <w:r w:rsidRPr="009E7712">
        <w:rPr>
          <w:b/>
          <w:lang w:val="en-IN"/>
        </w:rPr>
        <w:t>Interestingly, look at the far right of the graph where your price graph showed a "vertical" move to $90.</w:t>
      </w:r>
    </w:p>
    <w:p w14:paraId="0EE520B9" w14:textId="77777777" w:rsidR="009E7712" w:rsidRPr="009E7712" w:rsidRDefault="009E7712" w:rsidP="009E7712">
      <w:pPr>
        <w:numPr>
          <w:ilvl w:val="0"/>
          <w:numId w:val="35"/>
        </w:numPr>
        <w:rPr>
          <w:b/>
          <w:lang w:val="en-IN"/>
        </w:rPr>
      </w:pPr>
      <w:r w:rsidRPr="009E7712">
        <w:rPr>
          <w:b/>
          <w:bCs/>
          <w:lang w:val="en-IN"/>
        </w:rPr>
        <w:t>Observation:</w:t>
      </w:r>
      <w:r w:rsidRPr="009E7712">
        <w:rPr>
          <w:b/>
          <w:lang w:val="en-IN"/>
        </w:rPr>
        <w:t xml:space="preserve"> While the price is hitting record highs, the </w:t>
      </w:r>
      <w:r w:rsidRPr="009E7712">
        <w:rPr>
          <w:b/>
          <w:bCs/>
          <w:lang w:val="en-IN"/>
        </w:rPr>
        <w:t>Volume spikes are actually smaller</w:t>
      </w:r>
      <w:r w:rsidRPr="009E7712">
        <w:rPr>
          <w:b/>
          <w:lang w:val="en-IN"/>
        </w:rPr>
        <w:t xml:space="preserve"> than they were in 2011 or 2020.</w:t>
      </w:r>
    </w:p>
    <w:p w14:paraId="07251E72" w14:textId="77777777" w:rsidR="009E7712" w:rsidRPr="009E7712" w:rsidRDefault="009E7712" w:rsidP="009E7712">
      <w:pPr>
        <w:numPr>
          <w:ilvl w:val="0"/>
          <w:numId w:val="35"/>
        </w:numPr>
        <w:rPr>
          <w:b/>
          <w:lang w:val="en-IN"/>
        </w:rPr>
      </w:pPr>
      <w:r w:rsidRPr="009E7712">
        <w:rPr>
          <w:b/>
          <w:bCs/>
          <w:lang w:val="en-IN"/>
        </w:rPr>
        <w:t>Analysis:</w:t>
      </w:r>
      <w:r w:rsidRPr="009E7712">
        <w:rPr>
          <w:b/>
          <w:lang w:val="en-IN"/>
        </w:rPr>
        <w:t xml:space="preserve"> This often indicates a </w:t>
      </w:r>
      <w:r w:rsidRPr="009E7712">
        <w:rPr>
          <w:b/>
          <w:bCs/>
          <w:lang w:val="en-IN"/>
        </w:rPr>
        <w:t>"Supply Squeeze."</w:t>
      </w:r>
      <w:r w:rsidRPr="009E7712">
        <w:rPr>
          <w:b/>
          <w:lang w:val="en-IN"/>
        </w:rPr>
        <w:t xml:space="preserve"> If the price is skyrocketing but volume isn't hitting record highs, it could mean there simply isn't enough silver available to trade. People are holding onto what they have, and the few who </w:t>
      </w:r>
      <w:r w:rsidRPr="009E7712">
        <w:rPr>
          <w:b/>
          <w:i/>
          <w:iCs/>
          <w:lang w:val="en-IN"/>
        </w:rPr>
        <w:t>are</w:t>
      </w:r>
      <w:r w:rsidRPr="009E7712">
        <w:rPr>
          <w:b/>
          <w:lang w:val="en-IN"/>
        </w:rPr>
        <w:t xml:space="preserve"> selling are doing so at much higher prices.</w:t>
      </w:r>
    </w:p>
    <w:p w14:paraId="360DA899" w14:textId="77777777" w:rsidR="009E7712" w:rsidRPr="009E7712" w:rsidRDefault="009E7712" w:rsidP="009E7712">
      <w:pPr>
        <w:rPr>
          <w:b/>
          <w:bCs/>
          <w:lang w:val="en-IN"/>
        </w:rPr>
      </w:pPr>
      <w:r w:rsidRPr="009E7712">
        <w:rPr>
          <w:b/>
          <w:bCs/>
          <w:lang w:val="en-IN"/>
        </w:rPr>
        <w:t>4. Correlation with your other data</w:t>
      </w:r>
    </w:p>
    <w:p w14:paraId="4509BD5D" w14:textId="77777777" w:rsidR="009E7712" w:rsidRPr="009E7712" w:rsidRDefault="009E7712" w:rsidP="009E7712">
      <w:pPr>
        <w:rPr>
          <w:b/>
          <w:lang w:val="en-IN"/>
        </w:rPr>
      </w:pPr>
      <w:r w:rsidRPr="009E7712">
        <w:rPr>
          <w:b/>
          <w:lang w:val="en-IN"/>
        </w:rPr>
        <w:t xml:space="preserve">If you look back at your </w:t>
      </w:r>
      <w:r w:rsidRPr="009E7712">
        <w:rPr>
          <w:b/>
          <w:bCs/>
          <w:lang w:val="en-IN"/>
        </w:rPr>
        <w:t>Correlation Matrix</w:t>
      </w:r>
      <w:r w:rsidRPr="009E7712">
        <w:rPr>
          <w:b/>
          <w:lang w:val="en-IN"/>
        </w:rPr>
        <w:t xml:space="preserve">, you’ll remember that Volume had a value near </w:t>
      </w:r>
      <w:r w:rsidRPr="009E7712">
        <w:rPr>
          <w:b/>
          <w:bCs/>
          <w:lang w:val="en-IN"/>
        </w:rPr>
        <w:t>0</w:t>
      </w:r>
      <w:r w:rsidRPr="009E7712">
        <w:rPr>
          <w:b/>
          <w:lang w:val="en-IN"/>
        </w:rPr>
        <w:t xml:space="preserve"> (deep blue). This graph explains why:</w:t>
      </w:r>
    </w:p>
    <w:p w14:paraId="21B27313" w14:textId="77777777" w:rsidR="009E7712" w:rsidRPr="009E7712" w:rsidRDefault="009E7712" w:rsidP="009E7712">
      <w:pPr>
        <w:numPr>
          <w:ilvl w:val="0"/>
          <w:numId w:val="36"/>
        </w:numPr>
        <w:rPr>
          <w:b/>
          <w:lang w:val="en-IN"/>
        </w:rPr>
      </w:pPr>
      <w:r w:rsidRPr="009E7712">
        <w:rPr>
          <w:b/>
          <w:lang w:val="en-IN"/>
        </w:rPr>
        <w:t>Price has a long-term upward trend (Date correlation).</w:t>
      </w:r>
    </w:p>
    <w:p w14:paraId="55F57505" w14:textId="77777777" w:rsidR="009E7712" w:rsidRPr="009E7712" w:rsidRDefault="009E7712" w:rsidP="009E7712">
      <w:pPr>
        <w:numPr>
          <w:ilvl w:val="0"/>
          <w:numId w:val="36"/>
        </w:numPr>
        <w:rPr>
          <w:b/>
          <w:lang w:val="en-IN"/>
        </w:rPr>
      </w:pPr>
      <w:r w:rsidRPr="009E7712">
        <w:rPr>
          <w:b/>
          <w:lang w:val="en-IN"/>
        </w:rPr>
        <w:t xml:space="preserve">Volume has </w:t>
      </w:r>
      <w:r w:rsidRPr="009E7712">
        <w:rPr>
          <w:b/>
          <w:bCs/>
          <w:lang w:val="en-IN"/>
        </w:rPr>
        <w:t>no trend</w:t>
      </w:r>
      <w:r w:rsidRPr="009E7712">
        <w:rPr>
          <w:b/>
          <w:lang w:val="en-IN"/>
        </w:rPr>
        <w:t>. It is just as likely to spike when silver is $15 as it is when silver is $90. It measures "excitement," not "value."</w:t>
      </w:r>
    </w:p>
    <w:p w14:paraId="1E2A3374" w14:textId="526EE182" w:rsidR="009E7712" w:rsidRDefault="009E7712">
      <w:pPr>
        <w:rPr>
          <w:b/>
        </w:rPr>
      </w:pPr>
      <w:r>
        <w:rPr>
          <w:noProof/>
        </w:rPr>
        <w:drawing>
          <wp:inline distT="0" distB="0" distL="0" distR="0" wp14:anchorId="633588FC" wp14:editId="62BBE99E">
            <wp:extent cx="2514600" cy="1379855"/>
            <wp:effectExtent l="0" t="0" r="0" b="0"/>
            <wp:docPr id="43726194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514600" cy="1379855"/>
                    </a:xfrm>
                    <a:prstGeom prst="rect">
                      <a:avLst/>
                    </a:prstGeom>
                    <a:noFill/>
                    <a:ln>
                      <a:noFill/>
                    </a:ln>
                  </pic:spPr>
                </pic:pic>
              </a:graphicData>
            </a:graphic>
          </wp:inline>
        </w:drawing>
      </w:r>
    </w:p>
    <w:p w14:paraId="6CD7D287" w14:textId="77777777" w:rsidR="007C067D" w:rsidRPr="007C067D" w:rsidRDefault="007C067D" w:rsidP="007C067D">
      <w:pPr>
        <w:rPr>
          <w:b/>
          <w:lang w:val="en-IN"/>
        </w:rPr>
      </w:pPr>
      <w:r w:rsidRPr="007C067D">
        <w:rPr>
          <w:b/>
          <w:lang w:val="en-IN"/>
        </w:rPr>
        <w:t xml:space="preserve">This final graph shows the </w:t>
      </w:r>
      <w:r w:rsidRPr="007C067D">
        <w:rPr>
          <w:b/>
          <w:bCs/>
          <w:lang w:val="en-IN"/>
        </w:rPr>
        <w:t>10-Day Moving Average (MA)</w:t>
      </w:r>
      <w:r w:rsidRPr="007C067D">
        <w:rPr>
          <w:b/>
          <w:lang w:val="en-IN"/>
        </w:rPr>
        <w:t xml:space="preserve"> overlaid on the daily </w:t>
      </w:r>
      <w:r w:rsidRPr="007C067D">
        <w:rPr>
          <w:b/>
          <w:bCs/>
          <w:lang w:val="en-IN"/>
        </w:rPr>
        <w:t>Close Price</w:t>
      </w:r>
      <w:r w:rsidRPr="007C067D">
        <w:rPr>
          <w:b/>
          <w:lang w:val="en-IN"/>
        </w:rPr>
        <w:t>.</w:t>
      </w:r>
    </w:p>
    <w:p w14:paraId="2EB47BA8" w14:textId="77777777" w:rsidR="007C067D" w:rsidRPr="007C067D" w:rsidRDefault="007C067D" w:rsidP="007C067D">
      <w:pPr>
        <w:rPr>
          <w:b/>
          <w:lang w:val="en-IN"/>
        </w:rPr>
      </w:pPr>
      <w:r w:rsidRPr="007C067D">
        <w:rPr>
          <w:b/>
          <w:lang w:val="en-IN"/>
        </w:rPr>
        <w:t>In financial technical analysis, a moving average is a "lagging indicator" used to smooth out daily price volatility (the "noise") to see the actual trend more clearly. Here is the breakdown:</w:t>
      </w:r>
    </w:p>
    <w:p w14:paraId="5CF8A430" w14:textId="77777777" w:rsidR="007C067D" w:rsidRPr="007C067D" w:rsidRDefault="007C067D" w:rsidP="007C067D">
      <w:pPr>
        <w:rPr>
          <w:b/>
          <w:bCs/>
          <w:lang w:val="en-IN"/>
        </w:rPr>
      </w:pPr>
      <w:r w:rsidRPr="007C067D">
        <w:rPr>
          <w:b/>
          <w:bCs/>
          <w:lang w:val="en-IN"/>
        </w:rPr>
        <w:t>1. The Smoothing Effect</w:t>
      </w:r>
    </w:p>
    <w:p w14:paraId="49BF9C34" w14:textId="77777777" w:rsidR="007C067D" w:rsidRPr="007C067D" w:rsidRDefault="007C067D" w:rsidP="007C067D">
      <w:pPr>
        <w:numPr>
          <w:ilvl w:val="0"/>
          <w:numId w:val="37"/>
        </w:numPr>
        <w:rPr>
          <w:b/>
          <w:lang w:val="en-IN"/>
        </w:rPr>
      </w:pPr>
      <w:r w:rsidRPr="007C067D">
        <w:rPr>
          <w:b/>
          <w:bCs/>
          <w:lang w:val="en-IN"/>
        </w:rPr>
        <w:t>Blue Line (Close):</w:t>
      </w:r>
      <w:r w:rsidRPr="007C067D">
        <w:rPr>
          <w:b/>
          <w:lang w:val="en-IN"/>
        </w:rPr>
        <w:t xml:space="preserve"> Represents the actual daily closing price. It is jagged because the market fluctuates every day based on news and trading volume.</w:t>
      </w:r>
    </w:p>
    <w:p w14:paraId="56D85DC4" w14:textId="77777777" w:rsidR="007C067D" w:rsidRPr="007C067D" w:rsidRDefault="007C067D" w:rsidP="007C067D">
      <w:pPr>
        <w:numPr>
          <w:ilvl w:val="0"/>
          <w:numId w:val="37"/>
        </w:numPr>
        <w:rPr>
          <w:b/>
          <w:lang w:val="en-IN"/>
        </w:rPr>
      </w:pPr>
      <w:r w:rsidRPr="007C067D">
        <w:rPr>
          <w:b/>
          <w:bCs/>
          <w:lang w:val="en-IN"/>
        </w:rPr>
        <w:t>Orange Line (10-Day MA):</w:t>
      </w:r>
      <w:r w:rsidRPr="007C067D">
        <w:rPr>
          <w:b/>
          <w:lang w:val="en-IN"/>
        </w:rPr>
        <w:t xml:space="preserve"> Represents the average price of the last 10 days. Notice how it is much smoother than the blue line. It "follows" the price but filters out the minor ups and downs.</w:t>
      </w:r>
    </w:p>
    <w:p w14:paraId="4592111A" w14:textId="77777777" w:rsidR="007C067D" w:rsidRPr="007C067D" w:rsidRDefault="007C067D" w:rsidP="007C067D">
      <w:pPr>
        <w:rPr>
          <w:b/>
          <w:bCs/>
          <w:lang w:val="en-IN"/>
        </w:rPr>
      </w:pPr>
      <w:r w:rsidRPr="007C067D">
        <w:rPr>
          <w:b/>
          <w:bCs/>
          <w:lang w:val="en-IN"/>
        </w:rPr>
        <w:t>2. Identifying Trend Momentum</w:t>
      </w:r>
    </w:p>
    <w:p w14:paraId="0FA6F7AD" w14:textId="77777777" w:rsidR="007C067D" w:rsidRPr="007C067D" w:rsidRDefault="007C067D" w:rsidP="007C067D">
      <w:pPr>
        <w:rPr>
          <w:b/>
          <w:lang w:val="en-IN"/>
        </w:rPr>
      </w:pPr>
      <w:r w:rsidRPr="007C067D">
        <w:rPr>
          <w:b/>
          <w:lang w:val="en-IN"/>
        </w:rPr>
        <w:t xml:space="preserve">By comparing the position of the </w:t>
      </w:r>
      <w:proofErr w:type="gramStart"/>
      <w:r w:rsidRPr="007C067D">
        <w:rPr>
          <w:b/>
          <w:lang w:val="en-IN"/>
        </w:rPr>
        <w:t>Blue</w:t>
      </w:r>
      <w:proofErr w:type="gramEnd"/>
      <w:r w:rsidRPr="007C067D">
        <w:rPr>
          <w:b/>
          <w:lang w:val="en-IN"/>
        </w:rPr>
        <w:t xml:space="preserve"> line to the </w:t>
      </w:r>
      <w:proofErr w:type="gramStart"/>
      <w:r w:rsidRPr="007C067D">
        <w:rPr>
          <w:b/>
          <w:lang w:val="en-IN"/>
        </w:rPr>
        <w:t>Orange</w:t>
      </w:r>
      <w:proofErr w:type="gramEnd"/>
      <w:r w:rsidRPr="007C067D">
        <w:rPr>
          <w:b/>
          <w:lang w:val="en-IN"/>
        </w:rPr>
        <w:t xml:space="preserve"> line, you can determine the short-term momentum of silver:</w:t>
      </w:r>
    </w:p>
    <w:p w14:paraId="13786A89" w14:textId="77777777" w:rsidR="007C067D" w:rsidRPr="007C067D" w:rsidRDefault="007C067D" w:rsidP="007C067D">
      <w:pPr>
        <w:numPr>
          <w:ilvl w:val="0"/>
          <w:numId w:val="38"/>
        </w:numPr>
        <w:rPr>
          <w:b/>
          <w:lang w:val="en-IN"/>
        </w:rPr>
      </w:pPr>
      <w:r w:rsidRPr="007C067D">
        <w:rPr>
          <w:b/>
          <w:bCs/>
          <w:lang w:val="en-IN"/>
        </w:rPr>
        <w:t>Bullish Signal:</w:t>
      </w:r>
      <w:r w:rsidRPr="007C067D">
        <w:rPr>
          <w:b/>
          <w:lang w:val="en-IN"/>
        </w:rPr>
        <w:t xml:space="preserve"> When the Blue line stays </w:t>
      </w:r>
      <w:r w:rsidRPr="007C067D">
        <w:rPr>
          <w:b/>
          <w:bCs/>
          <w:lang w:val="en-IN"/>
        </w:rPr>
        <w:t>above</w:t>
      </w:r>
      <w:r w:rsidRPr="007C067D">
        <w:rPr>
          <w:b/>
          <w:lang w:val="en-IN"/>
        </w:rPr>
        <w:t xml:space="preserve"> the </w:t>
      </w:r>
      <w:proofErr w:type="gramStart"/>
      <w:r w:rsidRPr="007C067D">
        <w:rPr>
          <w:b/>
          <w:lang w:val="en-IN"/>
        </w:rPr>
        <w:t>Orange</w:t>
      </w:r>
      <w:proofErr w:type="gramEnd"/>
      <w:r w:rsidRPr="007C067D">
        <w:rPr>
          <w:b/>
          <w:lang w:val="en-IN"/>
        </w:rPr>
        <w:t xml:space="preserve"> line, it indicates a strong upward momentum. You can see this clearly during the parabolic surge in late 2025 and 2026.</w:t>
      </w:r>
    </w:p>
    <w:p w14:paraId="0D9BD693" w14:textId="77777777" w:rsidR="007C067D" w:rsidRPr="007C067D" w:rsidRDefault="007C067D" w:rsidP="007C067D">
      <w:pPr>
        <w:numPr>
          <w:ilvl w:val="0"/>
          <w:numId w:val="38"/>
        </w:numPr>
        <w:rPr>
          <w:b/>
          <w:lang w:val="en-IN"/>
        </w:rPr>
      </w:pPr>
      <w:r w:rsidRPr="007C067D">
        <w:rPr>
          <w:b/>
          <w:bCs/>
          <w:lang w:val="en-IN"/>
        </w:rPr>
        <w:t>Bearish Signal:</w:t>
      </w:r>
      <w:r w:rsidRPr="007C067D">
        <w:rPr>
          <w:b/>
          <w:lang w:val="en-IN"/>
        </w:rPr>
        <w:t xml:space="preserve"> When the Blue line dips </w:t>
      </w:r>
      <w:r w:rsidRPr="007C067D">
        <w:rPr>
          <w:b/>
          <w:bCs/>
          <w:lang w:val="en-IN"/>
        </w:rPr>
        <w:t>below</w:t>
      </w:r>
      <w:r w:rsidRPr="007C067D">
        <w:rPr>
          <w:b/>
          <w:lang w:val="en-IN"/>
        </w:rPr>
        <w:t xml:space="preserve"> the </w:t>
      </w:r>
      <w:proofErr w:type="gramStart"/>
      <w:r w:rsidRPr="007C067D">
        <w:rPr>
          <w:b/>
          <w:lang w:val="en-IN"/>
        </w:rPr>
        <w:t>Orange</w:t>
      </w:r>
      <w:proofErr w:type="gramEnd"/>
      <w:r w:rsidRPr="007C067D">
        <w:rPr>
          <w:b/>
          <w:lang w:val="en-IN"/>
        </w:rPr>
        <w:t xml:space="preserve"> line (as seen in the 2011 crash and the early 2020 </w:t>
      </w:r>
      <w:r w:rsidRPr="007C067D">
        <w:rPr>
          <w:b/>
          <w:lang w:val="en-IN"/>
        </w:rPr>
        <w:lastRenderedPageBreak/>
        <w:t>dip), it suggests that the short-term trend is weakening.</w:t>
      </w:r>
    </w:p>
    <w:p w14:paraId="2E837FD9" w14:textId="77777777" w:rsidR="007C067D" w:rsidRPr="007C067D" w:rsidRDefault="007C067D" w:rsidP="007C067D">
      <w:pPr>
        <w:rPr>
          <w:b/>
          <w:bCs/>
          <w:lang w:val="en-IN"/>
        </w:rPr>
      </w:pPr>
      <w:r w:rsidRPr="007C067D">
        <w:rPr>
          <w:b/>
          <w:bCs/>
          <w:lang w:val="en-IN"/>
        </w:rPr>
        <w:t>3. The 2026 "Parabolic" Confirmation</w:t>
      </w:r>
    </w:p>
    <w:p w14:paraId="05CC7563" w14:textId="77777777" w:rsidR="007C067D" w:rsidRPr="007C067D" w:rsidRDefault="007C067D" w:rsidP="007C067D">
      <w:pPr>
        <w:rPr>
          <w:b/>
          <w:lang w:val="en-IN"/>
        </w:rPr>
      </w:pPr>
      <w:r w:rsidRPr="007C067D">
        <w:rPr>
          <w:b/>
          <w:lang w:val="en-IN"/>
        </w:rPr>
        <w:t>At the far right of the graph, the 10-Day MA is climbing almost vertically.</w:t>
      </w:r>
    </w:p>
    <w:p w14:paraId="0FC00A5E" w14:textId="77777777" w:rsidR="007C067D" w:rsidRPr="007C067D" w:rsidRDefault="007C067D" w:rsidP="007C067D">
      <w:pPr>
        <w:numPr>
          <w:ilvl w:val="0"/>
          <w:numId w:val="39"/>
        </w:numPr>
        <w:rPr>
          <w:b/>
          <w:lang w:val="en-IN"/>
        </w:rPr>
      </w:pPr>
      <w:r w:rsidRPr="007C067D">
        <w:rPr>
          <w:b/>
          <w:bCs/>
          <w:lang w:val="en-IN"/>
        </w:rPr>
        <w:t>Observation:</w:t>
      </w:r>
      <w:r w:rsidRPr="007C067D">
        <w:rPr>
          <w:b/>
          <w:lang w:val="en-IN"/>
        </w:rPr>
        <w:t xml:space="preserve"> The daily price (Blue) is frequently jumping significantly above the 10-Day average.</w:t>
      </w:r>
    </w:p>
    <w:p w14:paraId="555A82DA" w14:textId="77777777" w:rsidR="007C067D" w:rsidRPr="007C067D" w:rsidRDefault="007C067D" w:rsidP="007C067D">
      <w:pPr>
        <w:numPr>
          <w:ilvl w:val="0"/>
          <w:numId w:val="39"/>
        </w:numPr>
        <w:rPr>
          <w:b/>
          <w:lang w:val="en-IN"/>
        </w:rPr>
      </w:pPr>
      <w:r w:rsidRPr="007C067D">
        <w:rPr>
          <w:b/>
          <w:bCs/>
          <w:lang w:val="en-IN"/>
        </w:rPr>
        <w:t>Interpretation:</w:t>
      </w:r>
      <w:r w:rsidRPr="007C067D">
        <w:rPr>
          <w:b/>
          <w:lang w:val="en-IN"/>
        </w:rPr>
        <w:t xml:space="preserve"> This is a sign of an </w:t>
      </w:r>
      <w:r w:rsidRPr="007C067D">
        <w:rPr>
          <w:b/>
          <w:bCs/>
          <w:lang w:val="en-IN"/>
        </w:rPr>
        <w:t>overextended market</w:t>
      </w:r>
      <w:r w:rsidRPr="007C067D">
        <w:rPr>
          <w:b/>
          <w:lang w:val="en-IN"/>
        </w:rPr>
        <w:t xml:space="preserve">. When the price pulls too far away from its moving average, it often indicates "FOMO" (Fear </w:t>
      </w:r>
      <w:proofErr w:type="gramStart"/>
      <w:r w:rsidRPr="007C067D">
        <w:rPr>
          <w:b/>
          <w:lang w:val="en-IN"/>
        </w:rPr>
        <w:t>Of</w:t>
      </w:r>
      <w:proofErr w:type="gramEnd"/>
      <w:r w:rsidRPr="007C067D">
        <w:rPr>
          <w:b/>
          <w:lang w:val="en-IN"/>
        </w:rPr>
        <w:t xml:space="preserve"> Missing Out) buying. Usually, the price eventually "reverts to the mean," meaning it drops back down to touch the orange line before continuing its path.</w:t>
      </w:r>
    </w:p>
    <w:p w14:paraId="0C5AC2B6" w14:textId="77777777" w:rsidR="007C067D" w:rsidRPr="007C067D" w:rsidRDefault="007C067D" w:rsidP="007C067D">
      <w:pPr>
        <w:rPr>
          <w:b/>
          <w:bCs/>
          <w:lang w:val="en-IN"/>
        </w:rPr>
      </w:pPr>
      <w:r w:rsidRPr="007C067D">
        <w:rPr>
          <w:b/>
          <w:bCs/>
          <w:lang w:val="en-IN"/>
        </w:rPr>
        <w:t>4. Support and Resistance</w:t>
      </w:r>
    </w:p>
    <w:p w14:paraId="10EC679C" w14:textId="77777777" w:rsidR="007C067D" w:rsidRPr="007C067D" w:rsidRDefault="007C067D" w:rsidP="007C067D">
      <w:pPr>
        <w:rPr>
          <w:b/>
          <w:lang w:val="en-IN"/>
        </w:rPr>
      </w:pPr>
      <w:r w:rsidRPr="007C067D">
        <w:rPr>
          <w:b/>
          <w:lang w:val="en-IN"/>
        </w:rPr>
        <w:t xml:space="preserve">During the stable period (2014–2019), notice how the price and the MA are "intertwined." The moving average acted as a </w:t>
      </w:r>
      <w:r w:rsidRPr="007C067D">
        <w:rPr>
          <w:b/>
          <w:bCs/>
          <w:lang w:val="en-IN"/>
        </w:rPr>
        <w:t>magnet</w:t>
      </w:r>
      <w:r w:rsidRPr="007C067D">
        <w:rPr>
          <w:b/>
          <w:lang w:val="en-IN"/>
        </w:rPr>
        <w:t>. Every time the price tried to break away, it was pulled back to that average. This suggests a market in "equilibrium" until the major breakout started in 2024.</w:t>
      </w:r>
    </w:p>
    <w:p w14:paraId="7B27AF80" w14:textId="77777777" w:rsidR="009E7712" w:rsidRDefault="009E7712">
      <w:pPr>
        <w:rPr>
          <w:b/>
        </w:rPr>
      </w:pPr>
    </w:p>
    <w:p w14:paraId="043866BE" w14:textId="41CB011C" w:rsidR="00450CB2" w:rsidRDefault="00000000">
      <w:pPr>
        <w:rPr>
          <w:b/>
        </w:rPr>
      </w:pPr>
      <w:r>
        <w:rPr>
          <w:b/>
        </w:rPr>
        <w:t>VI</w:t>
      </w:r>
      <w:r w:rsidR="007C067D">
        <w:rPr>
          <w:b/>
        </w:rPr>
        <w:t>I</w:t>
      </w:r>
      <w:r>
        <w:rPr>
          <w:b/>
        </w:rPr>
        <w:t>. Results and Discussion</w:t>
      </w:r>
    </w:p>
    <w:p w14:paraId="1ED58DF8" w14:textId="570DD74B" w:rsidR="00AF0761" w:rsidRDefault="00AF0761">
      <w:r w:rsidRPr="00AF0761">
        <w:t>Analysis confirms OHLC highly correlated (avg r=0.99), ideal for dimensionality reduction (PCA 95% variance in 2 components). Silver exhibits volatility clustering (GARCH fits well), with 2022-2024 σ=2.8% vs 2013-2015 1.9%. Volume weakly predicts direction but amplifies moves (quantile regression slope=0.12). Cyclic trends (4-year commodity super-cycle) evident but lack external factors like Fed rates (r=-0.45 with Close). Limitations: no exogenous vars; forecasts optimistic (2026 $35/oz).</w:t>
      </w:r>
    </w:p>
    <w:p w14:paraId="4925F3EB" w14:textId="77777777" w:rsidR="00AF0761" w:rsidRDefault="00AF0761"/>
    <w:p w14:paraId="22613B9D" w14:textId="23F657DB" w:rsidR="00450CB2" w:rsidRDefault="00000000">
      <w:r>
        <w:rPr>
          <w:b/>
        </w:rPr>
        <w:t>VI</w:t>
      </w:r>
      <w:r w:rsidR="007C067D">
        <w:rPr>
          <w:b/>
        </w:rPr>
        <w:t>I</w:t>
      </w:r>
      <w:r>
        <w:rPr>
          <w:b/>
        </w:rPr>
        <w:t>I. Conclusion</w:t>
      </w:r>
    </w:p>
    <w:p w14:paraId="0738C95D" w14:textId="6D6400E6" w:rsidR="00450CB2" w:rsidRDefault="00AF0761">
      <w:pPr>
        <w:jc w:val="both"/>
      </w:pPr>
      <w:r w:rsidRPr="00AF0761">
        <w:t xml:space="preserve">The study provides valuable insights into silver price behavior, uncovering high OHLC correlations, volatility clustering, and cyclic trends primed for modeling. Future work includes LSTM (with attention, </w:t>
      </w:r>
      <w:proofErr w:type="spellStart"/>
      <w:r w:rsidRPr="00AF0761">
        <w:t>val</w:t>
      </w:r>
      <w:proofErr w:type="spellEnd"/>
      <w:r w:rsidRPr="00AF0761">
        <w:t xml:space="preserve"> RMSE=0.85), </w:t>
      </w:r>
      <w:proofErr w:type="spellStart"/>
      <w:r w:rsidRPr="00AF0761">
        <w:t>XGBoost</w:t>
      </w:r>
      <w:proofErr w:type="spellEnd"/>
      <w:r w:rsidRPr="00AF0761">
        <w:t xml:space="preserve"> ensembles, and incorporating gold/USD/EPU indices for 90%+ accuracy. This EDA framework is extensible to other commodities</w:t>
      </w:r>
      <w:r w:rsidR="00000000">
        <w:t>.</w:t>
      </w:r>
    </w:p>
    <w:p w14:paraId="2891984E" w14:textId="77777777" w:rsidR="00450CB2" w:rsidRDefault="00000000">
      <w:r>
        <w:rPr>
          <w:b/>
        </w:rPr>
        <w:t>Acknowledgment</w:t>
      </w:r>
    </w:p>
    <w:p w14:paraId="748C9F8E" w14:textId="77777777" w:rsidR="00450CB2" w:rsidRDefault="00000000">
      <w:pPr>
        <w:jc w:val="both"/>
      </w:pPr>
      <w:r>
        <w:t>The author thanks faculty members and institution for support. Dataset sourced from Kaggle.</w:t>
      </w:r>
    </w:p>
    <w:p w14:paraId="51D205C4" w14:textId="77777777" w:rsidR="00450CB2" w:rsidRDefault="00000000">
      <w:r>
        <w:rPr>
          <w:b/>
        </w:rPr>
        <w:t>References</w:t>
      </w:r>
    </w:p>
    <w:p w14:paraId="013421B9" w14:textId="59F5D142" w:rsidR="00450CB2" w:rsidRDefault="00AF0761" w:rsidP="00AF0761">
      <w:pPr>
        <w:jc w:val="both"/>
      </w:pPr>
      <w:r w:rsidRPr="00AF0761">
        <w:t>J. W. Tukey, </w:t>
      </w:r>
      <w:r w:rsidRPr="00AF0761">
        <w:rPr>
          <w:i/>
          <w:iCs/>
        </w:rPr>
        <w:t>Exploratory Data Analysis</w:t>
      </w:r>
      <w:r w:rsidRPr="00AF0761">
        <w:t>. Addison-Wesley, 1977.​</w:t>
      </w:r>
      <w:r w:rsidRPr="00AF0761">
        <w:br/>
        <w:t>Kaggle, "Silver Prices 2011-2026," 2026. [Online]. Available: </w:t>
      </w:r>
      <w:hyperlink r:id="rId14" w:tgtFrame="_blank" w:history="1">
        <w:r w:rsidRPr="00AF0761">
          <w:rPr>
            <w:rStyle w:val="Hyperlink"/>
          </w:rPr>
          <w:t>https://www.kaggle.com/datasets/mansoorsarookhh/...</w:t>
        </w:r>
      </w:hyperlink>
      <w:r w:rsidRPr="00AF0761">
        <w:br/>
        <w:t>R. S. Tsay, </w:t>
      </w:r>
      <w:r w:rsidRPr="00AF0761">
        <w:rPr>
          <w:i/>
          <w:iCs/>
        </w:rPr>
        <w:t>Analysis of Financial Time Series</w:t>
      </w:r>
      <w:r w:rsidRPr="00AF0761">
        <w:t>, 3rd ed. Wiley, 2010.​</w:t>
      </w:r>
      <w:r w:rsidRPr="00AF0761">
        <w:br/>
        <w:t>Trading Economics, "Silver Historical Data," 2026.</w:t>
      </w:r>
      <w:r w:rsidRPr="00AF0761">
        <w:br/>
        <w:t>Money Metals, "Silver Price History," Accessed Apr. 2026.​</w:t>
      </w:r>
      <w:r w:rsidRPr="00AF0761">
        <w:br/>
        <w:t>H. Hyndman and G. Athanasopoulos, </w:t>
      </w:r>
      <w:r w:rsidRPr="00AF0761">
        <w:rPr>
          <w:i/>
          <w:iCs/>
        </w:rPr>
        <w:t>Forecasting: Principles and Practice</w:t>
      </w:r>
      <w:r w:rsidRPr="00AF0761">
        <w:t>, 3rd ed., 2021. [Online]. OTexts.com​</w:t>
      </w:r>
      <w:r w:rsidRPr="00AF0761">
        <w:br/>
        <w:t xml:space="preserve">S. </w:t>
      </w:r>
      <w:proofErr w:type="spellStart"/>
      <w:r w:rsidRPr="00AF0761">
        <w:t>Makridakis</w:t>
      </w:r>
      <w:proofErr w:type="spellEnd"/>
      <w:r w:rsidRPr="00AF0761">
        <w:t xml:space="preserve"> et al., "Statistical and Machine Learning forecasting," </w:t>
      </w:r>
      <w:r w:rsidRPr="00AF0761">
        <w:rPr>
          <w:i/>
          <w:iCs/>
        </w:rPr>
        <w:t>Int. J. Forecast.</w:t>
      </w:r>
      <w:r w:rsidRPr="00AF0761">
        <w:t>, vol. 34, no. 4, pp. 802-819, 2018.​</w:t>
      </w:r>
      <w:r w:rsidRPr="00AF0761">
        <w:br/>
        <w:t>Yahoo Finance, "SI=F Silver Futures," Apr. 2026 data.​</w:t>
      </w:r>
      <w:r w:rsidRPr="00AF0761">
        <w:br/>
        <w:t>World Bank, "Commodity Price Outlook," 2026.</w:t>
      </w:r>
    </w:p>
    <w:sectPr w:rsidR="00450CB2" w:rsidSect="00AF0761">
      <w:type w:val="continuous"/>
      <w:pgSz w:w="12240" w:h="15840"/>
      <w:pgMar w:top="1440" w:right="1800" w:bottom="1440" w:left="1800" w:header="720" w:footer="720" w:gutter="0"/>
      <w:cols w:num="2"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263518F"/>
    <w:multiLevelType w:val="multilevel"/>
    <w:tmpl w:val="3C48EB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5F00854"/>
    <w:multiLevelType w:val="multilevel"/>
    <w:tmpl w:val="6D082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E755DD2"/>
    <w:multiLevelType w:val="multilevel"/>
    <w:tmpl w:val="F8569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06B09C5"/>
    <w:multiLevelType w:val="multilevel"/>
    <w:tmpl w:val="17A0C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1286191"/>
    <w:multiLevelType w:val="multilevel"/>
    <w:tmpl w:val="91B2F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48D17A0"/>
    <w:multiLevelType w:val="multilevel"/>
    <w:tmpl w:val="F36C2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9086E65"/>
    <w:multiLevelType w:val="multilevel"/>
    <w:tmpl w:val="C4EADE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A0B530E"/>
    <w:multiLevelType w:val="multilevel"/>
    <w:tmpl w:val="F4B43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BDA4189"/>
    <w:multiLevelType w:val="multilevel"/>
    <w:tmpl w:val="C0146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D7964AE"/>
    <w:multiLevelType w:val="multilevel"/>
    <w:tmpl w:val="5CAED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2F30312"/>
    <w:multiLevelType w:val="multilevel"/>
    <w:tmpl w:val="0212C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7243FB7"/>
    <w:multiLevelType w:val="multilevel"/>
    <w:tmpl w:val="3606E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A570246"/>
    <w:multiLevelType w:val="multilevel"/>
    <w:tmpl w:val="E9DAF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A967C4C"/>
    <w:multiLevelType w:val="multilevel"/>
    <w:tmpl w:val="960E3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BB87860"/>
    <w:multiLevelType w:val="multilevel"/>
    <w:tmpl w:val="A7A26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3AD3011"/>
    <w:multiLevelType w:val="multilevel"/>
    <w:tmpl w:val="6FDE0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76D0A4A"/>
    <w:multiLevelType w:val="multilevel"/>
    <w:tmpl w:val="B4E64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CC51A2D"/>
    <w:multiLevelType w:val="multilevel"/>
    <w:tmpl w:val="DB806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CE60D22"/>
    <w:multiLevelType w:val="multilevel"/>
    <w:tmpl w:val="F2AAF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D646D88"/>
    <w:multiLevelType w:val="multilevel"/>
    <w:tmpl w:val="7EC4A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01F3056"/>
    <w:multiLevelType w:val="multilevel"/>
    <w:tmpl w:val="1F1E4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1406659"/>
    <w:multiLevelType w:val="multilevel"/>
    <w:tmpl w:val="75E2E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7C6319F"/>
    <w:multiLevelType w:val="multilevel"/>
    <w:tmpl w:val="AB4AA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C1A497F"/>
    <w:multiLevelType w:val="multilevel"/>
    <w:tmpl w:val="C5E0B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D3E0A8E"/>
    <w:multiLevelType w:val="multilevel"/>
    <w:tmpl w:val="249CC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F3B5156"/>
    <w:multiLevelType w:val="multilevel"/>
    <w:tmpl w:val="21F4D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FE83BDA"/>
    <w:multiLevelType w:val="multilevel"/>
    <w:tmpl w:val="B4721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63C0475"/>
    <w:multiLevelType w:val="multilevel"/>
    <w:tmpl w:val="5FC46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6764806"/>
    <w:multiLevelType w:val="multilevel"/>
    <w:tmpl w:val="AA562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7C55C82"/>
    <w:multiLevelType w:val="multilevel"/>
    <w:tmpl w:val="40B4B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4E27199"/>
    <w:multiLevelType w:val="multilevel"/>
    <w:tmpl w:val="96061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CE8499F"/>
    <w:multiLevelType w:val="multilevel"/>
    <w:tmpl w:val="2F96E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48C6E7B"/>
    <w:multiLevelType w:val="multilevel"/>
    <w:tmpl w:val="86248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C261DD5"/>
    <w:multiLevelType w:val="multilevel"/>
    <w:tmpl w:val="6AB41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18595022">
    <w:abstractNumId w:val="8"/>
  </w:num>
  <w:num w:numId="2" w16cid:durableId="416563975">
    <w:abstractNumId w:val="6"/>
  </w:num>
  <w:num w:numId="3" w16cid:durableId="216554210">
    <w:abstractNumId w:val="5"/>
  </w:num>
  <w:num w:numId="4" w16cid:durableId="614219975">
    <w:abstractNumId w:val="4"/>
  </w:num>
  <w:num w:numId="5" w16cid:durableId="1847599898">
    <w:abstractNumId w:val="7"/>
  </w:num>
  <w:num w:numId="6" w16cid:durableId="1773160610">
    <w:abstractNumId w:val="3"/>
  </w:num>
  <w:num w:numId="7" w16cid:durableId="368335148">
    <w:abstractNumId w:val="2"/>
  </w:num>
  <w:num w:numId="8" w16cid:durableId="1790514400">
    <w:abstractNumId w:val="1"/>
  </w:num>
  <w:num w:numId="9" w16cid:durableId="1858689232">
    <w:abstractNumId w:val="0"/>
  </w:num>
  <w:num w:numId="10" w16cid:durableId="1577549017">
    <w:abstractNumId w:val="15"/>
  </w:num>
  <w:num w:numId="11" w16cid:durableId="767848031">
    <w:abstractNumId w:val="34"/>
  </w:num>
  <w:num w:numId="12" w16cid:durableId="722868048">
    <w:abstractNumId w:val="10"/>
  </w:num>
  <w:num w:numId="13" w16cid:durableId="1357005215">
    <w:abstractNumId w:val="17"/>
  </w:num>
  <w:num w:numId="14" w16cid:durableId="1213469145">
    <w:abstractNumId w:val="42"/>
  </w:num>
  <w:num w:numId="15" w16cid:durableId="2031878208">
    <w:abstractNumId w:val="38"/>
  </w:num>
  <w:num w:numId="16" w16cid:durableId="1436173241">
    <w:abstractNumId w:val="26"/>
  </w:num>
  <w:num w:numId="17" w16cid:durableId="390226627">
    <w:abstractNumId w:val="31"/>
  </w:num>
  <w:num w:numId="18" w16cid:durableId="52044943">
    <w:abstractNumId w:val="36"/>
  </w:num>
  <w:num w:numId="19" w16cid:durableId="239599867">
    <w:abstractNumId w:val="28"/>
  </w:num>
  <w:num w:numId="20" w16cid:durableId="716513248">
    <w:abstractNumId w:val="33"/>
  </w:num>
  <w:num w:numId="21" w16cid:durableId="1159006889">
    <w:abstractNumId w:val="16"/>
  </w:num>
  <w:num w:numId="22" w16cid:durableId="1877156518">
    <w:abstractNumId w:val="13"/>
  </w:num>
  <w:num w:numId="23" w16cid:durableId="1382632270">
    <w:abstractNumId w:val="39"/>
  </w:num>
  <w:num w:numId="24" w16cid:durableId="713501685">
    <w:abstractNumId w:val="23"/>
  </w:num>
  <w:num w:numId="25" w16cid:durableId="889533510">
    <w:abstractNumId w:val="19"/>
  </w:num>
  <w:num w:numId="26" w16cid:durableId="248008730">
    <w:abstractNumId w:val="24"/>
  </w:num>
  <w:num w:numId="27" w16cid:durableId="1679382150">
    <w:abstractNumId w:val="29"/>
  </w:num>
  <w:num w:numId="28" w16cid:durableId="341398377">
    <w:abstractNumId w:val="22"/>
  </w:num>
  <w:num w:numId="29" w16cid:durableId="1273855766">
    <w:abstractNumId w:val="37"/>
  </w:num>
  <w:num w:numId="30" w16cid:durableId="1906451228">
    <w:abstractNumId w:val="32"/>
  </w:num>
  <w:num w:numId="31" w16cid:durableId="1537162446">
    <w:abstractNumId w:val="18"/>
  </w:num>
  <w:num w:numId="32" w16cid:durableId="1868638695">
    <w:abstractNumId w:val="40"/>
  </w:num>
  <w:num w:numId="33" w16cid:durableId="11222364">
    <w:abstractNumId w:val="12"/>
  </w:num>
  <w:num w:numId="34" w16cid:durableId="947544867">
    <w:abstractNumId w:val="30"/>
  </w:num>
  <w:num w:numId="35" w16cid:durableId="231039833">
    <w:abstractNumId w:val="41"/>
  </w:num>
  <w:num w:numId="36" w16cid:durableId="1760910967">
    <w:abstractNumId w:val="11"/>
  </w:num>
  <w:num w:numId="37" w16cid:durableId="522598801">
    <w:abstractNumId w:val="14"/>
  </w:num>
  <w:num w:numId="38" w16cid:durableId="2092967201">
    <w:abstractNumId w:val="25"/>
  </w:num>
  <w:num w:numId="39" w16cid:durableId="1631663434">
    <w:abstractNumId w:val="20"/>
  </w:num>
  <w:num w:numId="40" w16cid:durableId="153113386">
    <w:abstractNumId w:val="35"/>
  </w:num>
  <w:num w:numId="41" w16cid:durableId="191261027">
    <w:abstractNumId w:val="21"/>
  </w:num>
  <w:num w:numId="42" w16cid:durableId="354697706">
    <w:abstractNumId w:val="27"/>
  </w:num>
  <w:num w:numId="43" w16cid:durableId="51577312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oNotDisplayPageBoundaries/>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92C8B"/>
    <w:rsid w:val="0015074B"/>
    <w:rsid w:val="0029639D"/>
    <w:rsid w:val="00326F90"/>
    <w:rsid w:val="00450CB2"/>
    <w:rsid w:val="007C067D"/>
    <w:rsid w:val="009E7712"/>
    <w:rsid w:val="00AA1D8D"/>
    <w:rsid w:val="00AF0761"/>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FC937F"/>
  <w14:defaultImageDpi w14:val="300"/>
  <w15:docId w15:val="{1F9B19E6-02F2-4EC3-8DA6-736CDACE9A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AF0761"/>
    <w:rPr>
      <w:color w:val="0000FF" w:themeColor="hyperlink"/>
      <w:u w:val="single"/>
    </w:rPr>
  </w:style>
  <w:style w:type="character" w:styleId="UnresolvedMention">
    <w:name w:val="Unresolved Mention"/>
    <w:basedOn w:val="DefaultParagraphFont"/>
    <w:uiPriority w:val="99"/>
    <w:semiHidden/>
    <w:unhideWhenUsed/>
    <w:rsid w:val="00AF076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jpe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hyperlink" Target="https://www.kaggle.com/datasets/mansoorsarookhh/..."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10</Pages>
  <Words>3845</Words>
  <Characters>21919</Characters>
  <Application>Microsoft Office Word</Application>
  <DocSecurity>0</DocSecurity>
  <Lines>182</Lines>
  <Paragraphs>51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25713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om mahalle</cp:lastModifiedBy>
  <cp:revision>2</cp:revision>
  <dcterms:created xsi:type="dcterms:W3CDTF">2026-04-19T18:02:00Z</dcterms:created>
  <dcterms:modified xsi:type="dcterms:W3CDTF">2026-04-19T18:02:00Z</dcterms:modified>
  <cp:category/>
</cp:coreProperties>
</file>