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3864"/>
          <w:sz w:val="30"/>
        </w:rPr>
        <w:t>Black Box Ltd (BBOX IN) — Initiation of Coverage</w:t>
      </w:r>
    </w:p>
    <w:p>
      <w:pPr>
        <w:spacing w:after="120"/>
      </w:pPr>
      <w:r>
        <w:rPr>
          <w:rFonts w:ascii="Calibri" w:hAnsi="Calibri"/>
          <w:i/>
          <w:color w:val="404040"/>
          <w:sz w:val="18"/>
        </w:rPr>
        <w:t>Digital Infrastructure / Enterprise Networking &amp; Systems Integration  |  Buy-side investment memorandum  |  13 Aug 2026</w:t>
      </w:r>
    </w:p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1.  Investment Recommendation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fill="EAEEF5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20"/>
              </w:rPr>
              <w:t>Recommendation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20"/>
              </w:rPr>
              <w:t>AVOID (own the watch-list, not the stock)</w:t>
            </w:r>
          </w:p>
        </w:tc>
        <w:tc>
          <w:tcPr>
            <w:tcW w:type="dxa" w:w="2304"/>
            <w:shd w:val="clear" w:fill="EAEEF5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20"/>
              </w:rPr>
              <w:t>Current price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20"/>
              </w:rPr>
              <w:t>INR 830</w:t>
            </w:r>
          </w:p>
        </w:tc>
      </w:tr>
      <w:tr>
        <w:tc>
          <w:tcPr>
            <w:tcW w:type="dxa" w:w="2304"/>
            <w:shd w:val="clear" w:fill="EAEEF5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20"/>
              </w:rPr>
              <w:t>Fair value (blended)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20"/>
              </w:rPr>
              <w:t>~INR 500</w:t>
            </w:r>
          </w:p>
        </w:tc>
        <w:tc>
          <w:tcPr>
            <w:tcW w:type="dxa" w:w="2304"/>
            <w:shd w:val="clear" w:fill="EAEEF5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20"/>
              </w:rPr>
              <w:t>Downside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20"/>
              </w:rPr>
              <w:t>~40%</w:t>
            </w:r>
          </w:p>
        </w:tc>
      </w:tr>
      <w:tr>
        <w:tc>
          <w:tcPr>
            <w:tcW w:type="dxa" w:w="2304"/>
            <w:shd w:val="clear" w:fill="EAEEF5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20"/>
              </w:rPr>
              <w:t>DCF / Relative / EV-EBITDA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20"/>
              </w:rPr>
              <w:t>INR 551 / 474 / 458</w:t>
            </w:r>
          </w:p>
        </w:tc>
        <w:tc>
          <w:tcPr>
            <w:tcW w:type="dxa" w:w="2304"/>
            <w:shd w:val="clear" w:fill="EAEEF5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20"/>
              </w:rPr>
              <w:t>Horizon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sz w:val="20"/>
              </w:rPr>
              <w:t>12-24 months</w:t>
            </w:r>
          </w:p>
        </w:tc>
      </w:tr>
    </w:tbl>
    <w:p>
      <w:pPr>
        <w:spacing w:after="100" w:line="240" w:lineRule="auto"/>
      </w:pPr>
      <w:r>
        <w:rPr>
          <w:rFonts w:ascii="Calibri" w:hAnsi="Calibri"/>
          <w:b/>
          <w:sz w:val="22"/>
        </w:rPr>
        <w:t xml:space="preserve">One-line thesis:  </w:t>
      </w:r>
      <w:r>
        <w:rPr>
          <w:rFonts w:ascii="Calibri" w:hAnsi="Calibri"/>
          <w:b w:val="0"/>
          <w:sz w:val="22"/>
        </w:rPr>
        <w:t>A genuinely repaired, blue-chip-anchored infrastructure integrator riding the AI/data-centre capex wave — but priced at ~45x FY27E earnings against ~9% EBITDA-margin, no-pricing-power, weak-cash-conversion economics and a ~26x economic-peer multiple, so the current price discounts near-flawless execution with no margin of safety.</w:t>
      </w:r>
    </w:p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2.  Investment Thesis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What the market believes.  </w:t>
      </w:r>
      <w:r>
        <w:rPr>
          <w:rFonts w:ascii="Calibri" w:hAnsi="Calibri"/>
          <w:b w:val="0"/>
          <w:sz w:val="22"/>
        </w:rPr>
        <w:t>BBOX is treated as a de-risked Indian proxy for the AI/data-centre build-out, capable of compounding to a US$2bn revenue ambition by FY30. The market extrapolates the FY23–26 margin doubling (EBITDA 4.3% → 9.0%) and the backlog surge (US$470mn → US$949mn) into a premium growth multiple, and reads the "Mag-7" hyperscaler wins as evidence of a durable, high-return franchise.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What my research concludes.  </w:t>
      </w:r>
      <w:r>
        <w:rPr>
          <w:rFonts w:ascii="Calibri" w:hAnsi="Calibri"/>
          <w:b w:val="0"/>
          <w:sz w:val="22"/>
        </w:rPr>
        <w:t>The turnaround is real, but the business is a labour-and-cabling deployment contractor, not an AI beneficiary in the way the multiple implies. It sells fibre, cabling, networking and deployment — not compute — and management concedes hyperscaler work is won on technical/safety merit, "financial parameters almost the same for everybody" (Q3 FY26): i.e., no pricing power. Revenue was flat at ~INR 6,000cr for four years (FY22 5,370 → FY26 6,322), so organic growth is unproven over a cycle, and FY26 showed backlog converts slowly and is hostage to third-party fibre/GPU/power supply. Reported profit is flattered by a ~9% NOL-shielded tax rate and 7+ quarters of "exceptional" charges. The US$2bn/FY30 target already slipped from FY29 and leans on ~INR 6,000cr of unproven serial M&amp;A.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Why this is a limited opportunity.  </w:t>
      </w:r>
      <w:r>
        <w:rPr>
          <w:rFonts w:ascii="Calibri" w:hAnsi="Calibri"/>
          <w:b w:val="0"/>
          <w:sz w:val="22"/>
        </w:rPr>
        <w:t>The mispricing sits in the multiple, not the business, and closes through de-rating rather than deterioration. Downside to fair value is ~40%; the upside case requires out-executing repeatedly-missed guidance. For a value mandate there is no asymmetry to underwrite today.</w:t>
      </w:r>
    </w:p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3.  Business Quality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Why it earns money — and the one genuine asset:  </w:t>
      </w:r>
      <w:r>
        <w:rPr>
          <w:rFonts w:ascii="Calibri" w:hAnsi="Calibri"/>
          <w:b w:val="0"/>
          <w:sz w:val="22"/>
        </w:rPr>
        <w:t>the customer franchise. 120+ Fortune-500 clients, top-10 ≈ 51% of revenue with &gt;20-year tenures, Bank of America the largest. On mission-critical estates (banks, airports, hospitals) switching costs and downtime risk are real, underwriting a revenue floor and a recurring/managed-services base (&gt;30% of revenue). This is what a turnaround buyer paid ~US$17mn for in 2019.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The economics that cap value:  </w:t>
      </w:r>
      <w:r>
        <w:rPr>
          <w:rFonts w:ascii="Calibri" w:hAnsi="Calibri"/>
          <w:b w:val="0"/>
          <w:sz w:val="22"/>
        </w:rPr>
        <w:t>~30.5% gross margin with heavy hardware pass-through, ~9% EBITDA on a ~INR 310–320cr/quarter fixed-cost base (operating leverage cuts both ways), and no pricing power. Asset-light but working-capital-heavy — growth consumes ~0.2–0.3x of incremental revenue. Concentration is high (top-10 51%, North America 69%) and project revenue is re-bid. A solid mid-tier integrator, not a moat business.</w:t>
      </w:r>
    </w:p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4.  Financial Analysis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Growth is not yet proven.  </w:t>
      </w:r>
      <w:r>
        <w:rPr>
          <w:rFonts w:ascii="Calibri" w:hAnsi="Calibri"/>
          <w:b w:val="0"/>
          <w:sz w:val="22"/>
        </w:rPr>
        <w:t xml:space="preserve">Revenue went INR 6,282cr (FY24) → 5,967cr (FY25) → 6,322cr (FY26) — deliberate pruning of low-value accounts plus slow conversion. </w:t>
      </w:r>
      <w:r>
        <w:rPr>
          <w:rFonts w:ascii="Calibri" w:hAnsi="Calibri"/>
          <w:b/>
          <w:sz w:val="22"/>
        </w:rPr>
        <w:t xml:space="preserve">Margins are the real achievement:  </w:t>
      </w:r>
      <w:r>
        <w:rPr>
          <w:rFonts w:ascii="Calibri" w:hAnsi="Calibri"/>
          <w:b w:val="0"/>
          <w:sz w:val="22"/>
        </w:rPr>
        <w:t xml:space="preserve">EBITDA 4.3% (FY23) → 9.0% (FY26), driven by cost restructuring, offshoring (~20% of delivery) and mix — largely structural. </w:t>
      </w:r>
      <w:r>
        <w:rPr>
          <w:rFonts w:ascii="Calibri" w:hAnsi="Calibri"/>
          <w:b/>
          <w:sz w:val="22"/>
        </w:rPr>
        <w:t xml:space="preserve">Cash conversion is the tell:  </w:t>
      </w:r>
      <w:r>
        <w:rPr>
          <w:rFonts w:ascii="Calibri" w:hAnsi="Calibri"/>
          <w:b w:val="0"/>
          <w:sz w:val="22"/>
        </w:rPr>
        <w:t xml:space="preserve">operating cash flow was –INR 88cr (FY25) then +INR 84cr (FY26), and receivables spiked to INR 1,153cr (DSO ~67 days vs ~35 in FY25). </w:t>
      </w:r>
      <w:r>
        <w:rPr>
          <w:rFonts w:ascii="Calibri" w:hAnsi="Calibri"/>
          <w:b/>
          <w:sz w:val="22"/>
        </w:rPr>
        <w:t xml:space="preserve">Returns flatter to deceive:  </w:t>
      </w:r>
      <w:r>
        <w:rPr>
          <w:rFonts w:ascii="Calibri" w:hAnsi="Calibri"/>
          <w:b w:val="0"/>
          <w:sz w:val="22"/>
        </w:rPr>
        <w:t>ROCE in the low-30s% and PAT +49% in FY25 (to INR 205cr) reflect an asset-light, WC-financed model and a low tax rate, not a widening moat; ROE fell to ~21% in FY26 after the INR 386cr promoter-linked preferential raise. The balance sheet is fine (net debt ~INR 287cr).</w:t>
      </w:r>
    </w:p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5.  Valuation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DCF (intrinsic anchor).  </w:t>
      </w:r>
      <w:r>
        <w:rPr>
          <w:rFonts w:ascii="Calibri" w:hAnsi="Calibri"/>
          <w:b w:val="0"/>
          <w:sz w:val="22"/>
        </w:rPr>
        <w:t>WACC 13.9% (Rf 6.8%, ERP 7.0%, beta 1.10 for a small-cap, promoter-controlled, cyclical name), terminal growth 5%, mid-year → ~INR 551. Even the most generous corner tested (12% WACC / 6% g) yields ~INR 807, and terminal value is ~67% of EV — value depends on assumptions, not the current run-rate.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Relative.  </w:t>
      </w:r>
      <w:r>
        <w:rPr>
          <w:rFonts w:ascii="Calibri" w:hAnsi="Calibri"/>
          <w:b w:val="0"/>
          <w:sz w:val="22"/>
        </w:rPr>
        <w:t>On a peer set chosen by economics — WESCO, Kyndryl, Redington (integration/distribution) and Tata Communications, Mastek, Happiest Minds (Indian tech/infra) — the median is ~26x P/E and ~9x EV/EBITDA; BBOX trades ~45x FY27E and ~65x trailing. A base 26x on FY27E EPS (~INR 18) gives ~INR 474. BBOX’s 9% EBITDA margin sits well below the software peers’ 18–22% and its growth is partly M&amp;A/tax-driven, so it warrants a discount to high-quality IT services, not a 70–90% premium.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Blend &amp; margin of safety.  </w:t>
      </w:r>
      <w:r>
        <w:rPr>
          <w:rFonts w:ascii="Calibri" w:hAnsi="Calibri"/>
          <w:b w:val="0"/>
          <w:sz w:val="22"/>
        </w:rPr>
        <w:t>DCF 40% / Relative 40% / EV-EBITDA (12x) 20% → ~INR 500, ~40% downside; margin of safety: none. The assumptions that matter most are organic revenue growth, sustainable EBITDA margin, the tax-normalisation path (to ~25%), and the exit multiple.</w:t>
      </w:r>
    </w:p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6.  Risks (ranked; these largely support the thesis)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Monitor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19"/>
              </w:rPr>
              <w:t>Valuation de-rating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Fwd P/E vs peers (~26x)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19"/>
              </w:rPr>
              <w:t>Growth / guidance delivery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Med-High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Bookings run-rate (&gt;US$350mn/qtr)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19"/>
              </w:rPr>
              <w:t>Working capital / FCF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Med-High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DSO; CFO/PAT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19"/>
              </w:rPr>
              <w:t>Governance / promoter (Essar-Ruia ~70%)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RPTs; issuance terms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19"/>
              </w:rPr>
              <w:t>Customer concentration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Low-Med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Top-10 &amp; BoA share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sz w:val="19"/>
              </w:rPr>
              <w:t>Tax normalisation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alibri" w:hAnsi="Calibri"/>
                <w:sz w:val="19"/>
              </w:rPr>
              <w:t>Effective tax vs 25%</w:t>
            </w:r>
          </w:p>
        </w:tc>
      </w:tr>
    </w:tbl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7.  Key Catalysts (value-changing, both directions)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Negative / thesis-confirming:  </w:t>
      </w:r>
      <w:r>
        <w:rPr>
          <w:rFonts w:ascii="Calibri" w:hAnsi="Calibri"/>
          <w:b w:val="0"/>
          <w:sz w:val="22"/>
        </w:rPr>
        <w:t xml:space="preserve">another guidance cut; AI-capex digestion; a working-capital blow-out or dilutive raise. </w:t>
      </w:r>
      <w:r>
        <w:rPr>
          <w:rFonts w:ascii="Calibri" w:hAnsi="Calibri"/>
          <w:b/>
          <w:sz w:val="22"/>
        </w:rPr>
        <w:t xml:space="preserve">Positive / thesis-invalidating:  </w:t>
      </w:r>
      <w:r>
        <w:rPr>
          <w:rFonts w:ascii="Calibri" w:hAnsi="Calibri"/>
          <w:b w:val="0"/>
          <w:sz w:val="22"/>
        </w:rPr>
        <w:t>sustained bookings &gt;US$350mn/quarter with repeatable hyperscaler data-centre wins carrying annuity tails; EBITDA crossing ~10.5% with exceptionals ending; the first clean FCF-positive year (CFO/PAT &gt;0.8); an accretive 2S-style acquisition; and the first meaningful mutual-fund entry (a re-rating validator).</w:t>
      </w:r>
    </w:p>
    <w:p>
      <w:pPr>
        <w:spacing w:before="80" w:after="20"/>
      </w:pPr>
      <w:r>
        <w:rPr>
          <w:rFonts w:ascii="Calibri" w:hAnsi="Calibri"/>
          <w:b/>
          <w:color w:val="1F3864"/>
          <w:sz w:val="23"/>
        </w:rPr>
        <w:t>8.  Conclusion</w:t>
      </w:r>
    </w:p>
    <w:p>
      <w:pPr>
        <w:spacing w:after="80" w:line="240" w:lineRule="auto"/>
      </w:pPr>
      <w:r>
        <w:rPr>
          <w:rFonts w:ascii="Calibri" w:hAnsi="Calibri"/>
          <w:b w:val="0"/>
          <w:sz w:val="22"/>
        </w:rPr>
        <w:t xml:space="preserve">The market believes </w:t>
      </w:r>
      <w:r>
        <w:rPr>
          <w:rFonts w:ascii="Calibri" w:hAnsi="Calibri"/>
          <w:b/>
          <w:sz w:val="22"/>
        </w:rPr>
        <w:t>Black Box is a de-risked Indian proxy for the AI/data-centre build-out that will compound to a US$2bn revenue base and premium returns</w:t>
      </w:r>
      <w:r>
        <w:rPr>
          <w:rFonts w:ascii="Calibri" w:hAnsi="Calibri"/>
          <w:b w:val="0"/>
          <w:sz w:val="22"/>
        </w:rPr>
        <w:t xml:space="preserve">, whereas my research indicates </w:t>
      </w:r>
      <w:r>
        <w:rPr>
          <w:rFonts w:ascii="Calibri" w:hAnsi="Calibri"/>
          <w:b/>
          <w:sz w:val="22"/>
        </w:rPr>
        <w:t>a much-improved but thin-margin, cash-light, no-pricing-power integrator whose organic growth is unproven over a cycle and whose earnings are flattered by a temporary tax rate and recurring "exceptionals"</w:t>
      </w:r>
      <w:r>
        <w:rPr>
          <w:rFonts w:ascii="Calibri" w:hAnsi="Calibri"/>
          <w:b w:val="0"/>
          <w:sz w:val="22"/>
        </w:rPr>
        <w:t xml:space="preserve">, because </w:t>
      </w:r>
      <w:r>
        <w:rPr>
          <w:rFonts w:ascii="Calibri" w:hAnsi="Calibri"/>
          <w:b/>
          <w:sz w:val="22"/>
        </w:rPr>
        <w:t>four years of flat organic revenue, negative-to-volatile free cash flow, a slipped FY30 target, ~0% mutual-fund ownership and a ~26x economic-peer multiple do not support ~45x forward earnings.</w:t>
      </w:r>
    </w:p>
    <w:p>
      <w:pPr>
        <w:spacing w:after="80" w:line="240" w:lineRule="auto"/>
      </w:pPr>
      <w:r>
        <w:rPr>
          <w:rFonts w:ascii="Calibri" w:hAnsi="Calibri"/>
          <w:b/>
          <w:sz w:val="22"/>
        </w:rPr>
        <w:t xml:space="preserve">Do not own the stock at INR 830. </w:t>
      </w:r>
      <w:r>
        <w:rPr>
          <w:rFonts w:ascii="Calibri" w:hAnsi="Calibri"/>
          <w:b w:val="0"/>
          <w:sz w:val="22"/>
        </w:rPr>
        <w:t>The business is worth tracking; the equity is not worth buying here. Re-underwrite on two-plus quarters of &gt;US$350mn bookings with visible data-centre annuity conversion, EBITDA &gt;10.5% and positive free cash flow; a constructive entry aligns with fair value (~INR 480–520), with a real margin of safety below that. All facts trace to the FY24–25 Annual Report, FY26 presentations, Q1–Q3 FY26 calls and the accompanying model; peer multiples (~Aug-2026) to be refreshed before committee.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