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480"/>
      </w:pPr>
    </w:p>
    <w:p>
      <w:pPr>
        <w:spacing w:after="80"/>
        <w:jc w:val="center"/>
      </w:pPr>
      <w:r>
        <w:rPr>
          <w:rFonts w:ascii="Arial" w:cs="Arial" w:eastAsia="Arial" w:hAnsi="Arial"/>
          <w:b/>
          <w:bCs/>
          <w:color w:val="1F3864"/>
          <w:sz w:val="62"/>
          <w:szCs w:val="62"/>
        </w:rPr>
        <w:t xml:space="preserve">FEATURE ENGINEERING FRAMEWORK</w:t>
      </w:r>
    </w:p>
    <w:p>
      <w:pPr>
        <w:spacing w:after="60"/>
        <w:jc w:val="center"/>
      </w:pPr>
      <w:r>
        <w:rPr>
          <w:rFonts w:ascii="Arial" w:cs="Arial" w:eastAsia="Arial" w:hAnsi="Arial"/>
          <w:b/>
          <w:bCs/>
          <w:color w:val="1B6CA8"/>
          <w:sz w:val="44"/>
          <w:szCs w:val="44"/>
        </w:rPr>
        <w:t xml:space="preserve">FOR CREDIT RISK MODELING</w:t>
      </w:r>
    </w:p>
    <w:p>
      <w:pPr>
        <w:spacing w:after="320"/>
        <w:jc w:val="center"/>
      </w:pPr>
      <w:r>
        <w:rPr>
          <w:rFonts w:ascii="Arial" w:cs="Arial" w:eastAsia="Arial" w:hAnsi="Arial"/>
          <w:i/>
          <w:iCs/>
          <w:color w:val="2C3E50"/>
          <w:sz w:val="24"/>
          <w:szCs w:val="24"/>
        </w:rPr>
        <w:t xml:space="preserve">A Principal Data Scientist's Expert Review &amp; Strategy Guide</w:t>
      </w:r>
    </w:p>
    <w:tbl>
      <w:tblPr>
        <w:tblW w:type="dxa" w:w="8000"/>
        <w:jc w:val="center"/>
        <w:tblBorders>
          <w:top w:val="single" w:color="auto" w:sz="4"/>
          <w:left w:val="single" w:color="auto" w:sz="4"/>
          <w:bottom w:val="single" w:color="auto" w:sz="4"/>
          <w:right w:val="single" w:color="auto" w:sz="4"/>
          <w:insideH w:val="single" w:color="auto" w:sz="4"/>
          <w:insideV w:val="single" w:color="auto" w:sz="4"/>
        </w:tblBorders>
      </w:tblPr>
      <w:tblGrid>
        <w:gridCol w:w="4000"/>
        <w:gridCol w:w="4000"/>
      </w:tblGrid>
      <w:tr>
        <w:tc>
          <w:tcPr>
            <w:tcW w:type="dxa" w:w="4000"/>
            <w:tcBorders>
              <w:top w:val="single" w:color="D5D8DC" w:sz="1"/>
              <w:left w:val="single" w:color="D5D8DC" w:sz="1"/>
              <w:bottom w:val="single" w:color="D5D8DC" w:sz="1"/>
              <w:right w:val="single" w:color="D5D8DC" w:sz="1"/>
            </w:tcBorders>
            <w:shd w:fill="1F3864" w:val="clear"/>
            <w:tcMar>
              <w:top w:type="dxa" w:w="140"/>
              <w:left w:type="dxa" w:w="200"/>
              <w:bottom w:type="dxa" w:w="140"/>
              <w:right w:type="dxa" w:w="100"/>
            </w:tcMar>
          </w:tcPr>
          <w:p>
            <w:pPr>
              <w:jc w:val="center"/>
            </w:pPr>
            <w:r>
              <w:rPr>
                <w:rFonts w:ascii="Arial" w:cs="Arial" w:eastAsia="Arial" w:hAnsi="Arial"/>
                <w:b/>
                <w:bCs/>
                <w:color w:val="FFFFFF"/>
                <w:sz w:val="20"/>
                <w:szCs w:val="20"/>
              </w:rPr>
              <w:t xml:space="preserve">Dataset</w:t>
            </w:r>
          </w:p>
          <w:p>
            <w:pPr>
              <w:jc w:val="center"/>
            </w:pPr>
            <w:r>
              <w:rPr>
                <w:rFonts w:ascii="Arial" w:cs="Arial" w:eastAsia="Arial" w:hAnsi="Arial"/>
                <w:color w:val="BDD7EE"/>
                <w:sz w:val="19"/>
                <w:szCs w:val="19"/>
              </w:rPr>
              <w:t xml:space="preserve">UCI Taiwan Credit Card Default</w:t>
            </w:r>
          </w:p>
        </w:tc>
        <w:tc>
          <w:tcPr>
            <w:tcW w:type="dxa" w:w="4000"/>
            <w:tcBorders>
              <w:top w:val="single" w:color="D5D8DC" w:sz="1"/>
              <w:left w:val="single" w:color="D5D8DC" w:sz="1"/>
              <w:bottom w:val="single" w:color="D5D8DC" w:sz="1"/>
              <w:right w:val="single" w:color="D5D8DC" w:sz="1"/>
            </w:tcBorders>
            <w:shd w:fill="D6E4F0" w:val="clear"/>
            <w:tcMar>
              <w:top w:type="dxa" w:w="140"/>
              <w:left w:type="dxa" w:w="200"/>
              <w:bottom w:type="dxa" w:w="140"/>
              <w:right w:type="dxa" w:w="100"/>
            </w:tcMar>
          </w:tcPr>
          <w:p>
            <w:pPr>
              <w:jc w:val="center"/>
            </w:pPr>
            <w:r>
              <w:rPr>
                <w:rFonts w:ascii="Arial" w:cs="Arial" w:eastAsia="Arial" w:hAnsi="Arial"/>
                <w:b/>
                <w:bCs/>
                <w:color w:val="1F3864"/>
                <w:sz w:val="20"/>
                <w:szCs w:val="20"/>
              </w:rPr>
              <w:t xml:space="preserve">Scope</w:t>
            </w:r>
          </w:p>
          <w:p>
            <w:pPr>
              <w:jc w:val="center"/>
            </w:pPr>
            <w:r>
              <w:rPr>
                <w:rFonts w:ascii="Arial" w:cs="Arial" w:eastAsia="Arial" w:hAnsi="Arial"/>
                <w:color w:val="2C3E50"/>
                <w:sz w:val="19"/>
                <w:szCs w:val="19"/>
              </w:rPr>
              <w:t xml:space="preserve">30,000 clients | 24 raw features</w:t>
            </w:r>
          </w:p>
        </w:tc>
      </w:tr>
      <w:tr>
        <w:tc>
          <w:tcPr>
            <w:tcW w:type="dxa" w:w="4000"/>
            <w:tcBorders>
              <w:top w:val="single" w:color="D5D8DC" w:sz="1"/>
              <w:left w:val="single" w:color="D5D8DC" w:sz="1"/>
              <w:bottom w:val="single" w:color="D5D8DC" w:sz="1"/>
              <w:right w:val="single" w:color="D5D8DC" w:sz="1"/>
            </w:tcBorders>
            <w:shd w:fill="D6E4F0" w:val="clear"/>
            <w:tcMar>
              <w:top w:type="dxa" w:w="140"/>
              <w:left w:type="dxa" w:w="200"/>
              <w:bottom w:type="dxa" w:w="140"/>
              <w:right w:type="dxa" w:w="100"/>
            </w:tcMar>
          </w:tcPr>
          <w:p>
            <w:pPr>
              <w:jc w:val="center"/>
            </w:pPr>
            <w:r>
              <w:rPr>
                <w:rFonts w:ascii="Arial" w:cs="Arial" w:eastAsia="Arial" w:hAnsi="Arial"/>
                <w:b/>
                <w:bCs/>
                <w:color w:val="1F3864"/>
                <w:sz w:val="20"/>
                <w:szCs w:val="20"/>
              </w:rPr>
              <w:t xml:space="preserve">Framework Sections</w:t>
            </w:r>
          </w:p>
          <w:p>
            <w:pPr>
              <w:jc w:val="center"/>
            </w:pPr>
            <w:r>
              <w:rPr>
                <w:rFonts w:ascii="Arial" w:cs="Arial" w:eastAsia="Arial" w:hAnsi="Arial"/>
                <w:color w:val="2C3E50"/>
                <w:sz w:val="19"/>
                <w:szCs w:val="19"/>
              </w:rPr>
              <w:t xml:space="preserve">9 Structured Strategy Modules</w:t>
            </w:r>
          </w:p>
        </w:tc>
        <w:tc>
          <w:tcPr>
            <w:tcW w:type="dxa" w:w="4000"/>
            <w:tcBorders>
              <w:top w:val="single" w:color="D5D8DC" w:sz="1"/>
              <w:left w:val="single" w:color="D5D8DC" w:sz="1"/>
              <w:bottom w:val="single" w:color="D5D8DC" w:sz="1"/>
              <w:right w:val="single" w:color="D5D8DC" w:sz="1"/>
            </w:tcBorders>
            <w:shd w:fill="1F3864" w:val="clear"/>
            <w:tcMar>
              <w:top w:type="dxa" w:w="140"/>
              <w:left w:type="dxa" w:w="200"/>
              <w:bottom w:type="dxa" w:w="140"/>
              <w:right w:type="dxa" w:w="100"/>
            </w:tcMar>
          </w:tcPr>
          <w:p>
            <w:pPr>
              <w:jc w:val="center"/>
            </w:pPr>
            <w:r>
              <w:rPr>
                <w:rFonts w:ascii="Arial" w:cs="Arial" w:eastAsia="Arial" w:hAnsi="Arial"/>
                <w:b/>
                <w:bCs/>
                <w:color w:val="FFFFFF"/>
                <w:sz w:val="20"/>
                <w:szCs w:val="20"/>
              </w:rPr>
              <w:t xml:space="preserve">Authored By</w:t>
            </w:r>
          </w:p>
          <w:p>
            <w:pPr>
              <w:jc w:val="center"/>
            </w:pPr>
            <w:r>
              <w:rPr>
                <w:rFonts w:ascii="Arial" w:cs="Arial" w:eastAsia="Arial" w:hAnsi="Arial"/>
                <w:color w:val="BDD7EE"/>
                <w:sz w:val="19"/>
                <w:szCs w:val="19"/>
              </w:rPr>
              <w:t xml:space="preserve">Principal Data Scientist</w:t>
            </w:r>
          </w:p>
        </w:tc>
      </w:tr>
    </w:tbl>
    <w:p>
      <w:pPr>
        <w:spacing w:before="0" w:after="200"/>
      </w:pPr>
    </w:p>
    <w:p>
      <w:pPr>
        <w:jc w:val="center"/>
      </w:pPr>
      <w:r>
        <w:rPr>
          <w:rFonts w:ascii="Arial" w:cs="Arial" w:eastAsia="Arial" w:hAnsi="Arial"/>
          <w:i/>
          <w:iCs/>
          <w:color w:val="777777"/>
          <w:sz w:val="18"/>
          <w:szCs w:val="18"/>
        </w:rPr>
        <w:t xml:space="preserve">Based on completed EDA — This document covers feature assessment, engineering, transformation, encoding, stability, validation, and pipeline design. It does not re-present EDA findings.</w:t>
      </w:r>
    </w:p>
    <w:p>
      <w:r>
        <w:br w:type="page"/>
      </w:r>
    </w:p>
    <w:p>
      <w:pPr>
        <w:pStyle w:val="Heading1"/>
        <w:pBdr>
          <w:bottom w:val="single" w:color="2E75B6" w:sz="6"/>
        </w:pBdr>
        <w:spacing w:before="400" w:after="160"/>
      </w:pPr>
      <w:r>
        <w:rPr>
          <w:rFonts w:ascii="Arial" w:cs="Arial" w:eastAsia="Arial" w:hAnsi="Arial"/>
          <w:b/>
          <w:bCs/>
          <w:color w:val="1F3864"/>
          <w:sz w:val="36"/>
          <w:szCs w:val="36"/>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Bdr>
          <w:bottom w:val="single" w:color="2E75B6" w:sz="6"/>
        </w:pBdr>
        <w:spacing w:before="400" w:after="160"/>
      </w:pPr>
      <w:r>
        <w:rPr>
          <w:rFonts w:ascii="Arial" w:cs="Arial" w:eastAsia="Arial" w:hAnsi="Arial"/>
          <w:b/>
          <w:bCs/>
          <w:color w:val="1F3864"/>
          <w:sz w:val="36"/>
          <w:szCs w:val="36"/>
        </w:rPr>
        <w:t xml:space="preserve">Preamble: EDA-Driven Reasoning Before Feature Engineering</w:t>
      </w:r>
    </w:p>
    <w:p>
      <w:pPr>
        <w:spacing w:before="80" w:after="80"/>
      </w:pPr>
      <w:r>
        <w:rPr>
          <w:rFonts w:ascii="Arial" w:cs="Arial" w:eastAsia="Arial" w:hAnsi="Arial"/>
          <w:b w:val="false"/>
          <w:bCs w:val="false"/>
          <w:color w:val="1A1A1A"/>
          <w:sz w:val="22"/>
          <w:szCs w:val="22"/>
        </w:rPr>
        <w:t xml:space="preserve">Before any feature engineering technique is applied, a principal data scientist must reason explicitly about what the EDA has revealed and what that implies for the feature engineering strategy. This section documents that reasoning step-by-step — translating EDA observations into concrete engineering imperatives.</w:t>
      </w:r>
    </w:p>
    <w:p>
      <w:pPr>
        <w:spacing w:before="0" w:after="80"/>
      </w:pPr>
    </w:p>
    <w:p>
      <w:pPr>
        <w:pStyle w:val="Heading2"/>
        <w:spacing w:before="280" w:after="120"/>
      </w:pPr>
      <w:r>
        <w:rPr>
          <w:rFonts w:ascii="Arial" w:cs="Arial" w:eastAsia="Arial" w:hAnsi="Arial"/>
          <w:b/>
          <w:bCs/>
          <w:color w:val="1B6CA8"/>
          <w:sz w:val="28"/>
          <w:szCs w:val="28"/>
        </w:rPr>
        <w:t xml:space="preserve">What the EDA Tells 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D5D8DC" w:sz="1"/>
              <w:left w:val="single" w:color="D5D8DC" w:sz="1"/>
              <w:bottom w:val="single" w:color="D5D8DC" w:sz="1"/>
              <w:right w:val="single" w:color="D5D8DC" w:sz="1"/>
            </w:tcBorders>
            <w:shd w:fill="1F3864" w:val="clear"/>
            <w:tcMar>
              <w:top w:type="dxa" w:w="90"/>
              <w:left w:type="dxa" w:w="150"/>
              <w:bottom w:type="dxa" w:w="90"/>
              <w:right w:type="dxa" w:w="100"/>
            </w:tcMar>
            <w:vAlign w:val="top"/>
          </w:tcPr>
          <w:p>
            <w:pPr>
              <w:spacing w:before="0" w:after="0"/>
              <w:jc w:val="left"/>
            </w:pPr>
            <w:r>
              <w:rPr>
                <w:rFonts w:ascii="Arial" w:cs="Arial" w:eastAsia="Arial" w:hAnsi="Arial"/>
                <w:b/>
                <w:bCs/>
                <w:color w:val="FFFFFF"/>
                <w:sz w:val="19"/>
                <w:szCs w:val="19"/>
              </w:rPr>
              <w:t xml:space="preserve">EDA Observation</w:t>
            </w:r>
          </w:p>
        </w:tc>
        <w:tc>
          <w:tcPr>
            <w:tcW w:type="dxa" w:w="3480"/>
            <w:tcBorders>
              <w:top w:val="single" w:color="D5D8DC" w:sz="1"/>
              <w:left w:val="single" w:color="D5D8DC" w:sz="1"/>
              <w:bottom w:val="single" w:color="D5D8DC" w:sz="1"/>
              <w:right w:val="single" w:color="D5D8DC" w:sz="1"/>
            </w:tcBorders>
            <w:shd w:fill="1F3864" w:val="clear"/>
            <w:tcMar>
              <w:top w:type="dxa" w:w="90"/>
              <w:left w:type="dxa" w:w="150"/>
              <w:bottom w:type="dxa" w:w="90"/>
              <w:right w:type="dxa" w:w="100"/>
            </w:tcMar>
            <w:vAlign w:val="top"/>
          </w:tcPr>
          <w:p>
            <w:pPr>
              <w:spacing w:before="0" w:after="0"/>
              <w:jc w:val="left"/>
            </w:pPr>
            <w:r>
              <w:rPr>
                <w:rFonts w:ascii="Arial" w:cs="Arial" w:eastAsia="Arial" w:hAnsi="Arial"/>
                <w:b/>
                <w:bCs/>
                <w:color w:val="FFFFFF"/>
                <w:sz w:val="19"/>
                <w:szCs w:val="19"/>
              </w:rPr>
              <w:t xml:space="preserve">Engineering Implication</w:t>
            </w:r>
          </w:p>
        </w:tc>
        <w:tc>
          <w:tcPr>
            <w:tcW w:type="dxa" w:w="3480"/>
            <w:tcBorders>
              <w:top w:val="single" w:color="D5D8DC" w:sz="1"/>
              <w:left w:val="single" w:color="D5D8DC" w:sz="1"/>
              <w:bottom w:val="single" w:color="D5D8DC" w:sz="1"/>
              <w:right w:val="single" w:color="D5D8DC" w:sz="1"/>
            </w:tcBorders>
            <w:shd w:fill="1F3864" w:val="clear"/>
            <w:tcMar>
              <w:top w:type="dxa" w:w="90"/>
              <w:left w:type="dxa" w:w="150"/>
              <w:bottom w:type="dxa" w:w="90"/>
              <w:right w:type="dxa" w:w="100"/>
            </w:tcMar>
            <w:vAlign w:val="top"/>
          </w:tcPr>
          <w:p>
            <w:pPr>
              <w:spacing w:before="0" w:after="0"/>
              <w:jc w:val="left"/>
            </w:pPr>
            <w:r>
              <w:rPr>
                <w:rFonts w:ascii="Arial" w:cs="Arial" w:eastAsia="Arial" w:hAnsi="Arial"/>
                <w:b/>
                <w:bCs/>
                <w:color w:val="FFFFFF"/>
                <w:sz w:val="19"/>
                <w:szCs w:val="19"/>
              </w:rPr>
              <w:t xml:space="preserve">Priority</w:t>
            </w:r>
          </w:p>
        </w:tc>
      </w:tr>
      <w:tr>
        <w:tc>
          <w:tcPr>
            <w:tcW w:type="dxa" w:w="2400"/>
            <w:tcBorders>
              <w:top w:val="single" w:color="D5D8DC" w:sz="1"/>
              <w:left w:val="single" w:color="D5D8DC" w:sz="1"/>
              <w:bottom w:val="single" w:color="D5D8DC" w:sz="1"/>
              <w:right w:val="single" w:color="D5D8DC" w:sz="1"/>
            </w:tcBorders>
            <w:shd w:fill="FFFFFF" w:val="clear"/>
            <w:tcMar>
              <w:top w:type="dxa" w:w="90"/>
              <w:left w:type="dxa" w:w="150"/>
              <w:bottom w:type="dxa" w:w="90"/>
              <w:right w:type="dxa" w:w="100"/>
            </w:tcMar>
            <w:vAlign w:val="top"/>
          </w:tcPr>
          <w:p>
            <w:pPr>
              <w:spacing w:before="0" w:after="0"/>
              <w:jc w:val="left"/>
            </w:pPr>
            <w:r>
              <w:rPr>
                <w:rFonts w:ascii="Arial" w:cs="Arial" w:eastAsia="Arial" w:hAnsi="Arial"/>
                <w:b w:val="false"/>
                <w:bCs w:val="false"/>
                <w:color w:val="1A1A1A"/>
                <w:sz w:val="20"/>
                <w:szCs w:val="20"/>
              </w:rPr>
              <w:t xml:space="preserve">22.12% default rate — class imbalance</w:t>
            </w:r>
          </w:p>
        </w:tc>
        <w:tc>
          <w:tcPr>
            <w:tcW w:type="dxa" w:w="3480"/>
            <w:tcBorders>
              <w:top w:val="single" w:color="D5D8DC" w:sz="1"/>
              <w:left w:val="single" w:color="D5D8DC" w:sz="1"/>
              <w:bottom w:val="single" w:color="D5D8DC" w:sz="1"/>
              <w:right w:val="single" w:color="D5D8DC" w:sz="1"/>
            </w:tcBorders>
            <w:shd w:fill="F4F6F7" w:val="clear"/>
            <w:tcMar>
              <w:top w:type="dxa" w:w="90"/>
              <w:left w:type="dxa" w:w="150"/>
              <w:bottom w:type="dxa" w:w="90"/>
              <w:right w:type="dxa" w:w="100"/>
            </w:tcMar>
            <w:vAlign w:val="top"/>
          </w:tcPr>
          <w:p>
            <w:pPr>
              <w:spacing w:before="0" w:after="0"/>
              <w:jc w:val="left"/>
            </w:pPr>
            <w:r>
              <w:rPr>
                <w:rFonts w:ascii="Arial" w:cs="Arial" w:eastAsia="Arial" w:hAnsi="Arial"/>
                <w:b w:val="false"/>
                <w:bCs w:val="false"/>
                <w:color w:val="1A1A1A"/>
                <w:sz w:val="20"/>
                <w:szCs w:val="20"/>
              </w:rPr>
              <w:t xml:space="preserve">Model evaluation must shift to AUC/KS/Gini; cost-sensitive training or SMOTE required</w:t>
            </w:r>
          </w:p>
        </w:tc>
        <w:tc>
          <w:tcPr>
            <w:tcW w:type="dxa" w:w="3480"/>
            <w:tcBorders>
              <w:top w:val="single" w:color="D5D8DC" w:sz="1"/>
              <w:left w:val="single" w:color="D5D8DC" w:sz="1"/>
              <w:bottom w:val="single" w:color="D5D8DC" w:sz="1"/>
              <w:right w:val="single" w:color="D5D8DC" w:sz="1"/>
            </w:tcBorders>
            <w:shd w:fill="B03A2E" w:val="clear"/>
            <w:tcMar>
              <w:top w:type="dxa" w:w="90"/>
              <w:left w:type="dxa" w:w="150"/>
              <w:bottom w:type="dxa" w:w="90"/>
              <w:right w:type="dxa" w:w="100"/>
            </w:tcMar>
            <w:vAlign w:val="top"/>
          </w:tcPr>
          <w:p>
            <w:pPr>
              <w:spacing w:before="0" w:after="0"/>
              <w:jc w:val="left"/>
            </w:pPr>
            <w:r>
              <w:rPr>
                <w:rFonts w:ascii="Arial" w:cs="Arial" w:eastAsia="Arial" w:hAnsi="Arial"/>
                <w:b/>
                <w:bCs/>
                <w:color w:val="FFFFFF"/>
                <w:sz w:val="20"/>
                <w:szCs w:val="20"/>
              </w:rPr>
              <w:t xml:space="preserve">Critical</w:t>
            </w:r>
          </w:p>
        </w:tc>
      </w:tr>
      <w:tr>
        <w:tc>
          <w:tcPr>
            <w:tcW w:type="dxa" w:w="2400"/>
            <w:tcBorders>
              <w:top w:val="single" w:color="D5D8DC" w:sz="1"/>
              <w:left w:val="single" w:color="D5D8DC" w:sz="1"/>
              <w:bottom w:val="single" w:color="D5D8DC" w:sz="1"/>
              <w:right w:val="single" w:color="D5D8DC" w:sz="1"/>
            </w:tcBorders>
            <w:shd w:fill="FFFFFF" w:val="clear"/>
            <w:tcMar>
              <w:top w:type="dxa" w:w="90"/>
              <w:left w:type="dxa" w:w="150"/>
              <w:bottom w:type="dxa" w:w="90"/>
              <w:right w:type="dxa" w:w="100"/>
            </w:tcMar>
            <w:vAlign w:val="top"/>
          </w:tcPr>
          <w:p>
            <w:pPr>
              <w:spacing w:before="0" w:after="0"/>
              <w:jc w:val="left"/>
            </w:pPr>
            <w:r>
              <w:rPr>
                <w:rFonts w:ascii="Arial" w:cs="Arial" w:eastAsia="Arial" w:hAnsi="Arial"/>
                <w:b w:val="false"/>
                <w:bCs w:val="false"/>
                <w:color w:val="1A1A1A"/>
                <w:sz w:val="20"/>
                <w:szCs w:val="20"/>
              </w:rPr>
              <w:t xml:space="preserve">BILL_AMT1–6: r &gt; 0.90 between adjacent months</w:t>
            </w:r>
          </w:p>
        </w:tc>
        <w:tc>
          <w:tcPr>
            <w:tcW w:type="dxa" w:w="3480"/>
            <w:tcBorders>
              <w:top w:val="single" w:color="D5D8DC" w:sz="1"/>
              <w:left w:val="single" w:color="D5D8DC" w:sz="1"/>
              <w:bottom w:val="single" w:color="D5D8DC" w:sz="1"/>
              <w:right w:val="single" w:color="D5D8DC" w:sz="1"/>
            </w:tcBorders>
            <w:shd w:fill="F4F6F7" w:val="clear"/>
            <w:tcMar>
              <w:top w:type="dxa" w:w="90"/>
              <w:left w:type="dxa" w:w="150"/>
              <w:bottom w:type="dxa" w:w="90"/>
              <w:right w:type="dxa" w:w="100"/>
            </w:tcMar>
            <w:vAlign w:val="top"/>
          </w:tcPr>
          <w:p>
            <w:pPr>
              <w:spacing w:before="0" w:after="0"/>
              <w:jc w:val="left"/>
            </w:pPr>
            <w:r>
              <w:rPr>
                <w:rFonts w:ascii="Arial" w:cs="Arial" w:eastAsia="Arial" w:hAnsi="Arial"/>
                <w:b w:val="false"/>
                <w:bCs w:val="false"/>
                <w:color w:val="1A1A1A"/>
                <w:sz w:val="20"/>
                <w:szCs w:val="20"/>
              </w:rPr>
              <w:t xml:space="preserve">Six variables carry approximately the same information — severe multicollinearity. Aggressive dimensionality reduction mandatory before linear models.</w:t>
            </w:r>
          </w:p>
        </w:tc>
        <w:tc>
          <w:tcPr>
            <w:tcW w:type="dxa" w:w="3480"/>
            <w:tcBorders>
              <w:top w:val="single" w:color="D5D8DC" w:sz="1"/>
              <w:left w:val="single" w:color="D5D8DC" w:sz="1"/>
              <w:bottom w:val="single" w:color="D5D8DC" w:sz="1"/>
              <w:right w:val="single" w:color="D5D8DC" w:sz="1"/>
            </w:tcBorders>
            <w:shd w:fill="B03A2E" w:val="clear"/>
            <w:tcMar>
              <w:top w:type="dxa" w:w="90"/>
              <w:left w:type="dxa" w:w="150"/>
              <w:bottom w:type="dxa" w:w="90"/>
              <w:right w:type="dxa" w:w="100"/>
            </w:tcMar>
            <w:vAlign w:val="top"/>
          </w:tcPr>
          <w:p>
            <w:pPr>
              <w:spacing w:before="0" w:after="0"/>
              <w:jc w:val="left"/>
            </w:pPr>
            <w:r>
              <w:rPr>
                <w:rFonts w:ascii="Arial" w:cs="Arial" w:eastAsia="Arial" w:hAnsi="Arial"/>
                <w:b/>
                <w:bCs/>
                <w:color w:val="FFFFFF"/>
                <w:sz w:val="20"/>
                <w:szCs w:val="20"/>
              </w:rPr>
              <w:t xml:space="preserve">Critical</w:t>
            </w:r>
          </w:p>
        </w:tc>
      </w:tr>
      <w:tr>
        <w:tc>
          <w:tcPr>
            <w:tcW w:type="dxa" w:w="2400"/>
            <w:tcBorders>
              <w:top w:val="single" w:color="D5D8DC" w:sz="1"/>
              <w:left w:val="single" w:color="D5D8DC" w:sz="1"/>
              <w:bottom w:val="single" w:color="D5D8DC" w:sz="1"/>
              <w:right w:val="single" w:color="D5D8DC" w:sz="1"/>
            </w:tcBorders>
            <w:shd w:fill="FFFFFF" w:val="clear"/>
            <w:tcMar>
              <w:top w:type="dxa" w:w="90"/>
              <w:left w:type="dxa" w:w="150"/>
              <w:bottom w:type="dxa" w:w="90"/>
              <w:right w:type="dxa" w:w="100"/>
            </w:tcMar>
            <w:vAlign w:val="top"/>
          </w:tcPr>
          <w:p>
            <w:pPr>
              <w:spacing w:before="0" w:after="0"/>
              <w:jc w:val="left"/>
            </w:pPr>
            <w:r>
              <w:rPr>
                <w:rFonts w:ascii="Arial" w:cs="Arial" w:eastAsia="Arial" w:hAnsi="Arial"/>
                <w:b w:val="false"/>
                <w:bCs w:val="false"/>
                <w:color w:val="1A1A1A"/>
                <w:sz w:val="20"/>
                <w:szCs w:val="20"/>
              </w:rPr>
              <w:t xml:space="preserve">PAY_0 is the strongest individual predictor</w:t>
            </w:r>
          </w:p>
        </w:tc>
        <w:tc>
          <w:tcPr>
            <w:tcW w:type="dxa" w:w="3480"/>
            <w:tcBorders>
              <w:top w:val="single" w:color="D5D8DC" w:sz="1"/>
              <w:left w:val="single" w:color="D5D8DC" w:sz="1"/>
              <w:bottom w:val="single" w:color="D5D8DC" w:sz="1"/>
              <w:right w:val="single" w:color="D5D8DC" w:sz="1"/>
            </w:tcBorders>
            <w:shd w:fill="F4F6F7" w:val="clear"/>
            <w:tcMar>
              <w:top w:type="dxa" w:w="90"/>
              <w:left w:type="dxa" w:w="150"/>
              <w:bottom w:type="dxa" w:w="90"/>
              <w:right w:type="dxa" w:w="100"/>
            </w:tcMar>
            <w:vAlign w:val="top"/>
          </w:tcPr>
          <w:p>
            <w:pPr>
              <w:spacing w:before="0" w:after="0"/>
              <w:jc w:val="left"/>
            </w:pPr>
            <w:r>
              <w:rPr>
                <w:rFonts w:ascii="Arial" w:cs="Arial" w:eastAsia="Arial" w:hAnsi="Arial"/>
                <w:b w:val="false"/>
                <w:bCs w:val="false"/>
                <w:color w:val="1A1A1A"/>
                <w:sz w:val="20"/>
                <w:szCs w:val="20"/>
              </w:rPr>
              <w:t xml:space="preserve">Recency of delinquency dominates. Engineer recency-weighted delay features and deterioration trajectories.</w:t>
            </w:r>
          </w:p>
        </w:tc>
        <w:tc>
          <w:tcPr>
            <w:tcW w:type="dxa" w:w="3480"/>
            <w:tcBorders>
              <w:top w:val="single" w:color="D5D8DC" w:sz="1"/>
              <w:left w:val="single" w:color="D5D8DC" w:sz="1"/>
              <w:bottom w:val="single" w:color="D5D8DC" w:sz="1"/>
              <w:right w:val="single" w:color="D5D8DC" w:sz="1"/>
            </w:tcBorders>
            <w:shd w:fill="C96A0A" w:val="clear"/>
            <w:tcMar>
              <w:top w:type="dxa" w:w="90"/>
              <w:left w:type="dxa" w:w="150"/>
              <w:bottom w:type="dxa" w:w="90"/>
              <w:right w:type="dxa" w:w="100"/>
            </w:tcMar>
            <w:vAlign w:val="top"/>
          </w:tcPr>
          <w:p>
            <w:pPr>
              <w:spacing w:before="0" w:after="0"/>
              <w:jc w:val="left"/>
            </w:pPr>
            <w:r>
              <w:rPr>
                <w:rFonts w:ascii="Arial" w:cs="Arial" w:eastAsia="Arial" w:hAnsi="Arial"/>
                <w:b/>
                <w:bCs/>
                <w:color w:val="FFFFFF"/>
                <w:sz w:val="20"/>
                <w:szCs w:val="20"/>
              </w:rPr>
              <w:t xml:space="preserve">High</w:t>
            </w:r>
          </w:p>
        </w:tc>
      </w:tr>
      <w:tr>
        <w:tc>
          <w:tcPr>
            <w:tcW w:type="dxa" w:w="2400"/>
            <w:tcBorders>
              <w:top w:val="single" w:color="D5D8DC" w:sz="1"/>
              <w:left w:val="single" w:color="D5D8DC" w:sz="1"/>
              <w:bottom w:val="single" w:color="D5D8DC" w:sz="1"/>
              <w:right w:val="single" w:color="D5D8DC" w:sz="1"/>
            </w:tcBorders>
            <w:shd w:fill="FFFFFF" w:val="clear"/>
            <w:tcMar>
              <w:top w:type="dxa" w:w="90"/>
              <w:left w:type="dxa" w:w="150"/>
              <w:bottom w:type="dxa" w:w="90"/>
              <w:right w:type="dxa" w:w="100"/>
            </w:tcMar>
            <w:vAlign w:val="top"/>
          </w:tcPr>
          <w:p>
            <w:pPr>
              <w:spacing w:before="0" w:after="0"/>
              <w:jc w:val="left"/>
            </w:pPr>
            <w:r>
              <w:rPr>
                <w:rFonts w:ascii="Arial" w:cs="Arial" w:eastAsia="Arial" w:hAnsi="Arial"/>
                <w:b w:val="false"/>
                <w:bCs w:val="false"/>
                <w:color w:val="1A1A1A"/>
                <w:sz w:val="20"/>
                <w:szCs w:val="20"/>
              </w:rPr>
              <w:t xml:space="preserve">PAY_BILL_RATIO produces clearest default separation</w:t>
            </w:r>
          </w:p>
        </w:tc>
        <w:tc>
          <w:tcPr>
            <w:tcW w:type="dxa" w:w="3480"/>
            <w:tcBorders>
              <w:top w:val="single" w:color="D5D8DC" w:sz="1"/>
              <w:left w:val="single" w:color="D5D8DC" w:sz="1"/>
              <w:bottom w:val="single" w:color="D5D8DC" w:sz="1"/>
              <w:right w:val="single" w:color="D5D8DC" w:sz="1"/>
            </w:tcBorders>
            <w:shd w:fill="F4F6F7" w:val="clear"/>
            <w:tcMar>
              <w:top w:type="dxa" w:w="90"/>
              <w:left w:type="dxa" w:w="150"/>
              <w:bottom w:type="dxa" w:w="90"/>
              <w:right w:type="dxa" w:w="100"/>
            </w:tcMar>
            <w:vAlign w:val="top"/>
          </w:tcPr>
          <w:p>
            <w:pPr>
              <w:spacing w:before="0" w:after="0"/>
              <w:jc w:val="left"/>
            </w:pPr>
            <w:r>
              <w:rPr>
                <w:rFonts w:ascii="Arial" w:cs="Arial" w:eastAsia="Arial" w:hAnsi="Arial"/>
                <w:b w:val="false"/>
                <w:bCs w:val="false"/>
                <w:color w:val="1A1A1A"/>
                <w:sz w:val="20"/>
                <w:szCs w:val="20"/>
              </w:rPr>
              <w:t xml:space="preserve">This derived feature outperforms all raw features. Extend it across all 6 months; engineer trend and volatility versions.</w:t>
            </w:r>
          </w:p>
        </w:tc>
        <w:tc>
          <w:tcPr>
            <w:tcW w:type="dxa" w:w="3480"/>
            <w:tcBorders>
              <w:top w:val="single" w:color="D5D8DC" w:sz="1"/>
              <w:left w:val="single" w:color="D5D8DC" w:sz="1"/>
              <w:bottom w:val="single" w:color="D5D8DC" w:sz="1"/>
              <w:right w:val="single" w:color="D5D8DC" w:sz="1"/>
            </w:tcBorders>
            <w:shd w:fill="C96A0A" w:val="clear"/>
            <w:tcMar>
              <w:top w:type="dxa" w:w="90"/>
              <w:left w:type="dxa" w:w="150"/>
              <w:bottom w:type="dxa" w:w="90"/>
              <w:right w:type="dxa" w:w="100"/>
            </w:tcMar>
            <w:vAlign w:val="top"/>
          </w:tcPr>
          <w:p>
            <w:pPr>
              <w:spacing w:before="0" w:after="0"/>
              <w:jc w:val="left"/>
            </w:pPr>
            <w:r>
              <w:rPr>
                <w:rFonts w:ascii="Arial" w:cs="Arial" w:eastAsia="Arial" w:hAnsi="Arial"/>
                <w:b/>
                <w:bCs/>
                <w:color w:val="FFFFFF"/>
                <w:sz w:val="20"/>
                <w:szCs w:val="20"/>
              </w:rPr>
              <w:t xml:space="preserve">High</w:t>
            </w:r>
          </w:p>
        </w:tc>
      </w:tr>
      <w:tr>
        <w:tc>
          <w:tcPr>
            <w:tcW w:type="dxa" w:w="2400"/>
            <w:tcBorders>
              <w:top w:val="single" w:color="D5D8DC" w:sz="1"/>
              <w:left w:val="single" w:color="D5D8DC" w:sz="1"/>
              <w:bottom w:val="single" w:color="D5D8DC" w:sz="1"/>
              <w:right w:val="single" w:color="D5D8DC" w:sz="1"/>
            </w:tcBorders>
            <w:shd w:fill="FFFFFF" w:val="clear"/>
            <w:tcMar>
              <w:top w:type="dxa" w:w="90"/>
              <w:left w:type="dxa" w:w="150"/>
              <w:bottom w:type="dxa" w:w="90"/>
              <w:right w:type="dxa" w:w="100"/>
            </w:tcMar>
            <w:vAlign w:val="top"/>
          </w:tcPr>
          <w:p>
            <w:pPr>
              <w:spacing w:before="0" w:after="0"/>
              <w:jc w:val="left"/>
            </w:pPr>
            <w:r>
              <w:rPr>
                <w:rFonts w:ascii="Arial" w:cs="Arial" w:eastAsia="Arial" w:hAnsi="Arial"/>
                <w:b w:val="false"/>
                <w:bCs w:val="false"/>
                <w:color w:val="1A1A1A"/>
                <w:sz w:val="20"/>
                <w:szCs w:val="20"/>
              </w:rPr>
              <w:t xml:space="preserve">LIMIT_BAL is right-skewed; inverse relationship with default</w:t>
            </w:r>
          </w:p>
        </w:tc>
        <w:tc>
          <w:tcPr>
            <w:tcW w:type="dxa" w:w="3480"/>
            <w:tcBorders>
              <w:top w:val="single" w:color="D5D8DC" w:sz="1"/>
              <w:left w:val="single" w:color="D5D8DC" w:sz="1"/>
              <w:bottom w:val="single" w:color="D5D8DC" w:sz="1"/>
              <w:right w:val="single" w:color="D5D8DC" w:sz="1"/>
            </w:tcBorders>
            <w:shd w:fill="F4F6F7" w:val="clear"/>
            <w:tcMar>
              <w:top w:type="dxa" w:w="90"/>
              <w:left w:type="dxa" w:w="150"/>
              <w:bottom w:type="dxa" w:w="90"/>
              <w:right w:type="dxa" w:w="100"/>
            </w:tcMar>
            <w:vAlign w:val="top"/>
          </w:tcPr>
          <w:p>
            <w:pPr>
              <w:spacing w:before="0" w:after="0"/>
              <w:jc w:val="left"/>
            </w:pPr>
            <w:r>
              <w:rPr>
                <w:rFonts w:ascii="Arial" w:cs="Arial" w:eastAsia="Arial" w:hAnsi="Arial"/>
                <w:b w:val="false"/>
                <w:bCs w:val="false"/>
                <w:color w:val="1A1A1A"/>
                <w:sz w:val="20"/>
                <w:szCs w:val="20"/>
              </w:rPr>
              <w:t xml:space="preserve">Log transformation required for linear models. Binning into risk quintiles for non-linear models. Engineer UTILIZATION_RATIO.</w:t>
            </w:r>
          </w:p>
        </w:tc>
        <w:tc>
          <w:tcPr>
            <w:tcW w:type="dxa" w:w="3480"/>
            <w:tcBorders>
              <w:top w:val="single" w:color="D5D8DC" w:sz="1"/>
              <w:left w:val="single" w:color="D5D8DC" w:sz="1"/>
              <w:bottom w:val="single" w:color="D5D8DC" w:sz="1"/>
              <w:right w:val="single" w:color="D5D8DC" w:sz="1"/>
            </w:tcBorders>
            <w:shd w:fill="C96A0A" w:val="clear"/>
            <w:tcMar>
              <w:top w:type="dxa" w:w="90"/>
              <w:left w:type="dxa" w:w="150"/>
              <w:bottom w:type="dxa" w:w="90"/>
              <w:right w:type="dxa" w:w="100"/>
            </w:tcMar>
            <w:vAlign w:val="top"/>
          </w:tcPr>
          <w:p>
            <w:pPr>
              <w:spacing w:before="0" w:after="0"/>
              <w:jc w:val="left"/>
            </w:pPr>
            <w:r>
              <w:rPr>
                <w:rFonts w:ascii="Arial" w:cs="Arial" w:eastAsia="Arial" w:hAnsi="Arial"/>
                <w:b/>
                <w:bCs/>
                <w:color w:val="FFFFFF"/>
                <w:sz w:val="20"/>
                <w:szCs w:val="20"/>
              </w:rPr>
              <w:t xml:space="preserve">High</w:t>
            </w:r>
          </w:p>
        </w:tc>
      </w:tr>
      <w:tr>
        <w:tc>
          <w:tcPr>
            <w:tcW w:type="dxa" w:w="2400"/>
            <w:tcBorders>
              <w:top w:val="single" w:color="D5D8DC" w:sz="1"/>
              <w:left w:val="single" w:color="D5D8DC" w:sz="1"/>
              <w:bottom w:val="single" w:color="D5D8DC" w:sz="1"/>
              <w:right w:val="single" w:color="D5D8DC" w:sz="1"/>
            </w:tcBorders>
            <w:shd w:fill="FFFFFF" w:val="clear"/>
            <w:tcMar>
              <w:top w:type="dxa" w:w="90"/>
              <w:left w:type="dxa" w:w="150"/>
              <w:bottom w:type="dxa" w:w="90"/>
              <w:right w:type="dxa" w:w="100"/>
            </w:tcMar>
            <w:vAlign w:val="top"/>
          </w:tcPr>
          <w:p>
            <w:pPr>
              <w:spacing w:before="0" w:after="0"/>
              <w:jc w:val="left"/>
            </w:pPr>
            <w:r>
              <w:rPr>
                <w:rFonts w:ascii="Arial" w:cs="Arial" w:eastAsia="Arial" w:hAnsi="Arial"/>
                <w:b w:val="false"/>
                <w:bCs w:val="false"/>
                <w:color w:val="1A1A1A"/>
                <w:sz w:val="20"/>
                <w:szCs w:val="20"/>
              </w:rPr>
              <w:t xml:space="preserve">Zero-payment frequency is monotonically predictive</w:t>
            </w:r>
          </w:p>
        </w:tc>
        <w:tc>
          <w:tcPr>
            <w:tcW w:type="dxa" w:w="3480"/>
            <w:tcBorders>
              <w:top w:val="single" w:color="D5D8DC" w:sz="1"/>
              <w:left w:val="single" w:color="D5D8DC" w:sz="1"/>
              <w:bottom w:val="single" w:color="D5D8DC" w:sz="1"/>
              <w:right w:val="single" w:color="D5D8DC" w:sz="1"/>
            </w:tcBorders>
            <w:shd w:fill="F4F6F7" w:val="clear"/>
            <w:tcMar>
              <w:top w:type="dxa" w:w="90"/>
              <w:left w:type="dxa" w:w="150"/>
              <w:bottom w:type="dxa" w:w="90"/>
              <w:right w:type="dxa" w:w="100"/>
            </w:tcMar>
            <w:vAlign w:val="top"/>
          </w:tcPr>
          <w:p>
            <w:pPr>
              <w:spacing w:before="0" w:after="0"/>
              <w:jc w:val="left"/>
            </w:pPr>
            <w:r>
              <w:rPr>
                <w:rFonts w:ascii="Arial" w:cs="Arial" w:eastAsia="Arial" w:hAnsi="Arial"/>
                <w:b w:val="false"/>
                <w:bCs w:val="false"/>
                <w:color w:val="1A1A1A"/>
                <w:sz w:val="20"/>
                <w:szCs w:val="20"/>
              </w:rPr>
              <w:t xml:space="preserve">Create NUM_ZERO_PAYMENTS counter and CHRONIC_NON_PAYER flag.</w:t>
            </w:r>
          </w:p>
        </w:tc>
        <w:tc>
          <w:tcPr>
            <w:tcW w:type="dxa" w:w="3480"/>
            <w:tcBorders>
              <w:top w:val="single" w:color="D5D8DC" w:sz="1"/>
              <w:left w:val="single" w:color="D5D8DC" w:sz="1"/>
              <w:bottom w:val="single" w:color="D5D8DC" w:sz="1"/>
              <w:right w:val="single" w:color="D5D8DC" w:sz="1"/>
            </w:tcBorders>
            <w:shd w:fill="C96A0A" w:val="clear"/>
            <w:tcMar>
              <w:top w:type="dxa" w:w="90"/>
              <w:left w:type="dxa" w:w="150"/>
              <w:bottom w:type="dxa" w:w="90"/>
              <w:right w:type="dxa" w:w="100"/>
            </w:tcMar>
            <w:vAlign w:val="top"/>
          </w:tcPr>
          <w:p>
            <w:pPr>
              <w:spacing w:before="0" w:after="0"/>
              <w:jc w:val="left"/>
            </w:pPr>
            <w:r>
              <w:rPr>
                <w:rFonts w:ascii="Arial" w:cs="Arial" w:eastAsia="Arial" w:hAnsi="Arial"/>
                <w:b/>
                <w:bCs/>
                <w:color w:val="FFFFFF"/>
                <w:sz w:val="20"/>
                <w:szCs w:val="20"/>
              </w:rPr>
              <w:t xml:space="preserve">High</w:t>
            </w:r>
          </w:p>
        </w:tc>
      </w:tr>
      <w:tr>
        <w:tc>
          <w:tcPr>
            <w:tcW w:type="dxa" w:w="2400"/>
            <w:tcBorders>
              <w:top w:val="single" w:color="D5D8DC" w:sz="1"/>
              <w:left w:val="single" w:color="D5D8DC" w:sz="1"/>
              <w:bottom w:val="single" w:color="D5D8DC" w:sz="1"/>
              <w:right w:val="single" w:color="D5D8DC" w:sz="1"/>
            </w:tcBorders>
            <w:shd w:fill="FFFFFF" w:val="clear"/>
            <w:tcMar>
              <w:top w:type="dxa" w:w="90"/>
              <w:left w:type="dxa" w:w="150"/>
              <w:bottom w:type="dxa" w:w="90"/>
              <w:right w:type="dxa" w:w="100"/>
            </w:tcMar>
            <w:vAlign w:val="top"/>
          </w:tcPr>
          <w:p>
            <w:pPr>
              <w:spacing w:before="0" w:after="0"/>
              <w:jc w:val="left"/>
            </w:pPr>
            <w:r>
              <w:rPr>
                <w:rFonts w:ascii="Arial" w:cs="Arial" w:eastAsia="Arial" w:hAnsi="Arial"/>
                <w:b w:val="false"/>
                <w:bCs w:val="false"/>
                <w:color w:val="1A1A1A"/>
                <w:sz w:val="20"/>
                <w:szCs w:val="20"/>
              </w:rPr>
              <w:t xml:space="preserve">Demographics are weak individual predictors</w:t>
            </w:r>
          </w:p>
        </w:tc>
        <w:tc>
          <w:tcPr>
            <w:tcW w:type="dxa" w:w="3480"/>
            <w:tcBorders>
              <w:top w:val="single" w:color="D5D8DC" w:sz="1"/>
              <w:left w:val="single" w:color="D5D8DC" w:sz="1"/>
              <w:bottom w:val="single" w:color="D5D8DC" w:sz="1"/>
              <w:right w:val="single" w:color="D5D8DC" w:sz="1"/>
            </w:tcBorders>
            <w:shd w:fill="F4F6F7" w:val="clear"/>
            <w:tcMar>
              <w:top w:type="dxa" w:w="90"/>
              <w:left w:type="dxa" w:w="150"/>
              <w:bottom w:type="dxa" w:w="90"/>
              <w:right w:type="dxa" w:w="100"/>
            </w:tcMar>
            <w:vAlign w:val="top"/>
          </w:tcPr>
          <w:p>
            <w:pPr>
              <w:spacing w:before="0" w:after="0"/>
              <w:jc w:val="left"/>
            </w:pPr>
            <w:r>
              <w:rPr>
                <w:rFonts w:ascii="Arial" w:cs="Arial" w:eastAsia="Arial" w:hAnsi="Arial"/>
                <w:b w:val="false"/>
                <w:bCs w:val="false"/>
                <w:color w:val="1A1A1A"/>
                <w:sz w:val="20"/>
                <w:szCs w:val="20"/>
              </w:rPr>
              <w:t xml:space="preserve">Retain with appropriate encoding. WOE for LR scorecard. Investigate interaction effects with behavioural features.</w:t>
            </w:r>
          </w:p>
        </w:tc>
        <w:tc>
          <w:tcPr>
            <w:tcW w:type="dxa" w:w="3480"/>
            <w:tcBorders>
              <w:top w:val="single" w:color="D5D8DC" w:sz="1"/>
              <w:left w:val="single" w:color="D5D8DC" w:sz="1"/>
              <w:bottom w:val="single" w:color="D5D8DC" w:sz="1"/>
              <w:right w:val="single" w:color="D5D8DC" w:sz="1"/>
            </w:tcBorders>
            <w:shd w:fill="2E75B6" w:val="clear"/>
            <w:tcMar>
              <w:top w:type="dxa" w:w="90"/>
              <w:left w:type="dxa" w:w="150"/>
              <w:bottom w:type="dxa" w:w="90"/>
              <w:right w:type="dxa" w:w="100"/>
            </w:tcMar>
            <w:vAlign w:val="top"/>
          </w:tcPr>
          <w:p>
            <w:pPr>
              <w:spacing w:before="0" w:after="0"/>
              <w:jc w:val="left"/>
            </w:pPr>
            <w:r>
              <w:rPr>
                <w:rFonts w:ascii="Arial" w:cs="Arial" w:eastAsia="Arial" w:hAnsi="Arial"/>
                <w:b/>
                <w:bCs/>
                <w:color w:val="FFFFFF"/>
                <w:sz w:val="20"/>
                <w:szCs w:val="20"/>
              </w:rPr>
              <w:t xml:space="preserve">Medium</w:t>
            </w:r>
          </w:p>
        </w:tc>
      </w:tr>
      <w:tr>
        <w:tc>
          <w:tcPr>
            <w:tcW w:type="dxa" w:w="2400"/>
            <w:tcBorders>
              <w:top w:val="single" w:color="D5D8DC" w:sz="1"/>
              <w:left w:val="single" w:color="D5D8DC" w:sz="1"/>
              <w:bottom w:val="single" w:color="D5D8DC" w:sz="1"/>
              <w:right w:val="single" w:color="D5D8DC" w:sz="1"/>
            </w:tcBorders>
            <w:shd w:fill="FFFFFF" w:val="clear"/>
            <w:tcMar>
              <w:top w:type="dxa" w:w="90"/>
              <w:left w:type="dxa" w:w="150"/>
              <w:bottom w:type="dxa" w:w="90"/>
              <w:right w:type="dxa" w:w="100"/>
            </w:tcMar>
            <w:vAlign w:val="top"/>
          </w:tcPr>
          <w:p>
            <w:pPr>
              <w:spacing w:before="0" w:after="0"/>
              <w:jc w:val="left"/>
            </w:pPr>
            <w:r>
              <w:rPr>
                <w:rFonts w:ascii="Arial" w:cs="Arial" w:eastAsia="Arial" w:hAnsi="Arial"/>
                <w:b w:val="false"/>
                <w:bCs w:val="false"/>
                <w:color w:val="1A1A1A"/>
                <w:sz w:val="20"/>
                <w:szCs w:val="20"/>
              </w:rPr>
              <w:t xml:space="preserve">Delinquency is chronic, not transient</w:t>
            </w:r>
          </w:p>
        </w:tc>
        <w:tc>
          <w:tcPr>
            <w:tcW w:type="dxa" w:w="3480"/>
            <w:tcBorders>
              <w:top w:val="single" w:color="D5D8DC" w:sz="1"/>
              <w:left w:val="single" w:color="D5D8DC" w:sz="1"/>
              <w:bottom w:val="single" w:color="D5D8DC" w:sz="1"/>
              <w:right w:val="single" w:color="D5D8DC" w:sz="1"/>
            </w:tcBorders>
            <w:shd w:fill="F4F6F7" w:val="clear"/>
            <w:tcMar>
              <w:top w:type="dxa" w:w="90"/>
              <w:left w:type="dxa" w:w="150"/>
              <w:bottom w:type="dxa" w:w="90"/>
              <w:right w:type="dxa" w:w="100"/>
            </w:tcMar>
            <w:vAlign w:val="top"/>
          </w:tcPr>
          <w:p>
            <w:pPr>
              <w:spacing w:before="0" w:after="0"/>
              <w:jc w:val="left"/>
            </w:pPr>
            <w:r>
              <w:rPr>
                <w:rFonts w:ascii="Arial" w:cs="Arial" w:eastAsia="Arial" w:hAnsi="Arial"/>
                <w:b w:val="false"/>
                <w:bCs w:val="false"/>
                <w:color w:val="1A1A1A"/>
                <w:sz w:val="20"/>
                <w:szCs w:val="20"/>
              </w:rPr>
              <w:t xml:space="preserve">Engineer longitudinal stability features: NUM_DELAYS (count of delinquent months), EVER_DELINQUENT flag, CONSECUTIVE_DELAYS.</w:t>
            </w:r>
          </w:p>
        </w:tc>
        <w:tc>
          <w:tcPr>
            <w:tcW w:type="dxa" w:w="3480"/>
            <w:tcBorders>
              <w:top w:val="single" w:color="D5D8DC" w:sz="1"/>
              <w:left w:val="single" w:color="D5D8DC" w:sz="1"/>
              <w:bottom w:val="single" w:color="D5D8DC" w:sz="1"/>
              <w:right w:val="single" w:color="D5D8DC" w:sz="1"/>
            </w:tcBorders>
            <w:shd w:fill="C96A0A" w:val="clear"/>
            <w:tcMar>
              <w:top w:type="dxa" w:w="90"/>
              <w:left w:type="dxa" w:w="150"/>
              <w:bottom w:type="dxa" w:w="90"/>
              <w:right w:type="dxa" w:w="100"/>
            </w:tcMar>
            <w:vAlign w:val="top"/>
          </w:tcPr>
          <w:p>
            <w:pPr>
              <w:spacing w:before="0" w:after="0"/>
              <w:jc w:val="left"/>
            </w:pPr>
            <w:r>
              <w:rPr>
                <w:rFonts w:ascii="Arial" w:cs="Arial" w:eastAsia="Arial" w:hAnsi="Arial"/>
                <w:b/>
                <w:bCs/>
                <w:color w:val="FFFFFF"/>
                <w:sz w:val="20"/>
                <w:szCs w:val="20"/>
              </w:rPr>
              <w:t xml:space="preserve">High</w:t>
            </w:r>
          </w:p>
        </w:tc>
      </w:tr>
      <w:tr>
        <w:tc>
          <w:tcPr>
            <w:tcW w:type="dxa" w:w="2400"/>
            <w:tcBorders>
              <w:top w:val="single" w:color="D5D8DC" w:sz="1"/>
              <w:left w:val="single" w:color="D5D8DC" w:sz="1"/>
              <w:bottom w:val="single" w:color="D5D8DC" w:sz="1"/>
              <w:right w:val="single" w:color="D5D8DC" w:sz="1"/>
            </w:tcBorders>
            <w:shd w:fill="FFFFFF" w:val="clear"/>
            <w:tcMar>
              <w:top w:type="dxa" w:w="90"/>
              <w:left w:type="dxa" w:w="150"/>
              <w:bottom w:type="dxa" w:w="90"/>
              <w:right w:type="dxa" w:w="100"/>
            </w:tcMar>
            <w:vAlign w:val="top"/>
          </w:tcPr>
          <w:p>
            <w:pPr>
              <w:spacing w:before="0" w:after="0"/>
              <w:jc w:val="left"/>
            </w:pPr>
            <w:r>
              <w:rPr>
                <w:rFonts w:ascii="Arial" w:cs="Arial" w:eastAsia="Arial" w:hAnsi="Arial"/>
                <w:b w:val="false"/>
                <w:bCs w:val="false"/>
                <w:color w:val="1A1A1A"/>
                <w:sz w:val="20"/>
                <w:szCs w:val="20"/>
              </w:rPr>
              <w:t xml:space="preserve">Payment behaviour shows multi-month deterioration</w:t>
            </w:r>
          </w:p>
        </w:tc>
        <w:tc>
          <w:tcPr>
            <w:tcW w:type="dxa" w:w="3480"/>
            <w:tcBorders>
              <w:top w:val="single" w:color="D5D8DC" w:sz="1"/>
              <w:left w:val="single" w:color="D5D8DC" w:sz="1"/>
              <w:bottom w:val="single" w:color="D5D8DC" w:sz="1"/>
              <w:right w:val="single" w:color="D5D8DC" w:sz="1"/>
            </w:tcBorders>
            <w:shd w:fill="F4F6F7" w:val="clear"/>
            <w:tcMar>
              <w:top w:type="dxa" w:w="90"/>
              <w:left w:type="dxa" w:w="150"/>
              <w:bottom w:type="dxa" w:w="90"/>
              <w:right w:type="dxa" w:w="100"/>
            </w:tcMar>
            <w:vAlign w:val="top"/>
          </w:tcPr>
          <w:p>
            <w:pPr>
              <w:spacing w:before="0" w:after="0"/>
              <w:jc w:val="left"/>
            </w:pPr>
            <w:r>
              <w:rPr>
                <w:rFonts w:ascii="Arial" w:cs="Arial" w:eastAsia="Arial" w:hAnsi="Arial"/>
                <w:b w:val="false"/>
                <w:bCs w:val="false"/>
                <w:color w:val="1A1A1A"/>
                <w:sz w:val="20"/>
                <w:szCs w:val="20"/>
              </w:rPr>
              <w:t xml:space="preserve">Engineer temporal trend features: DELAY_ACCELERATION, PAYMENT_TREND_SLOPE. Recency-weighted aggregates.</w:t>
            </w:r>
          </w:p>
        </w:tc>
        <w:tc>
          <w:tcPr>
            <w:tcW w:type="dxa" w:w="3480"/>
            <w:tcBorders>
              <w:top w:val="single" w:color="D5D8DC" w:sz="1"/>
              <w:left w:val="single" w:color="D5D8DC" w:sz="1"/>
              <w:bottom w:val="single" w:color="D5D8DC" w:sz="1"/>
              <w:right w:val="single" w:color="D5D8DC" w:sz="1"/>
            </w:tcBorders>
            <w:shd w:fill="2E75B6" w:val="clear"/>
            <w:tcMar>
              <w:top w:type="dxa" w:w="90"/>
              <w:left w:type="dxa" w:w="150"/>
              <w:bottom w:type="dxa" w:w="90"/>
              <w:right w:type="dxa" w:w="100"/>
            </w:tcMar>
            <w:vAlign w:val="top"/>
          </w:tcPr>
          <w:p>
            <w:pPr>
              <w:spacing w:before="0" w:after="0"/>
              <w:jc w:val="left"/>
            </w:pPr>
            <w:r>
              <w:rPr>
                <w:rFonts w:ascii="Arial" w:cs="Arial" w:eastAsia="Arial" w:hAnsi="Arial"/>
                <w:b/>
                <w:bCs/>
                <w:color w:val="FFFFFF"/>
                <w:sz w:val="20"/>
                <w:szCs w:val="20"/>
              </w:rPr>
              <w:t xml:space="preserve">Medium</w:t>
            </w:r>
          </w:p>
        </w:tc>
      </w:tr>
    </w:tbl>
    <w:p>
      <w:pPr>
        <w:spacing w:before="0" w:after="200"/>
      </w:pPr>
    </w:p>
    <w:p>
      <w:r>
        <w:br w:type="page"/>
      </w:r>
    </w:p>
    <w:p>
      <w:pPr>
        <w:pStyle w:val="Heading1"/>
        <w:pBdr>
          <w:bottom w:val="single" w:color="2E75B6" w:sz="6"/>
        </w:pBdr>
        <w:spacing w:before="400" w:after="160"/>
      </w:pPr>
      <w:r>
        <w:rPr>
          <w:rFonts w:ascii="Arial" w:cs="Arial" w:eastAsia="Arial" w:hAnsi="Arial"/>
          <w:b/>
          <w:bCs/>
          <w:color w:val="1F3864"/>
          <w:sz w:val="36"/>
          <w:szCs w:val="36"/>
        </w:rPr>
        <w:t xml:space="preserve">Section 1: Feature Assessment Based on EDA</w:t>
      </w:r>
    </w:p>
    <w:p>
      <w:pPr>
        <w:spacing w:before="80" w:after="80"/>
      </w:pPr>
      <w:r>
        <w:rPr>
          <w:rFonts w:ascii="Arial" w:cs="Arial" w:eastAsia="Arial" w:hAnsi="Arial"/>
          <w:b w:val="false"/>
          <w:bCs w:val="false"/>
          <w:color w:val="1A1A1A"/>
          <w:sz w:val="22"/>
          <w:szCs w:val="22"/>
        </w:rPr>
        <w:t xml:space="preserve">Systematic feature assessment is the analytical foundation of all subsequent engineering decisions. In a real-world credit risk project, every raw feature must be evaluated across five dimensions before any transformation or engineering begins. Skipping this step leads to engineering effort wasted on irrelevant or redundant variables.</w:t>
      </w:r>
    </w:p>
    <w:p>
      <w:pPr>
        <w:spacing w:before="0" w:after="120"/>
      </w:pPr>
    </w:p>
    <w:p>
      <w:pPr>
        <w:pStyle w:val="Heading2"/>
        <w:spacing w:before="280" w:after="120"/>
      </w:pPr>
      <w:r>
        <w:rPr>
          <w:rFonts w:ascii="Arial" w:cs="Arial" w:eastAsia="Arial" w:hAnsi="Arial"/>
          <w:b/>
          <w:bCs/>
          <w:color w:val="1B6CA8"/>
          <w:sz w:val="28"/>
          <w:szCs w:val="28"/>
        </w:rPr>
        <w:t xml:space="preserve">1.1 Irrelevant Features</w:t>
      </w:r>
    </w:p>
    <w:p>
      <w:pPr>
        <w:spacing w:before="80" w:after="80"/>
      </w:pPr>
      <w:r>
        <w:rPr>
          <w:rFonts w:ascii="Arial" w:cs="Arial" w:eastAsia="Arial" w:hAnsi="Arial"/>
          <w:b w:val="false"/>
          <w:bCs w:val="false"/>
          <w:color w:val="1A1A1A"/>
          <w:sz w:val="22"/>
          <w:szCs w:val="22"/>
        </w:rPr>
        <w:t xml:space="preserve">A feature is irrelevant when it carries no meaningful relationship with the default outcome — either statistically (low Information Value, near-zero correlation) or theoretically (no plausible causal or proxy mechanism linking it to creditworthiness).</w:t>
      </w:r>
    </w:p>
    <w:p>
      <w:pPr>
        <w:spacing w:before="0" w:after="80"/>
      </w:pPr>
    </w:p>
    <w:p>
      <w:pPr>
        <w:pStyle w:val="Heading3"/>
        <w:spacing w:before="200" w:after="80"/>
      </w:pPr>
      <w:r>
        <w:rPr>
          <w:rFonts w:ascii="Arial" w:cs="Arial" w:eastAsia="Arial" w:hAnsi="Arial"/>
          <w:b/>
          <w:bCs/>
          <w:color w:val="1F3864"/>
          <w:sz w:val="24"/>
          <w:szCs w:val="24"/>
        </w:rPr>
        <w:t xml:space="preserve">Statistical Methods</w:t>
      </w:r>
    </w:p>
    <w:p>
      <w:pPr>
        <w:pStyle w:val="ListParagraph"/>
        <w:numPr>
          <w:ilvl w:val="0"/>
          <w:numId w:val="2"/>
        </w:numPr>
        <w:spacing w:before="50" w:after="50"/>
      </w:pPr>
      <w:r>
        <w:rPr>
          <w:rFonts w:ascii="Arial" w:cs="Arial" w:eastAsia="Arial" w:hAnsi="Arial"/>
          <w:b w:val="false"/>
          <w:bCs w:val="false"/>
          <w:color w:val="1A1A1A"/>
          <w:sz w:val="22"/>
          <w:szCs w:val="22"/>
        </w:rPr>
        <w:t xml:space="preserve">Information Value (IV): The gold standard for credit scoring. IV &lt; 0.02 indicates a feature with no meaningful predictive power. IV values for each feature should be computed using Weight of Evidence (WOE) binning before any model is fitted.</w:t>
      </w:r>
    </w:p>
    <w:p>
      <w:pPr>
        <w:pStyle w:val="ListParagraph"/>
        <w:numPr>
          <w:ilvl w:val="0"/>
          <w:numId w:val="2"/>
        </w:numPr>
        <w:spacing w:before="50" w:after="50"/>
      </w:pPr>
      <w:r>
        <w:rPr>
          <w:rFonts w:ascii="Arial" w:cs="Arial" w:eastAsia="Arial" w:hAnsi="Arial"/>
          <w:b w:val="false"/>
          <w:bCs w:val="false"/>
          <w:color w:val="1A1A1A"/>
          <w:sz w:val="22"/>
          <w:szCs w:val="22"/>
        </w:rPr>
        <w:t xml:space="preserve">Correlation with target: Pearson correlation for continuous features; point-biserial for ordinal. Near-zero correlation (|r| &lt; 0.05) combined with low IV justifies removal consideration.</w:t>
      </w:r>
    </w:p>
    <w:p>
      <w:pPr>
        <w:pStyle w:val="ListParagraph"/>
        <w:numPr>
          <w:ilvl w:val="0"/>
          <w:numId w:val="2"/>
        </w:numPr>
        <w:spacing w:before="50" w:after="50"/>
      </w:pPr>
      <w:r>
        <w:rPr>
          <w:rFonts w:ascii="Arial" w:cs="Arial" w:eastAsia="Arial" w:hAnsi="Arial"/>
          <w:b w:val="false"/>
          <w:bCs w:val="false"/>
          <w:color w:val="1A1A1A"/>
          <w:sz w:val="22"/>
          <w:szCs w:val="22"/>
        </w:rPr>
        <w:t xml:space="preserve">Mutual Information: Non-parametric measure of statistical dependence. Captures non-linear relationships that Pearson correlation misses. A feature with near-zero mutual information with the target is a strong removal candidate.</w:t>
      </w:r>
    </w:p>
    <w:p>
      <w:pPr>
        <w:pStyle w:val="ListParagraph"/>
        <w:numPr>
          <w:ilvl w:val="0"/>
          <w:numId w:val="2"/>
        </w:numPr>
        <w:spacing w:before="50" w:after="50"/>
      </w:pPr>
      <w:r>
        <w:rPr>
          <w:rFonts w:ascii="Arial" w:cs="Arial" w:eastAsia="Arial" w:hAnsi="Arial"/>
          <w:b w:val="false"/>
          <w:bCs w:val="false"/>
          <w:color w:val="1A1A1A"/>
          <w:sz w:val="22"/>
          <w:szCs w:val="22"/>
        </w:rPr>
        <w:t xml:space="preserve">Chi-squared test: For categorical features, tests independence between the feature distribution and the default rate. A high p-value (&gt; 0.05) suggests no association.</w:t>
      </w:r>
    </w:p>
    <w:p>
      <w:pPr>
        <w:spacing w:before="0" w:after="80"/>
      </w:pPr>
    </w:p>
    <w:p>
      <w:pPr>
        <w:pStyle w:val="Heading3"/>
        <w:spacing w:before="200" w:after="80"/>
      </w:pPr>
      <w:r>
        <w:rPr>
          <w:rFonts w:ascii="Arial" w:cs="Arial" w:eastAsia="Arial" w:hAnsi="Arial"/>
          <w:b/>
          <w:bCs/>
          <w:color w:val="1F3864"/>
          <w:sz w:val="24"/>
          <w:szCs w:val="24"/>
        </w:rPr>
        <w:t xml:space="preserve">Application to This Dataset</w:t>
      </w:r>
    </w:p>
    <w:p>
      <w:pPr>
        <w:spacing w:before="80" w:after="80"/>
      </w:pPr>
      <w:r>
        <w:rPr>
          <w:rFonts w:ascii="Arial" w:cs="Arial" w:eastAsia="Arial" w:hAnsi="Arial"/>
          <w:b w:val="false"/>
          <w:bCs w:val="false"/>
          <w:color w:val="1A1A1A"/>
          <w:sz w:val="22"/>
          <w:szCs w:val="22"/>
        </w:rPr>
        <w:t xml:space="preserve">Based on EDA findings, the following features are candidates for irrelevance assessment: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2400"/>
        <w:gridCol w:w="2760"/>
      </w:tblGrid>
      <w:tr>
        <w:tc>
          <w:tcPr>
            <w:tcW w:type="dxa" w:w="1800"/>
            <w:tcBorders>
              <w:top w:val="single" w:color="D5D8DC" w:sz="1"/>
              <w:left w:val="single" w:color="D5D8DC" w:sz="1"/>
              <w:bottom w:val="single" w:color="D5D8DC" w:sz="1"/>
              <w:right w:val="single" w:color="D5D8DC" w:sz="1"/>
            </w:tcBorders>
            <w:shd w:fill="1F3864" w:val="clear"/>
            <w:tcMar>
              <w:top w:type="dxa" w:w="90"/>
              <w:left w:type="dxa" w:w="150"/>
              <w:bottom w:type="dxa" w:w="90"/>
              <w:right w:type="dxa" w:w="100"/>
            </w:tcMar>
            <w:vAlign w:val="top"/>
          </w:tcPr>
          <w:p>
            <w:pPr>
              <w:spacing w:before="0" w:after="0"/>
              <w:jc w:val="left"/>
            </w:pPr>
            <w:r>
              <w:rPr>
                <w:rFonts w:ascii="Arial" w:cs="Arial" w:eastAsia="Arial" w:hAnsi="Arial"/>
                <w:b/>
                <w:bCs/>
                <w:color w:val="FFFFFF"/>
                <w:sz w:val="19"/>
                <w:szCs w:val="19"/>
              </w:rPr>
              <w:t xml:space="preserve">Feature</w:t>
            </w:r>
          </w:p>
        </w:tc>
        <w:tc>
          <w:tcPr>
            <w:tcW w:type="dxa" w:w="2400"/>
            <w:tcBorders>
              <w:top w:val="single" w:color="D5D8DC" w:sz="1"/>
              <w:left w:val="single" w:color="D5D8DC" w:sz="1"/>
              <w:bottom w:val="single" w:color="D5D8DC" w:sz="1"/>
              <w:right w:val="single" w:color="D5D8DC" w:sz="1"/>
            </w:tcBorders>
            <w:shd w:fill="1F3864" w:val="clear"/>
            <w:tcMar>
              <w:top w:type="dxa" w:w="90"/>
              <w:left w:type="dxa" w:w="150"/>
              <w:bottom w:type="dxa" w:w="90"/>
              <w:right w:type="dxa" w:w="100"/>
            </w:tcMar>
            <w:vAlign w:val="top"/>
          </w:tcPr>
          <w:p>
            <w:pPr>
              <w:spacing w:before="0" w:after="0"/>
              <w:jc w:val="left"/>
            </w:pPr>
            <w:r>
              <w:rPr>
                <w:rFonts w:ascii="Arial" w:cs="Arial" w:eastAsia="Arial" w:hAnsi="Arial"/>
                <w:b/>
                <w:bCs/>
                <w:color w:val="FFFFFF"/>
                <w:sz w:val="19"/>
                <w:szCs w:val="19"/>
              </w:rPr>
              <w:t xml:space="preserve">EDA Signal</w:t>
            </w:r>
          </w:p>
        </w:tc>
        <w:tc>
          <w:tcPr>
            <w:tcW w:type="dxa" w:w="2400"/>
            <w:tcBorders>
              <w:top w:val="single" w:color="D5D8DC" w:sz="1"/>
              <w:left w:val="single" w:color="D5D8DC" w:sz="1"/>
              <w:bottom w:val="single" w:color="D5D8DC" w:sz="1"/>
              <w:right w:val="single" w:color="D5D8DC" w:sz="1"/>
            </w:tcBorders>
            <w:shd w:fill="1F3864" w:val="clear"/>
            <w:tcMar>
              <w:top w:type="dxa" w:w="90"/>
              <w:left w:type="dxa" w:w="150"/>
              <w:bottom w:type="dxa" w:w="90"/>
              <w:right w:type="dxa" w:w="100"/>
            </w:tcMar>
            <w:vAlign w:val="top"/>
          </w:tcPr>
          <w:p>
            <w:pPr>
              <w:spacing w:before="0" w:after="0"/>
              <w:jc w:val="left"/>
            </w:pPr>
            <w:r>
              <w:rPr>
                <w:rFonts w:ascii="Arial" w:cs="Arial" w:eastAsia="Arial" w:hAnsi="Arial"/>
                <w:b/>
                <w:bCs/>
                <w:color w:val="FFFFFF"/>
                <w:sz w:val="19"/>
                <w:szCs w:val="19"/>
              </w:rPr>
              <w:t xml:space="preserve">IV Expectation</w:t>
            </w:r>
          </w:p>
        </w:tc>
        <w:tc>
          <w:tcPr>
            <w:tcW w:type="dxa" w:w="2760"/>
            <w:tcBorders>
              <w:top w:val="single" w:color="D5D8DC" w:sz="1"/>
              <w:left w:val="single" w:color="D5D8DC" w:sz="1"/>
              <w:bottom w:val="single" w:color="D5D8DC" w:sz="1"/>
              <w:right w:val="single" w:color="D5D8DC" w:sz="1"/>
            </w:tcBorders>
            <w:shd w:fill="1F3864" w:val="clear"/>
            <w:tcMar>
              <w:top w:type="dxa" w:w="90"/>
              <w:left w:type="dxa" w:w="150"/>
              <w:bottom w:type="dxa" w:w="90"/>
              <w:right w:type="dxa" w:w="100"/>
            </w:tcMar>
            <w:vAlign w:val="top"/>
          </w:tcPr>
          <w:p>
            <w:pPr>
              <w:spacing w:before="0" w:after="0"/>
              <w:jc w:val="left"/>
            </w:pPr>
            <w:r>
              <w:rPr>
                <w:rFonts w:ascii="Arial" w:cs="Arial" w:eastAsia="Arial" w:hAnsi="Arial"/>
                <w:b/>
                <w:bCs/>
                <w:color w:val="FFFFFF"/>
                <w:sz w:val="19"/>
                <w:szCs w:val="19"/>
              </w:rPr>
              <w:t xml:space="preserve">Decision Logic</w:t>
            </w:r>
          </w:p>
        </w:tc>
      </w:tr>
      <w:tr>
        <w:tc>
          <w:tcPr>
            <w:tcW w:type="dxa" w:w="1800"/>
            <w:tcBorders>
              <w:top w:val="single" w:color="D5D8DC" w:sz="1"/>
              <w:left w:val="single" w:color="D5D8DC" w:sz="1"/>
              <w:bottom w:val="single" w:color="D5D8DC" w:sz="1"/>
              <w:right w:val="single" w:color="D5D8DC" w:sz="1"/>
            </w:tcBorders>
            <w:shd w:fill="FFFFFF" w:val="clear"/>
            <w:tcMar>
              <w:top w:type="dxa" w:w="90"/>
              <w:left w:type="dxa" w:w="150"/>
              <w:bottom w:type="dxa" w:w="90"/>
              <w:right w:type="dxa" w:w="100"/>
            </w:tcMar>
            <w:vAlign w:val="top"/>
          </w:tcPr>
          <w:p>
            <w:pPr>
              <w:spacing w:before="0" w:after="0"/>
              <w:jc w:val="left"/>
            </w:pPr>
            <w:r>
              <w:rPr>
                <w:rFonts w:ascii="Arial" w:cs="Arial" w:eastAsia="Arial" w:hAnsi="Arial"/>
                <w:b w:val="false"/>
                <w:bCs w:val="false"/>
                <w:color w:val="1A1A1A"/>
                <w:sz w:val="20"/>
                <w:szCs w:val="20"/>
              </w:rPr>
              <w:t xml:space="preserve">GENDER</w:t>
            </w:r>
          </w:p>
        </w:tc>
        <w:tc>
          <w:tcPr>
            <w:tcW w:type="dxa" w:w="2400"/>
            <w:tcBorders>
              <w:top w:val="single" w:color="D5D8DC" w:sz="1"/>
              <w:left w:val="single" w:color="D5D8DC" w:sz="1"/>
              <w:bottom w:val="single" w:color="D5D8DC" w:sz="1"/>
              <w:right w:val="single" w:color="D5D8DC" w:sz="1"/>
            </w:tcBorders>
            <w:shd w:fill="F4F6F7" w:val="clear"/>
            <w:tcMar>
              <w:top w:type="dxa" w:w="90"/>
              <w:left w:type="dxa" w:w="150"/>
              <w:bottom w:type="dxa" w:w="90"/>
              <w:right w:type="dxa" w:w="100"/>
            </w:tcMar>
            <w:vAlign w:val="top"/>
          </w:tcPr>
          <w:p>
            <w:pPr>
              <w:spacing w:before="0" w:after="0"/>
              <w:jc w:val="left"/>
            </w:pPr>
            <w:r>
              <w:rPr>
                <w:rFonts w:ascii="Arial" w:cs="Arial" w:eastAsia="Arial" w:hAnsi="Arial"/>
                <w:b w:val="false"/>
                <w:bCs w:val="false"/>
                <w:color w:val="1A1A1A"/>
                <w:sz w:val="20"/>
                <w:szCs w:val="20"/>
              </w:rPr>
              <w:t xml:space="preserve">3–4 pp default rate difference</w:t>
            </w:r>
          </w:p>
        </w:tc>
        <w:tc>
          <w:tcPr>
            <w:tcW w:type="dxa" w:w="2400"/>
            <w:tcBorders>
              <w:top w:val="single" w:color="D5D8DC" w:sz="1"/>
              <w:left w:val="single" w:color="D5D8DC" w:sz="1"/>
              <w:bottom w:val="single" w:color="D5D8DC" w:sz="1"/>
              <w:right w:val="single" w:color="D5D8DC" w:sz="1"/>
            </w:tcBorders>
            <w:shd w:fill="F4F6F7" w:val="clear"/>
            <w:tcMar>
              <w:top w:type="dxa" w:w="90"/>
              <w:left w:type="dxa" w:w="150"/>
              <w:bottom w:type="dxa" w:w="90"/>
              <w:right w:type="dxa" w:w="100"/>
            </w:tcMar>
            <w:vAlign w:val="top"/>
          </w:tcPr>
          <w:p>
            <w:pPr>
              <w:spacing w:before="0" w:after="0"/>
              <w:jc w:val="left"/>
            </w:pPr>
            <w:r>
              <w:rPr>
                <w:rFonts w:ascii="Arial" w:cs="Arial" w:eastAsia="Arial" w:hAnsi="Arial"/>
                <w:b w:val="false"/>
                <w:bCs w:val="false"/>
                <w:color w:val="1A1A1A"/>
                <w:sz w:val="20"/>
                <w:szCs w:val="20"/>
              </w:rPr>
              <w:t xml:space="preserve">Low (~0.02–0.05)</w:t>
            </w:r>
          </w:p>
        </w:tc>
        <w:tc>
          <w:tcPr>
            <w:tcW w:type="dxa" w:w="2760"/>
            <w:tcBorders>
              <w:top w:val="single" w:color="D5D8DC" w:sz="1"/>
              <w:left w:val="single" w:color="D5D8DC" w:sz="1"/>
              <w:bottom w:val="single" w:color="D5D8DC" w:sz="1"/>
              <w:right w:val="single" w:color="D5D8DC" w:sz="1"/>
            </w:tcBorders>
            <w:shd w:fill="FFFFFF" w:val="clear"/>
            <w:tcMar>
              <w:top w:type="dxa" w:w="90"/>
              <w:left w:type="dxa" w:w="150"/>
              <w:bottom w:type="dxa" w:w="90"/>
              <w:right w:type="dxa" w:w="100"/>
            </w:tcMar>
            <w:vAlign w:val="top"/>
          </w:tcPr>
          <w:p>
            <w:pPr>
              <w:spacing w:before="0" w:after="0"/>
              <w:jc w:val="left"/>
            </w:pPr>
            <w:r>
              <w:rPr>
                <w:rFonts w:ascii="Arial" w:cs="Arial" w:eastAsia="Arial" w:hAnsi="Arial"/>
                <w:b w:val="false"/>
                <w:bCs w:val="false"/>
                <w:color w:val="1A1A1A"/>
                <w:sz w:val="20"/>
                <w:szCs w:val="20"/>
              </w:rPr>
              <w:t xml:space="preserve">Retain with caution — regulatory review needed. Weak standalone but potentially interactive.</w:t>
            </w:r>
          </w:p>
        </w:tc>
      </w:tr>
      <w:tr>
        <w:tc>
          <w:tcPr>
            <w:tcW w:type="dxa" w:w="1800"/>
            <w:tcBorders>
              <w:top w:val="single" w:color="D5D8DC" w:sz="1"/>
              <w:left w:val="single" w:color="D5D8DC" w:sz="1"/>
              <w:bottom w:val="single" w:color="D5D8DC" w:sz="1"/>
              <w:right w:val="single" w:color="D5D8DC" w:sz="1"/>
            </w:tcBorders>
            <w:shd w:fill="FFFFFF" w:val="clear"/>
            <w:tcMar>
              <w:top w:type="dxa" w:w="90"/>
              <w:left w:type="dxa" w:w="150"/>
              <w:bottom w:type="dxa" w:w="90"/>
              <w:right w:type="dxa" w:w="100"/>
            </w:tcMar>
            <w:vAlign w:val="top"/>
          </w:tcPr>
          <w:p>
            <w:pPr>
              <w:spacing w:before="0" w:after="0"/>
              <w:jc w:val="left"/>
            </w:pPr>
            <w:r>
              <w:rPr>
                <w:rFonts w:ascii="Arial" w:cs="Arial" w:eastAsia="Arial" w:hAnsi="Arial"/>
                <w:b w:val="false"/>
                <w:bCs w:val="false"/>
                <w:color w:val="1A1A1A"/>
                <w:sz w:val="20"/>
                <w:szCs w:val="20"/>
              </w:rPr>
              <w:t xml:space="preserve">MARRIAGE</w:t>
            </w:r>
          </w:p>
        </w:tc>
        <w:tc>
          <w:tcPr>
            <w:tcW w:type="dxa" w:w="2400"/>
            <w:tcBorders>
              <w:top w:val="single" w:color="D5D8DC" w:sz="1"/>
              <w:left w:val="single" w:color="D5D8DC" w:sz="1"/>
              <w:bottom w:val="single" w:color="D5D8DC" w:sz="1"/>
              <w:right w:val="single" w:color="D5D8DC" w:sz="1"/>
            </w:tcBorders>
            <w:shd w:fill="F4F6F7" w:val="clear"/>
            <w:tcMar>
              <w:top w:type="dxa" w:w="90"/>
              <w:left w:type="dxa" w:w="150"/>
              <w:bottom w:type="dxa" w:w="90"/>
              <w:right w:type="dxa" w:w="100"/>
            </w:tcMar>
            <w:vAlign w:val="top"/>
          </w:tcPr>
          <w:p>
            <w:pPr>
              <w:spacing w:before="0" w:after="0"/>
              <w:jc w:val="left"/>
            </w:pPr>
            <w:r>
              <w:rPr>
                <w:rFonts w:ascii="Arial" w:cs="Arial" w:eastAsia="Arial" w:hAnsi="Arial"/>
                <w:b w:val="false"/>
                <w:bCs w:val="false"/>
                <w:color w:val="1A1A1A"/>
                <w:sz w:val="20"/>
                <w:szCs w:val="20"/>
              </w:rPr>
              <w:t xml:space="preserve">Single clients marginally higher default</w:t>
            </w:r>
          </w:p>
        </w:tc>
        <w:tc>
          <w:tcPr>
            <w:tcW w:type="dxa" w:w="2400"/>
            <w:tcBorders>
              <w:top w:val="single" w:color="D5D8DC" w:sz="1"/>
              <w:left w:val="single" w:color="D5D8DC" w:sz="1"/>
              <w:bottom w:val="single" w:color="D5D8DC" w:sz="1"/>
              <w:right w:val="single" w:color="D5D8DC" w:sz="1"/>
            </w:tcBorders>
            <w:shd w:fill="F4F6F7" w:val="clear"/>
            <w:tcMar>
              <w:top w:type="dxa" w:w="90"/>
              <w:left w:type="dxa" w:w="150"/>
              <w:bottom w:type="dxa" w:w="90"/>
              <w:right w:type="dxa" w:w="100"/>
            </w:tcMar>
            <w:vAlign w:val="top"/>
          </w:tcPr>
          <w:p>
            <w:pPr>
              <w:spacing w:before="0" w:after="0"/>
              <w:jc w:val="left"/>
            </w:pPr>
            <w:r>
              <w:rPr>
                <w:rFonts w:ascii="Arial" w:cs="Arial" w:eastAsia="Arial" w:hAnsi="Arial"/>
                <w:b w:val="false"/>
                <w:bCs w:val="false"/>
                <w:color w:val="1A1A1A"/>
                <w:sz w:val="20"/>
                <w:szCs w:val="20"/>
              </w:rPr>
              <w:t xml:space="preserve">Low (~0.02–0.06)</w:t>
            </w:r>
          </w:p>
        </w:tc>
        <w:tc>
          <w:tcPr>
            <w:tcW w:type="dxa" w:w="2760"/>
            <w:tcBorders>
              <w:top w:val="single" w:color="D5D8DC" w:sz="1"/>
              <w:left w:val="single" w:color="D5D8DC" w:sz="1"/>
              <w:bottom w:val="single" w:color="D5D8DC" w:sz="1"/>
              <w:right w:val="single" w:color="D5D8DC" w:sz="1"/>
            </w:tcBorders>
            <w:shd w:fill="FFFFFF" w:val="clear"/>
            <w:tcMar>
              <w:top w:type="dxa" w:w="90"/>
              <w:left w:type="dxa" w:w="150"/>
              <w:bottom w:type="dxa" w:w="90"/>
              <w:right w:type="dxa" w:w="100"/>
            </w:tcMar>
            <w:vAlign w:val="top"/>
          </w:tcPr>
          <w:p>
            <w:pPr>
              <w:spacing w:before="0" w:after="0"/>
              <w:jc w:val="left"/>
            </w:pPr>
            <w:r>
              <w:rPr>
                <w:rFonts w:ascii="Arial" w:cs="Arial" w:eastAsia="Arial" w:hAnsi="Arial"/>
                <w:b w:val="false"/>
                <w:bCs w:val="false"/>
                <w:color w:val="1A1A1A"/>
                <w:sz w:val="20"/>
                <w:szCs w:val="20"/>
              </w:rPr>
              <w:t xml:space="preserve">Retain. May gain power via WOE encoding and interaction with AGE.</w:t>
            </w:r>
          </w:p>
        </w:tc>
      </w:tr>
      <w:tr>
        <w:tc>
          <w:tcPr>
            <w:tcW w:type="dxa" w:w="1800"/>
            <w:tcBorders>
              <w:top w:val="single" w:color="D5D8DC" w:sz="1"/>
              <w:left w:val="single" w:color="D5D8DC" w:sz="1"/>
              <w:bottom w:val="single" w:color="D5D8DC" w:sz="1"/>
              <w:right w:val="single" w:color="D5D8DC" w:sz="1"/>
            </w:tcBorders>
            <w:shd w:fill="FFFFFF" w:val="clear"/>
            <w:tcMar>
              <w:top w:type="dxa" w:w="90"/>
              <w:left w:type="dxa" w:w="150"/>
              <w:bottom w:type="dxa" w:w="90"/>
              <w:right w:type="dxa" w:w="100"/>
            </w:tcMar>
            <w:vAlign w:val="top"/>
          </w:tcPr>
          <w:p>
            <w:pPr>
              <w:spacing w:before="0" w:after="0"/>
              <w:jc w:val="left"/>
            </w:pPr>
            <w:r>
              <w:rPr>
                <w:rFonts w:ascii="Arial" w:cs="Arial" w:eastAsia="Arial" w:hAnsi="Arial"/>
                <w:b w:val="false"/>
                <w:bCs w:val="false"/>
                <w:color w:val="1A1A1A"/>
                <w:sz w:val="20"/>
                <w:szCs w:val="20"/>
              </w:rPr>
              <w:t xml:space="preserve">AGE</w:t>
            </w:r>
          </w:p>
        </w:tc>
        <w:tc>
          <w:tcPr>
            <w:tcW w:type="dxa" w:w="2400"/>
            <w:tcBorders>
              <w:top w:val="single" w:color="D5D8DC" w:sz="1"/>
              <w:left w:val="single" w:color="D5D8DC" w:sz="1"/>
              <w:bottom w:val="single" w:color="D5D8DC" w:sz="1"/>
              <w:right w:val="single" w:color="D5D8DC" w:sz="1"/>
            </w:tcBorders>
            <w:shd w:fill="F4F6F7" w:val="clear"/>
            <w:tcMar>
              <w:top w:type="dxa" w:w="90"/>
              <w:left w:type="dxa" w:w="150"/>
              <w:bottom w:type="dxa" w:w="90"/>
              <w:right w:type="dxa" w:w="100"/>
            </w:tcMar>
            <w:vAlign w:val="top"/>
          </w:tcPr>
          <w:p>
            <w:pPr>
              <w:spacing w:before="0" w:after="0"/>
              <w:jc w:val="left"/>
            </w:pPr>
            <w:r>
              <w:rPr>
                <w:rFonts w:ascii="Arial" w:cs="Arial" w:eastAsia="Arial" w:hAnsi="Arial"/>
                <w:b w:val="false"/>
                <w:bCs w:val="false"/>
                <w:color w:val="1A1A1A"/>
                <w:sz w:val="20"/>
                <w:szCs w:val="20"/>
              </w:rPr>
              <w:t xml:space="preserve">No strong monotonic age-default relationship</w:t>
            </w:r>
          </w:p>
        </w:tc>
        <w:tc>
          <w:tcPr>
            <w:tcW w:type="dxa" w:w="2400"/>
            <w:tcBorders>
              <w:top w:val="single" w:color="D5D8DC" w:sz="1"/>
              <w:left w:val="single" w:color="D5D8DC" w:sz="1"/>
              <w:bottom w:val="single" w:color="D5D8DC" w:sz="1"/>
              <w:right w:val="single" w:color="D5D8DC" w:sz="1"/>
            </w:tcBorders>
            <w:shd w:fill="F4F6F7" w:val="clear"/>
            <w:tcMar>
              <w:top w:type="dxa" w:w="90"/>
              <w:left w:type="dxa" w:w="150"/>
              <w:bottom w:type="dxa" w:w="90"/>
              <w:right w:type="dxa" w:w="100"/>
            </w:tcMar>
            <w:vAlign w:val="top"/>
          </w:tcPr>
          <w:p>
            <w:pPr>
              <w:spacing w:before="0" w:after="0"/>
              <w:jc w:val="left"/>
            </w:pPr>
            <w:r>
              <w:rPr>
                <w:rFonts w:ascii="Arial" w:cs="Arial" w:eastAsia="Arial" w:hAnsi="Arial"/>
                <w:b w:val="false"/>
                <w:bCs w:val="false"/>
                <w:color w:val="1A1A1A"/>
                <w:sz w:val="20"/>
                <w:szCs w:val="20"/>
              </w:rPr>
              <w:t xml:space="preserve">Low–Medium (~0.05–0.12)</w:t>
            </w:r>
          </w:p>
        </w:tc>
        <w:tc>
          <w:tcPr>
            <w:tcW w:type="dxa" w:w="2760"/>
            <w:tcBorders>
              <w:top w:val="single" w:color="D5D8DC" w:sz="1"/>
              <w:left w:val="single" w:color="D5D8DC" w:sz="1"/>
              <w:bottom w:val="single" w:color="D5D8DC" w:sz="1"/>
              <w:right w:val="single" w:color="D5D8DC" w:sz="1"/>
            </w:tcBorders>
            <w:shd w:fill="FFFFFF" w:val="clear"/>
            <w:tcMar>
              <w:top w:type="dxa" w:w="90"/>
              <w:left w:type="dxa" w:w="150"/>
              <w:bottom w:type="dxa" w:w="90"/>
              <w:right w:type="dxa" w:w="100"/>
            </w:tcMar>
            <w:vAlign w:val="top"/>
          </w:tcPr>
          <w:p>
            <w:pPr>
              <w:spacing w:before="0" w:after="0"/>
              <w:jc w:val="left"/>
            </w:pPr>
            <w:r>
              <w:rPr>
                <w:rFonts w:ascii="Arial" w:cs="Arial" w:eastAsia="Arial" w:hAnsi="Arial"/>
                <w:b w:val="false"/>
                <w:bCs w:val="false"/>
                <w:color w:val="1A1A1A"/>
                <w:sz w:val="20"/>
                <w:szCs w:val="20"/>
              </w:rPr>
              <w:t xml:space="preserve">Retain. Non-linear U-shaped risk pattern warrants binning. Weak raw, stronger binned.</w:t>
            </w:r>
          </w:p>
        </w:tc>
      </w:tr>
      <w:tr>
        <w:tc>
          <w:tcPr>
            <w:tcW w:type="dxa" w:w="1800"/>
            <w:tcBorders>
              <w:top w:val="single" w:color="D5D8DC" w:sz="1"/>
              <w:left w:val="single" w:color="D5D8DC" w:sz="1"/>
              <w:bottom w:val="single" w:color="D5D8DC" w:sz="1"/>
              <w:right w:val="single" w:color="D5D8DC" w:sz="1"/>
            </w:tcBorders>
            <w:shd w:fill="FFFFFF" w:val="clear"/>
            <w:tcMar>
              <w:top w:type="dxa" w:w="90"/>
              <w:left w:type="dxa" w:w="150"/>
              <w:bottom w:type="dxa" w:w="90"/>
              <w:right w:type="dxa" w:w="100"/>
            </w:tcMar>
            <w:vAlign w:val="top"/>
          </w:tcPr>
          <w:p>
            <w:pPr>
              <w:spacing w:before="0" w:after="0"/>
              <w:jc w:val="left"/>
            </w:pPr>
            <w:r>
              <w:rPr>
                <w:rFonts w:ascii="Arial" w:cs="Arial" w:eastAsia="Arial" w:hAnsi="Arial"/>
                <w:b w:val="false"/>
                <w:bCs w:val="false"/>
                <w:color w:val="1A1A1A"/>
                <w:sz w:val="20"/>
                <w:szCs w:val="20"/>
              </w:rPr>
              <w:t xml:space="preserve">ID</w:t>
            </w:r>
          </w:p>
        </w:tc>
        <w:tc>
          <w:tcPr>
            <w:tcW w:type="dxa" w:w="2400"/>
            <w:tcBorders>
              <w:top w:val="single" w:color="D5D8DC" w:sz="1"/>
              <w:left w:val="single" w:color="D5D8DC" w:sz="1"/>
              <w:bottom w:val="single" w:color="D5D8DC" w:sz="1"/>
              <w:right w:val="single" w:color="D5D8DC" w:sz="1"/>
            </w:tcBorders>
            <w:shd w:fill="F4F6F7" w:val="clear"/>
            <w:tcMar>
              <w:top w:type="dxa" w:w="90"/>
              <w:left w:type="dxa" w:w="150"/>
              <w:bottom w:type="dxa" w:w="90"/>
              <w:right w:type="dxa" w:w="100"/>
            </w:tcMar>
            <w:vAlign w:val="top"/>
          </w:tcPr>
          <w:p>
            <w:pPr>
              <w:spacing w:before="0" w:after="0"/>
              <w:jc w:val="left"/>
            </w:pPr>
            <w:r>
              <w:rPr>
                <w:rFonts w:ascii="Arial" w:cs="Arial" w:eastAsia="Arial" w:hAnsi="Arial"/>
                <w:b w:val="false"/>
                <w:bCs w:val="false"/>
                <w:color w:val="1A1A1A"/>
                <w:sz w:val="20"/>
                <w:szCs w:val="20"/>
              </w:rPr>
              <w:t xml:space="preserve">Identifier only</w:t>
            </w:r>
          </w:p>
        </w:tc>
        <w:tc>
          <w:tcPr>
            <w:tcW w:type="dxa" w:w="2400"/>
            <w:tcBorders>
              <w:top w:val="single" w:color="D5D8DC" w:sz="1"/>
              <w:left w:val="single" w:color="D5D8DC" w:sz="1"/>
              <w:bottom w:val="single" w:color="D5D8DC" w:sz="1"/>
              <w:right w:val="single" w:color="D5D8DC" w:sz="1"/>
            </w:tcBorders>
            <w:shd w:fill="F4F6F7" w:val="clear"/>
            <w:tcMar>
              <w:top w:type="dxa" w:w="90"/>
              <w:left w:type="dxa" w:w="150"/>
              <w:bottom w:type="dxa" w:w="90"/>
              <w:right w:type="dxa" w:w="100"/>
            </w:tcMar>
            <w:vAlign w:val="top"/>
          </w:tcPr>
          <w:p>
            <w:pPr>
              <w:spacing w:before="0" w:after="0"/>
              <w:jc w:val="left"/>
            </w:pPr>
            <w:r>
              <w:rPr>
                <w:rFonts w:ascii="Arial" w:cs="Arial" w:eastAsia="Arial" w:hAnsi="Arial"/>
                <w:b w:val="false"/>
                <w:bCs w:val="false"/>
                <w:color w:val="1A1A1A"/>
                <w:sz w:val="20"/>
                <w:szCs w:val="20"/>
              </w:rPr>
              <w:t xml:space="preserve">Zero</w:t>
            </w:r>
          </w:p>
        </w:tc>
        <w:tc>
          <w:tcPr>
            <w:tcW w:type="dxa" w:w="2760"/>
            <w:tcBorders>
              <w:top w:val="single" w:color="D5D8DC" w:sz="1"/>
              <w:left w:val="single" w:color="D5D8DC" w:sz="1"/>
              <w:bottom w:val="single" w:color="D5D8DC" w:sz="1"/>
              <w:right w:val="single" w:color="D5D8DC" w:sz="1"/>
            </w:tcBorders>
            <w:shd w:fill="B03A2E" w:val="clear"/>
            <w:tcMar>
              <w:top w:type="dxa" w:w="90"/>
              <w:left w:type="dxa" w:w="150"/>
              <w:bottom w:type="dxa" w:w="90"/>
              <w:right w:type="dxa" w:w="100"/>
            </w:tcMar>
            <w:vAlign w:val="top"/>
          </w:tcPr>
          <w:p>
            <w:pPr>
              <w:spacing w:before="0" w:after="0"/>
              <w:jc w:val="left"/>
            </w:pPr>
            <w:r>
              <w:rPr>
                <w:rFonts w:ascii="Arial" w:cs="Arial" w:eastAsia="Arial" w:hAnsi="Arial"/>
                <w:b/>
                <w:bCs/>
                <w:color w:val="FFFFFF"/>
                <w:sz w:val="20"/>
                <w:szCs w:val="20"/>
              </w:rPr>
              <w:t xml:space="preserve">REMOVE immediately. No predictive information. Must not enter any model.</w:t>
            </w:r>
          </w:p>
        </w:tc>
      </w:tr>
    </w:tbl>
    <w:p>
      <w:pPr>
        <w:spacing w:before="0" w:after="140"/>
      </w:pPr>
    </w:p>
    <w:p>
      <w:pPr>
        <w:pStyle w:val="Heading2"/>
        <w:spacing w:before="280" w:after="120"/>
      </w:pPr>
      <w:r>
        <w:rPr>
          <w:rFonts w:ascii="Arial" w:cs="Arial" w:eastAsia="Arial" w:hAnsi="Arial"/>
          <w:b/>
          <w:bCs/>
          <w:color w:val="1B6CA8"/>
          <w:sz w:val="28"/>
          <w:szCs w:val="28"/>
        </w:rPr>
        <w:t xml:space="preserve">1.2 Redundant and Highly Correlated Features</w:t>
      </w:r>
    </w:p>
    <w:p>
      <w:pPr>
        <w:spacing w:before="80" w:after="80"/>
      </w:pPr>
      <w:r>
        <w:rPr>
          <w:rFonts w:ascii="Arial" w:cs="Arial" w:eastAsia="Arial" w:hAnsi="Arial"/>
          <w:b w:val="false"/>
          <w:bCs w:val="false"/>
          <w:color w:val="1A1A1A"/>
          <w:sz w:val="22"/>
          <w:szCs w:val="22"/>
        </w:rPr>
        <w:t xml:space="preserve">Redundancy is distinct from irrelevance. A redundant feature may be individually predictive but adds no marginal information beyond what is already captured by other features in the model. In this dataset, the BILL_AMT cluster represents the most severe redundancy problem.</w:t>
      </w:r>
    </w:p>
    <w:p>
      <w:pPr>
        <w:spacing w:before="0" w:after="80"/>
      </w:pPr>
    </w:p>
    <w:p>
      <w:pPr>
        <w:pStyle w:val="Heading3"/>
        <w:spacing w:before="200" w:after="80"/>
      </w:pPr>
      <w:r>
        <w:rPr>
          <w:rFonts w:ascii="Arial" w:cs="Arial" w:eastAsia="Arial" w:hAnsi="Arial"/>
          <w:b/>
          <w:bCs/>
          <w:color w:val="1F3864"/>
          <w:sz w:val="24"/>
          <w:szCs w:val="24"/>
        </w:rPr>
        <w:t xml:space="preserve">Variance Inflation Factor (VIF)</w:t>
      </w:r>
    </w:p>
    <w:p>
      <w:pPr>
        <w:spacing w:before="80" w:after="80"/>
      </w:pPr>
      <w:r>
        <w:rPr>
          <w:rFonts w:ascii="Arial" w:cs="Arial" w:eastAsia="Arial" w:hAnsi="Arial"/>
          <w:b w:val="false"/>
          <w:bCs w:val="false"/>
          <w:color w:val="1A1A1A"/>
          <w:sz w:val="22"/>
          <w:szCs w:val="22"/>
        </w:rPr>
        <w:t xml:space="preserve">VIF quantifies how much the variance of a regression coefficient is inflated due to multicollinearity with other features. It is computed 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5D8DC" w:sz="1"/>
              <w:left w:val="single" w:color="D5D8DC" w:sz="1"/>
              <w:bottom w:val="single" w:color="D5D8DC" w:sz="1"/>
              <w:right w:val="single" w:color="D5D8DC" w:sz="1"/>
            </w:tcBorders>
            <w:shd w:fill="2C3E50" w:val="clear"/>
            <w:tcMar>
              <w:top w:type="dxa" w:w="120"/>
              <w:left w:type="dxa" w:w="200"/>
              <w:bottom w:type="dxa" w:w="120"/>
              <w:right w:type="dxa" w:w="160"/>
            </w:tcMar>
          </w:tcPr>
          <w:p>
            <w:pPr>
              <w:spacing w:before="20" w:after="20"/>
            </w:pPr>
            <w:r>
              <w:rPr>
                <w:rFonts w:ascii="Courier New" w:cs="Courier New" w:eastAsia="Courier New" w:hAnsi="Courier New"/>
                <w:color w:val="A9DFBF"/>
                <w:sz w:val="18"/>
                <w:szCs w:val="18"/>
              </w:rPr>
              <w:t xml:space="preserve">VIF(Xi) = 1 / (1 - R²i)</w:t>
            </w:r>
          </w:p>
          <w:p>
            <w:pPr>
              <w:spacing w:before="20" w:after="20"/>
            </w:pPr>
            <w:r>
              <w:rPr>
                <w:rFonts w:ascii="Courier New" w:cs="Courier New" w:eastAsia="Courier New" w:hAnsi="Courier New"/>
                <w:color w:val="A9DFBF"/>
                <w:sz w:val="18"/>
                <w:szCs w:val="18"/>
              </w:rPr>
              <w:t xml:space="preserve">where R²i = coefficient of determination from regressing Xi on all other features</w:t>
            </w:r>
          </w:p>
          <w:p>
            <w:pPr>
              <w:spacing w:before="20" w:after="20"/>
            </w:pPr>
            <w:r>
              <w:rPr>
                <w:rFonts w:ascii="Courier New" w:cs="Courier New" w:eastAsia="Courier New" w:hAnsi="Courier New"/>
                <w:color w:val="A9DFBF"/>
                <w:sz w:val="18"/>
                <w:szCs w:val="18"/>
              </w:rPr>
              <w:t xml:space="preserve"/>
            </w:r>
          </w:p>
          <w:p>
            <w:pPr>
              <w:spacing w:before="20" w:after="20"/>
            </w:pPr>
            <w:r>
              <w:rPr>
                <w:rFonts w:ascii="Courier New" w:cs="Courier New" w:eastAsia="Courier New" w:hAnsi="Courier New"/>
                <w:color w:val="A9DFBF"/>
                <w:sz w:val="18"/>
                <w:szCs w:val="18"/>
              </w:rPr>
              <w:t xml:space="preserve">Interpretation:</w:t>
            </w:r>
          </w:p>
          <w:p>
            <w:pPr>
              <w:spacing w:before="20" w:after="20"/>
            </w:pPr>
            <w:r>
              <w:rPr>
                <w:rFonts w:ascii="Courier New" w:cs="Courier New" w:eastAsia="Courier New" w:hAnsi="Courier New"/>
                <w:color w:val="A9DFBF"/>
                <w:sz w:val="18"/>
                <w:szCs w:val="18"/>
              </w:rPr>
              <w:t xml:space="preserve">  VIF &lt; 5   : Acceptable</w:t>
            </w:r>
          </w:p>
          <w:p>
            <w:pPr>
              <w:spacing w:before="20" w:after="20"/>
            </w:pPr>
            <w:r>
              <w:rPr>
                <w:rFonts w:ascii="Courier New" w:cs="Courier New" w:eastAsia="Courier New" w:hAnsi="Courier New"/>
                <w:color w:val="A9DFBF"/>
                <w:sz w:val="18"/>
                <w:szCs w:val="18"/>
              </w:rPr>
              <w:t xml:space="preserve">  VIF 5-10  : Moderate concern — monitor</w:t>
            </w:r>
          </w:p>
          <w:p>
            <w:pPr>
              <w:spacing w:before="20" w:after="20"/>
            </w:pPr>
            <w:r>
              <w:rPr>
                <w:rFonts w:ascii="Courier New" w:cs="Courier New" w:eastAsia="Courier New" w:hAnsi="Courier New"/>
                <w:color w:val="A9DFBF"/>
                <w:sz w:val="18"/>
                <w:szCs w:val="18"/>
              </w:rPr>
              <w:t xml:space="preserve">  VIF &gt; 10  : High multicollinearity — action required</w:t>
            </w:r>
          </w:p>
          <w:p>
            <w:pPr>
              <w:spacing w:before="20" w:after="20"/>
            </w:pPr>
            <w:r>
              <w:rPr>
                <w:rFonts w:ascii="Courier New" w:cs="Courier New" w:eastAsia="Courier New" w:hAnsi="Courier New"/>
                <w:color w:val="A9DFBF"/>
                <w:sz w:val="18"/>
                <w:szCs w:val="18"/>
              </w:rPr>
              <w:t xml:space="preserve">  VIF &gt; 50  : Severe — feature almost entirely explained by others</w:t>
            </w:r>
          </w:p>
        </w:tc>
      </w:tr>
    </w:tbl>
    <w:p>
      <w:pPr>
        <w:spacing w:before="0" w:after="80"/>
      </w:pPr>
    </w:p>
    <w:p>
      <w:pPr>
        <w:spacing w:before="80" w:after="80"/>
      </w:pPr>
      <w:r>
        <w:rPr>
          <w:rFonts w:ascii="Arial" w:cs="Arial" w:eastAsia="Arial" w:hAnsi="Arial"/>
          <w:b w:val="false"/>
          <w:bCs w:val="false"/>
          <w:color w:val="1A1A1A"/>
          <w:sz w:val="22"/>
          <w:szCs w:val="22"/>
        </w:rPr>
        <w:t xml:space="preserve">For this dataset, BILL_AMT1 through BILL_AMT6 are expected to produce VIF values in the range of 50–200+, given their measured inter-correlations of r &gt; 0.90–0.95. This level of VIF is incompatible with Logistic Regression scorecard development and will produce wildly unstable coefficients.</w:t>
      </w:r>
    </w:p>
    <w:p>
      <w:pPr>
        <w:spacing w:before="0" w:after="80"/>
      </w:pPr>
    </w:p>
    <w:p>
      <w:pPr>
        <w:pStyle w:val="Heading3"/>
        <w:spacing w:before="200" w:after="80"/>
      </w:pPr>
      <w:r>
        <w:rPr>
          <w:rFonts w:ascii="Arial" w:cs="Arial" w:eastAsia="Arial" w:hAnsi="Arial"/>
          <w:b/>
          <w:bCs/>
          <w:color w:val="1F3864"/>
          <w:sz w:val="24"/>
          <w:szCs w:val="24"/>
        </w:rPr>
        <w:t xml:space="preserve">Correlation Threshold Rule</w:t>
      </w:r>
    </w:p>
    <w:p>
      <w:pPr>
        <w:spacing w:before="80" w:after="80"/>
      </w:pPr>
      <w:r>
        <w:rPr>
          <w:rFonts w:ascii="Arial" w:cs="Arial" w:eastAsia="Arial" w:hAnsi="Arial"/>
          <w:b w:val="false"/>
          <w:bCs w:val="false"/>
          <w:color w:val="1A1A1A"/>
          <w:sz w:val="22"/>
          <w:szCs w:val="22"/>
        </w:rPr>
        <w:t xml:space="preserve">A practical industry rule applied in credit risk: if two features have Pearson r &gt; 0.85, retain only the one with the higher Information Value or the stronger theoretical justification. For the BILL_AMT cluster, this rule would eliminate five of the six variables in favor of the most recent month (BILL_AMT1) or a computed aggregate.</w:t>
      </w:r>
    </w:p>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80"/>
        <w:gridCol w:w="8080"/>
      </w:tblGrid>
      <w:tr>
        <w:tc>
          <w:tcPr>
            <w:tcW w:type="dxa" w:w="1280"/>
            <w:tcBorders>
              <w:top w:val="single" w:color="D5D8DC" w:sz="1"/>
              <w:left w:val="single" w:color="D5D8DC" w:sz="1"/>
              <w:bottom w:val="single" w:color="D5D8DC" w:sz="1"/>
              <w:right w:val="single" w:color="D5D8DC" w:sz="1"/>
            </w:tcBorders>
            <w:shd w:fill="C96A0A" w:val="clear"/>
            <w:tcMar>
              <w:top w:type="dxa" w:w="100"/>
              <w:left w:type="dxa" w:w="120"/>
              <w:bottom w:type="dxa" w:w="100"/>
              <w:right w:type="dxa" w:w="80"/>
            </w:tcMar>
            <w:vAlign w:val="center"/>
          </w:tcPr>
          <w:p>
            <w:pPr>
              <w:jc w:val="center"/>
            </w:pPr>
            <w:r>
              <w:rPr>
                <w:rFonts w:ascii="Arial" w:cs="Arial" w:eastAsia="Arial" w:hAnsi="Arial"/>
                <w:b/>
                <w:bCs/>
                <w:color w:val="FFFFFF"/>
                <w:sz w:val="17"/>
                <w:szCs w:val="17"/>
              </w:rPr>
              <w:t xml:space="preserve">⚠ WARNING</w:t>
            </w:r>
          </w:p>
        </w:tc>
        <w:tc>
          <w:tcPr>
            <w:tcW w:type="dxa" w:w="8080"/>
            <w:tcBorders>
              <w:top w:val="single" w:color="D5D8DC" w:sz="1"/>
              <w:left w:val="single" w:color="D5D8DC" w:sz="1"/>
              <w:bottom w:val="single" w:color="D5D8DC" w:sz="1"/>
              <w:right w:val="single" w:color="D5D8DC" w:sz="1"/>
            </w:tcBorders>
            <w:shd w:fill="FEF5E7" w:val="clear"/>
            <w:tcMar>
              <w:top w:type="dxa" w:w="100"/>
              <w:left w:type="dxa" w:w="160"/>
              <w:bottom w:type="dxa" w:w="100"/>
              <w:right w:type="dxa" w:w="120"/>
            </w:tcMar>
          </w:tcPr>
          <w:p>
            <w:r>
              <w:rPr>
                <w:rFonts w:ascii="Arial" w:cs="Arial" w:eastAsia="Arial" w:hAnsi="Arial"/>
                <w:color w:val="2C3E50"/>
                <w:sz w:val="20"/>
                <w:szCs w:val="20"/>
              </w:rPr>
              <w:t xml:space="preserve">Do not apply VIF thresholds blindly to tree-based models. XGBoost and Random Forest are not sensitive to multicollinearity in the same way as Logistic Regression. The VIF analysis is primarily relevant for the scorecard/LR component of the modelling stack.</w:t>
            </w:r>
          </w:p>
        </w:tc>
      </w:tr>
    </w:tbl>
    <w:p>
      <w:pPr>
        <w:spacing w:before="0" w:after="140"/>
      </w:pPr>
    </w:p>
    <w:p>
      <w:pPr>
        <w:pStyle w:val="Heading2"/>
        <w:spacing w:before="280" w:after="120"/>
      </w:pPr>
      <w:r>
        <w:rPr>
          <w:rFonts w:ascii="Arial" w:cs="Arial" w:eastAsia="Arial" w:hAnsi="Arial"/>
          <w:b/>
          <w:bCs/>
          <w:color w:val="1B6CA8"/>
          <w:sz w:val="28"/>
          <w:szCs w:val="28"/>
        </w:rPr>
        <w:t xml:space="preserve">1.3 Low-Variance Features</w:t>
      </w:r>
    </w:p>
    <w:p>
      <w:pPr>
        <w:spacing w:before="80" w:after="80"/>
      </w:pPr>
      <w:r>
        <w:rPr>
          <w:rFonts w:ascii="Arial" w:cs="Arial" w:eastAsia="Arial" w:hAnsi="Arial"/>
          <w:b w:val="false"/>
          <w:bCs w:val="false"/>
          <w:color w:val="1A1A1A"/>
          <w:sz w:val="22"/>
          <w:szCs w:val="22"/>
        </w:rPr>
        <w:t xml:space="preserve">A low-variance feature provides minimal discriminatory information simply because nearly all observations take the same value. In this dataset, no severe low-variance issues were flagged, but the principle applies to engineered binary flags where the event rate is very small (&lt; 1%) or very large (&gt; 99%).</w:t>
      </w:r>
    </w:p>
    <w:p>
      <w:pPr>
        <w:spacing w:before="0" w:after="80"/>
      </w:pPr>
    </w:p>
    <w:p>
      <w:pPr>
        <w:pStyle w:val="ListParagraph"/>
        <w:numPr>
          <w:ilvl w:val="0"/>
          <w:numId w:val="2"/>
        </w:numPr>
        <w:spacing w:before="50" w:after="50"/>
      </w:pPr>
      <w:r>
        <w:rPr>
          <w:rFonts w:ascii="Arial" w:cs="Arial" w:eastAsia="Arial" w:hAnsi="Arial"/>
          <w:b w:val="false"/>
          <w:bCs w:val="false"/>
          <w:color w:val="1A1A1A"/>
          <w:sz w:val="22"/>
          <w:szCs w:val="22"/>
        </w:rPr>
        <w:t xml:space="preserve">Variance threshold test: sklearn VarianceThreshold(threshold=0.01). Remove features where variance &lt; 0.01 across the training set.</w:t>
      </w:r>
    </w:p>
    <w:p>
      <w:pPr>
        <w:pStyle w:val="ListParagraph"/>
        <w:numPr>
          <w:ilvl w:val="0"/>
          <w:numId w:val="2"/>
        </w:numPr>
        <w:spacing w:before="50" w:after="50"/>
      </w:pPr>
      <w:r>
        <w:rPr>
          <w:rFonts w:ascii="Arial" w:cs="Arial" w:eastAsia="Arial" w:hAnsi="Arial"/>
          <w:b w:val="false"/>
          <w:bCs w:val="false"/>
          <w:color w:val="1A1A1A"/>
          <w:sz w:val="22"/>
          <w:szCs w:val="22"/>
        </w:rPr>
        <w:t xml:space="preserve">Near-zero variance for binary features: If a binary flag is triggered for fewer than 1% of clients (&lt; 300 records in this dataset), consider whether it provides sufficient statistical information or should be merged with a related category.</w:t>
      </w:r>
    </w:p>
    <w:p>
      <w:pPr>
        <w:spacing w:before="0" w:after="140"/>
      </w:pPr>
    </w:p>
    <w:p>
      <w:pPr>
        <w:pStyle w:val="Heading2"/>
        <w:spacing w:before="280" w:after="120"/>
      </w:pPr>
      <w:r>
        <w:rPr>
          <w:rFonts w:ascii="Arial" w:cs="Arial" w:eastAsia="Arial" w:hAnsi="Arial"/>
          <w:b/>
          <w:bCs/>
          <w:color w:val="1B6CA8"/>
          <w:sz w:val="28"/>
          <w:szCs w:val="28"/>
        </w:rPr>
        <w:t xml:space="preserve">1.4 Noisy Features</w:t>
      </w:r>
    </w:p>
    <w:p>
      <w:pPr>
        <w:spacing w:before="80" w:after="80"/>
      </w:pPr>
      <w:r>
        <w:rPr>
          <w:rFonts w:ascii="Arial" w:cs="Arial" w:eastAsia="Arial" w:hAnsi="Arial"/>
          <w:b w:val="false"/>
          <w:bCs w:val="false"/>
          <w:color w:val="1A1A1A"/>
          <w:sz w:val="22"/>
          <w:szCs w:val="22"/>
        </w:rPr>
        <w:t xml:space="preserve">Noisy features introduce more random variation than signal. They cause models to overfit to training data patterns that do not generalise. Key diagnostic methods:</w:t>
      </w:r>
    </w:p>
    <w:p>
      <w:pPr>
        <w:pStyle w:val="ListParagraph"/>
        <w:numPr>
          <w:ilvl w:val="0"/>
          <w:numId w:val="2"/>
        </w:numPr>
        <w:spacing w:before="50" w:after="50"/>
      </w:pPr>
      <w:r>
        <w:rPr>
          <w:rFonts w:ascii="Arial" w:cs="Arial" w:eastAsia="Arial" w:hAnsi="Arial"/>
          <w:b w:val="false"/>
          <w:bCs w:val="false"/>
          <w:color w:val="1A1A1A"/>
          <w:sz w:val="22"/>
          <w:szCs w:val="22"/>
        </w:rPr>
        <w:t xml:space="preserve">Cross-validation stability: A feature that materially changes coefficient sign or importance ranking across CV folds is likely noisy or unstable.</w:t>
      </w:r>
    </w:p>
    <w:p>
      <w:pPr>
        <w:pStyle w:val="ListParagraph"/>
        <w:numPr>
          <w:ilvl w:val="0"/>
          <w:numId w:val="2"/>
        </w:numPr>
        <w:spacing w:before="50" w:after="50"/>
      </w:pPr>
      <w:r>
        <w:rPr>
          <w:rFonts w:ascii="Arial" w:cs="Arial" w:eastAsia="Arial" w:hAnsi="Arial"/>
          <w:b w:val="false"/>
          <w:bCs w:val="false"/>
          <w:color w:val="1A1A1A"/>
          <w:sz w:val="22"/>
          <w:szCs w:val="22"/>
        </w:rPr>
        <w:t xml:space="preserve">SHAP value consistency: If SHAP values for a feature show high variance across observations with similar feature values, the feature is noisy.</w:t>
      </w:r>
    </w:p>
    <w:p>
      <w:pPr>
        <w:pStyle w:val="ListParagraph"/>
        <w:numPr>
          <w:ilvl w:val="0"/>
          <w:numId w:val="2"/>
        </w:numPr>
        <w:spacing w:before="50" w:after="50"/>
      </w:pPr>
      <w:r>
        <w:rPr>
          <w:rFonts w:ascii="Arial" w:cs="Arial" w:eastAsia="Arial" w:hAnsi="Arial"/>
          <w:b w:val="false"/>
          <w:bCs w:val="false"/>
          <w:color w:val="1A1A1A"/>
          <w:sz w:val="22"/>
          <w:szCs w:val="22"/>
        </w:rPr>
        <w:t xml:space="preserve">Permutation importance: If permuting a feature's values does not meaningfully degrade model performance, the feature is not carrying signal (or is carrying signal already captured by correlated features).</w:t>
      </w:r>
    </w:p>
    <w:p>
      <w:pPr>
        <w:spacing w:before="0" w:after="80"/>
      </w:pPr>
    </w:p>
    <w:p>
      <w:pPr>
        <w:spacing w:before="80" w:after="80"/>
      </w:pPr>
      <w:r>
        <w:rPr>
          <w:rFonts w:ascii="Arial" w:cs="Arial" w:eastAsia="Arial" w:hAnsi="Arial"/>
          <w:b w:val="false"/>
          <w:bCs w:val="false"/>
          <w:color w:val="1A1A1A"/>
          <w:sz w:val="22"/>
          <w:szCs w:val="22"/>
        </w:rPr>
        <w:t xml:space="preserve">In this dataset, demographic features (GENDER, MARRIAGE) should be monitored for noise. Their individual correlations with default are weak, which means they could be absorbing noise rather than genuine signal. Retain only if IV &gt; 0.02 and they survive cross-validation stability checks.</w:t>
      </w:r>
    </w:p>
    <w:p>
      <w:pPr>
        <w:spacing w:before="0" w:after="200"/>
      </w:pPr>
    </w:p>
    <w:p>
      <w:r>
        <w:br w:type="page"/>
      </w:r>
    </w:p>
    <w:p>
      <w:pPr>
        <w:pStyle w:val="Heading1"/>
        <w:pBdr>
          <w:bottom w:val="single" w:color="2E75B6" w:sz="6"/>
        </w:pBdr>
        <w:spacing w:before="400" w:after="160"/>
      </w:pPr>
      <w:r>
        <w:rPr>
          <w:rFonts w:ascii="Arial" w:cs="Arial" w:eastAsia="Arial" w:hAnsi="Arial"/>
          <w:b/>
          <w:bCs/>
          <w:color w:val="1F3864"/>
          <w:sz w:val="36"/>
          <w:szCs w:val="36"/>
        </w:rPr>
        <w:t xml:space="preserve">Section 2: Domain-Specific Feature Engineering for Credit Risk</w:t>
      </w:r>
    </w:p>
    <w:p>
      <w:pPr>
        <w:spacing w:before="80" w:after="80"/>
      </w:pPr>
      <w:r>
        <w:rPr>
          <w:rFonts w:ascii="Arial" w:cs="Arial" w:eastAsia="Arial" w:hAnsi="Arial"/>
          <w:b w:val="false"/>
          <w:bCs w:val="false"/>
          <w:color w:val="1A1A1A"/>
          <w:sz w:val="22"/>
          <w:szCs w:val="22"/>
        </w:rPr>
        <w:t xml:space="preserve">Domain-driven feature engineering is the highest-value activity in credit risk modeling. A model built on well-crafted domain features will consistently outperform a model that relies on automated feature selection from raw variables. The features described in this section are derived from first principles of credit risk theory and are standard in Basel II/III scorecard development.</w:t>
      </w:r>
    </w:p>
    <w:p>
      <w:pPr>
        <w:spacing w:before="0" w:after="120"/>
      </w:pPr>
    </w:p>
    <w:p>
      <w:pPr>
        <w:pStyle w:val="Heading2"/>
        <w:spacing w:before="280" w:after="120"/>
      </w:pPr>
      <w:r>
        <w:rPr>
          <w:rFonts w:ascii="Arial" w:cs="Arial" w:eastAsia="Arial" w:hAnsi="Arial"/>
          <w:b/>
          <w:bCs/>
          <w:color w:val="1B6CA8"/>
          <w:sz w:val="28"/>
          <w:szCs w:val="28"/>
        </w:rPr>
        <w:t xml:space="preserve">2.1 Repayment Behaviour Features</w:t>
      </w:r>
    </w:p>
    <w:p>
      <w:pPr>
        <w:pStyle w:val="Heading3"/>
        <w:spacing w:before="200" w:after="80"/>
      </w:pPr>
      <w:r>
        <w:rPr>
          <w:rFonts w:ascii="Arial" w:cs="Arial" w:eastAsia="Arial" w:hAnsi="Arial"/>
          <w:b/>
          <w:bCs/>
          <w:color w:val="1F3864"/>
          <w:sz w:val="24"/>
          <w:szCs w:val="24"/>
        </w:rPr>
        <w:t xml:space="preserve">2.1.1 Maximum Delay (MAX_DELAY)</w:t>
      </w:r>
    </w:p>
    <w:p>
      <w:pPr>
        <w:spacing w:before="70" w:after="70"/>
      </w:pPr>
      <w:r>
        <w:rPr>
          <w:rFonts w:ascii="Arial" w:cs="Arial" w:eastAsia="Arial" w:hAnsi="Arial"/>
          <w:b/>
          <w:bCs/>
          <w:color w:val="1A1A1A"/>
          <w:sz w:val="22"/>
          <w:szCs w:val="22"/>
        </w:rPr>
        <w:t xml:space="preserve">Formula: </w:t>
      </w:r>
      <w:r>
        <w:rPr>
          <w:rFonts w:ascii="Arial" w:cs="Arial" w:eastAsia="Arial" w:hAnsi="Arial"/>
          <w:color w:val="1A1A1A"/>
          <w:sz w:val="22"/>
          <w:szCs w:val="22"/>
        </w:rPr>
        <w:t xml:space="preserve">MAX_DELAY = max(PAY_0, PAY_2, PAY_3, PAY_4, PAY_5, PAY_6)</w:t>
      </w:r>
    </w:p>
    <w:p>
      <w:pPr>
        <w:spacing w:before="80" w:after="80"/>
      </w:pPr>
      <w:r>
        <w:rPr>
          <w:rFonts w:ascii="Arial" w:cs="Arial" w:eastAsia="Arial" w:hAnsi="Arial"/>
          <w:b w:val="false"/>
          <w:bCs w:val="false"/>
          <w:color w:val="1A1A1A"/>
          <w:sz w:val="22"/>
          <w:szCs w:val="22"/>
        </w:rPr>
        <w:t xml:space="preserve">Captures the worst-case payment delinquency event experienced by the client in the six-month window. This is the single most predictive engineered feature in most credit behavioral scoring models. In collections strategy, the maximum observed delay is the standard trigger for account classification.</w:t>
      </w:r>
    </w:p>
    <w:p>
      <w:pPr>
        <w:pStyle w:val="ListParagraph"/>
        <w:numPr>
          <w:ilvl w:val="0"/>
          <w:numId w:val="2"/>
        </w:numPr>
        <w:spacing w:before="50" w:after="50"/>
      </w:pPr>
      <w:r>
        <w:rPr>
          <w:rFonts w:ascii="Arial" w:cs="Arial" w:eastAsia="Arial" w:hAnsi="Arial"/>
          <w:b w:val="false"/>
          <w:bCs w:val="false"/>
          <w:color w:val="1A1A1A"/>
          <w:sz w:val="22"/>
          <w:szCs w:val="22"/>
        </w:rPr>
        <w:t xml:space="preserve">Why it works: Even one severe delinquency event (e.g., PAY=5) dominates the risk profile of that client. Averaging across months masks this extreme event. MAX_DELAY preserves the peak risk signal.</w:t>
      </w:r>
    </w:p>
    <w:p>
      <w:pPr>
        <w:pStyle w:val="ListParagraph"/>
        <w:numPr>
          <w:ilvl w:val="0"/>
          <w:numId w:val="2"/>
        </w:numPr>
        <w:spacing w:before="50" w:after="50"/>
      </w:pPr>
      <w:r>
        <w:rPr>
          <w:rFonts w:ascii="Arial" w:cs="Arial" w:eastAsia="Arial" w:hAnsi="Arial"/>
          <w:b w:val="false"/>
          <w:bCs w:val="false"/>
          <w:color w:val="1A1A1A"/>
          <w:sz w:val="22"/>
          <w:szCs w:val="22"/>
        </w:rPr>
        <w:t xml:space="preserve">Expected IV: Very High (&gt; 0.40)</w:t>
      </w:r>
    </w:p>
    <w:p>
      <w:pPr>
        <w:spacing w:before="0" w:after="80"/>
      </w:pPr>
    </w:p>
    <w:p>
      <w:pPr>
        <w:pStyle w:val="Heading3"/>
        <w:spacing w:before="200" w:after="80"/>
      </w:pPr>
      <w:r>
        <w:rPr>
          <w:rFonts w:ascii="Arial" w:cs="Arial" w:eastAsia="Arial" w:hAnsi="Arial"/>
          <w:b/>
          <w:bCs/>
          <w:color w:val="1F3864"/>
          <w:sz w:val="24"/>
          <w:szCs w:val="24"/>
        </w:rPr>
        <w:t xml:space="preserve">2.1.2 Count of Delinquent Months (NUM_DELAYS)</w:t>
      </w:r>
    </w:p>
    <w:p>
      <w:pPr>
        <w:spacing w:before="70" w:after="70"/>
      </w:pPr>
      <w:r>
        <w:rPr>
          <w:rFonts w:ascii="Arial" w:cs="Arial" w:eastAsia="Arial" w:hAnsi="Arial"/>
          <w:b/>
          <w:bCs/>
          <w:color w:val="1A1A1A"/>
          <w:sz w:val="22"/>
          <w:szCs w:val="22"/>
        </w:rPr>
        <w:t xml:space="preserve">Formula: </w:t>
      </w:r>
      <w:r>
        <w:rPr>
          <w:rFonts w:ascii="Arial" w:cs="Arial" w:eastAsia="Arial" w:hAnsi="Arial"/>
          <w:color w:val="1A1A1A"/>
          <w:sz w:val="22"/>
          <w:szCs w:val="22"/>
        </w:rPr>
        <w:t xml:space="preserve">NUM_DELAYS = count(PAY_i &gt;= 1) for i in {0,2,3,4,5,6}</w:t>
      </w:r>
    </w:p>
    <w:p>
      <w:pPr>
        <w:spacing w:before="80" w:after="80"/>
      </w:pPr>
      <w:r>
        <w:rPr>
          <w:rFonts w:ascii="Arial" w:cs="Arial" w:eastAsia="Arial" w:hAnsi="Arial"/>
          <w:b w:val="false"/>
          <w:bCs w:val="false"/>
          <w:color w:val="1A1A1A"/>
          <w:sz w:val="22"/>
          <w:szCs w:val="22"/>
        </w:rPr>
        <w:t xml:space="preserve">Measures the frequency of delinquency within the observation window. This feature captures chronic versus episodic delinquency patterns and is monotonically related to default probability as confirmed by EDA.</w:t>
      </w:r>
    </w:p>
    <w:p>
      <w:pPr>
        <w:pStyle w:val="ListParagraph"/>
        <w:numPr>
          <w:ilvl w:val="0"/>
          <w:numId w:val="2"/>
        </w:numPr>
        <w:spacing w:before="50" w:after="50"/>
      </w:pPr>
      <w:r>
        <w:rPr>
          <w:rFonts w:ascii="Arial" w:cs="Arial" w:eastAsia="Arial" w:hAnsi="Arial"/>
          <w:b w:val="false"/>
          <w:bCs w:val="false"/>
          <w:color w:val="1A1A1A"/>
          <w:sz w:val="22"/>
          <w:szCs w:val="22"/>
        </w:rPr>
        <w:t xml:space="preserve">Why it works: Frequency information is independent of severity. A client with six months of 1-month delay has a different risk profile than a client with one month of 6-month delay, despite the same MAX_DELAY. NUM_DELAYS provides the complementary frequency dimension.</w:t>
      </w:r>
    </w:p>
    <w:p>
      <w:pPr>
        <w:spacing w:before="0" w:after="80"/>
      </w:pPr>
    </w:p>
    <w:p>
      <w:pPr>
        <w:pStyle w:val="Heading3"/>
        <w:spacing w:before="200" w:after="80"/>
      </w:pPr>
      <w:r>
        <w:rPr>
          <w:rFonts w:ascii="Arial" w:cs="Arial" w:eastAsia="Arial" w:hAnsi="Arial"/>
          <w:b/>
          <w:bCs/>
          <w:color w:val="1F3864"/>
          <w:sz w:val="24"/>
          <w:szCs w:val="24"/>
        </w:rPr>
        <w:t xml:space="preserve">2.1.3 Any Delay Flag (EVER_DELINQUENT)</w:t>
      </w:r>
    </w:p>
    <w:p>
      <w:pPr>
        <w:spacing w:before="70" w:after="70"/>
      </w:pPr>
      <w:r>
        <w:rPr>
          <w:rFonts w:ascii="Arial" w:cs="Arial" w:eastAsia="Arial" w:hAnsi="Arial"/>
          <w:b/>
          <w:bCs/>
          <w:color w:val="1A1A1A"/>
          <w:sz w:val="22"/>
          <w:szCs w:val="22"/>
        </w:rPr>
        <w:t xml:space="preserve">Formula: </w:t>
      </w:r>
      <w:r>
        <w:rPr>
          <w:rFonts w:ascii="Arial" w:cs="Arial" w:eastAsia="Arial" w:hAnsi="Arial"/>
          <w:color w:val="1A1A1A"/>
          <w:sz w:val="22"/>
          <w:szCs w:val="22"/>
        </w:rPr>
        <w:t xml:space="preserve">EVER_DELINQUENT = 1 if any PAY_i &gt;= 1 else 0</w:t>
      </w:r>
    </w:p>
    <w:p>
      <w:pPr>
        <w:spacing w:before="80" w:after="80"/>
      </w:pPr>
      <w:r>
        <w:rPr>
          <w:rFonts w:ascii="Arial" w:cs="Arial" w:eastAsia="Arial" w:hAnsi="Arial"/>
          <w:b w:val="false"/>
          <w:bCs w:val="false"/>
          <w:color w:val="1A1A1A"/>
          <w:sz w:val="22"/>
          <w:szCs w:val="22"/>
        </w:rPr>
        <w:t xml:space="preserve">The binary clean/delinquent segmentation produced a 3–4× default rate differential in EDA — the largest binary split in the dataset. This flag is one of the most powerful simple features and should always be included.</w:t>
      </w:r>
    </w:p>
    <w:p>
      <w:pPr>
        <w:spacing w:before="0" w:after="80"/>
      </w:pPr>
    </w:p>
    <w:p>
      <w:pPr>
        <w:pStyle w:val="Heading3"/>
        <w:spacing w:before="200" w:after="80"/>
      </w:pPr>
      <w:r>
        <w:rPr>
          <w:rFonts w:ascii="Arial" w:cs="Arial" w:eastAsia="Arial" w:hAnsi="Arial"/>
          <w:b/>
          <w:bCs/>
          <w:color w:val="1F3864"/>
          <w:sz w:val="24"/>
          <w:szCs w:val="24"/>
        </w:rPr>
        <w:t xml:space="preserve">2.1.4 Delay Acceleration (DELAY_ACCELERATION)</w:t>
      </w:r>
    </w:p>
    <w:p>
      <w:pPr>
        <w:spacing w:before="70" w:after="70"/>
      </w:pPr>
      <w:r>
        <w:rPr>
          <w:rFonts w:ascii="Arial" w:cs="Arial" w:eastAsia="Arial" w:hAnsi="Arial"/>
          <w:b/>
          <w:bCs/>
          <w:color w:val="1A1A1A"/>
          <w:sz w:val="22"/>
          <w:szCs w:val="22"/>
        </w:rPr>
        <w:t xml:space="preserve">Formula: </w:t>
      </w:r>
      <w:r>
        <w:rPr>
          <w:rFonts w:ascii="Arial" w:cs="Arial" w:eastAsia="Arial" w:hAnsi="Arial"/>
          <w:color w:val="1A1A1A"/>
          <w:sz w:val="22"/>
          <w:szCs w:val="22"/>
        </w:rPr>
        <w:t xml:space="preserve">DELAY_ACCELERATION = PAY_0 - mean(PAY_2, PAY_3, PAY_4, PAY_5, PAY_6)</w:t>
      </w:r>
    </w:p>
    <w:p>
      <w:pPr>
        <w:spacing w:before="80" w:after="80"/>
      </w:pPr>
      <w:r>
        <w:rPr>
          <w:rFonts w:ascii="Arial" w:cs="Arial" w:eastAsia="Arial" w:hAnsi="Arial"/>
          <w:b w:val="false"/>
          <w:bCs w:val="false"/>
          <w:color w:val="1A1A1A"/>
          <w:sz w:val="22"/>
          <w:szCs w:val="22"/>
        </w:rPr>
        <w:t xml:space="preserve">Measures whether the most recent payment behaviour is deteriorating relative to historical average. A positive value indicates worsening. This feature directly captures the "trajectory toward default" pattern identified in the temporal EDA analysis.</w:t>
      </w:r>
    </w:p>
    <w:p>
      <w:pPr>
        <w:pStyle w:val="ListParagraph"/>
        <w:numPr>
          <w:ilvl w:val="0"/>
          <w:numId w:val="2"/>
        </w:numPr>
        <w:spacing w:before="50" w:after="50"/>
      </w:pPr>
      <w:r>
        <w:rPr>
          <w:rFonts w:ascii="Arial" w:cs="Arial" w:eastAsia="Arial" w:hAnsi="Arial"/>
          <w:b w:val="false"/>
          <w:bCs w:val="false"/>
          <w:color w:val="1A1A1A"/>
          <w:sz w:val="22"/>
          <w:szCs w:val="22"/>
        </w:rPr>
        <w:t xml:space="preserve">Why it works: A client with DELAY_ACCELERATION = +2 (recent delay 2 months worse than historical average) is in an active deterioration trajectory. A client with DELAY_ACCELERATION = -1 (improving) may have recovered. The temporal direction of behaviour matters, not just the level.</w:t>
      </w:r>
    </w:p>
    <w:p>
      <w:pPr>
        <w:pStyle w:val="ListParagraph"/>
        <w:numPr>
          <w:ilvl w:val="0"/>
          <w:numId w:val="2"/>
        </w:numPr>
        <w:spacing w:before="50" w:after="50"/>
      </w:pPr>
      <w:r>
        <w:rPr>
          <w:rFonts w:ascii="Arial" w:cs="Arial" w:eastAsia="Arial" w:hAnsi="Arial"/>
          <w:b w:val="false"/>
          <w:bCs w:val="false"/>
          <w:color w:val="1A1A1A"/>
          <w:sz w:val="22"/>
          <w:szCs w:val="22"/>
        </w:rPr>
        <w:t xml:space="preserve">EDA confirmation: The widening gap between defaulter and non-defaulter delay trends approaching September directly motivates this feature.</w:t>
      </w:r>
    </w:p>
    <w:p>
      <w:pPr>
        <w:spacing w:before="0" w:after="80"/>
      </w:pPr>
    </w:p>
    <w:p>
      <w:pPr>
        <w:pStyle w:val="Heading3"/>
        <w:spacing w:before="200" w:after="80"/>
      </w:pPr>
      <w:r>
        <w:rPr>
          <w:rFonts w:ascii="Arial" w:cs="Arial" w:eastAsia="Arial" w:hAnsi="Arial"/>
          <w:b/>
          <w:bCs/>
          <w:color w:val="1F3864"/>
          <w:sz w:val="24"/>
          <w:szCs w:val="24"/>
        </w:rPr>
        <w:t xml:space="preserve">2.1.5 Consecutive Delinquency Streak (CONSEC_DELAYS)</w:t>
      </w:r>
    </w:p>
    <w:p>
      <w:pPr>
        <w:spacing w:before="70" w:after="70"/>
      </w:pPr>
      <w:r>
        <w:rPr>
          <w:rFonts w:ascii="Arial" w:cs="Arial" w:eastAsia="Arial" w:hAnsi="Arial"/>
          <w:b/>
          <w:bCs/>
          <w:color w:val="1A1A1A"/>
          <w:sz w:val="22"/>
          <w:szCs w:val="22"/>
        </w:rPr>
        <w:t xml:space="preserve">Formula: </w:t>
      </w:r>
      <w:r>
        <w:rPr>
          <w:rFonts w:ascii="Arial" w:cs="Arial" w:eastAsia="Arial" w:hAnsi="Arial"/>
          <w:color w:val="1A1A1A"/>
          <w:sz w:val="22"/>
          <w:szCs w:val="22"/>
        </w:rPr>
        <w:t xml:space="preserve">CONSEC_DELAYS = length of longest consecutive sequence of PAY_i &gt;= 1 across the 6 months</w:t>
      </w:r>
    </w:p>
    <w:p>
      <w:pPr>
        <w:spacing w:before="80" w:after="80"/>
      </w:pPr>
      <w:r>
        <w:rPr>
          <w:rFonts w:ascii="Arial" w:cs="Arial" w:eastAsia="Arial" w:hAnsi="Arial"/>
          <w:b w:val="false"/>
          <w:bCs w:val="false"/>
          <w:color w:val="1A1A1A"/>
          <w:sz w:val="22"/>
          <w:szCs w:val="22"/>
        </w:rPr>
        <w:t xml:space="preserve">Consecutive delinquencies signal an inability to recover, which is more serious than isolated delays. A client with 4 consecutive delayed months has demonstrated sustained financial difficulty that is qualitatively different from 4 isolated delayed months.</w:t>
      </w:r>
    </w:p>
    <w:p>
      <w:pPr>
        <w:spacing w:before="0" w:after="140"/>
      </w:pPr>
    </w:p>
    <w:p>
      <w:pPr>
        <w:pStyle w:val="Heading2"/>
        <w:spacing w:before="280" w:after="120"/>
      </w:pPr>
      <w:r>
        <w:rPr>
          <w:rFonts w:ascii="Arial" w:cs="Arial" w:eastAsia="Arial" w:hAnsi="Arial"/>
          <w:b/>
          <w:bCs/>
          <w:color w:val="1B6CA8"/>
          <w:sz w:val="28"/>
          <w:szCs w:val="28"/>
        </w:rPr>
        <w:t xml:space="preserve">2.2 Payment Capacity Features</w:t>
      </w:r>
    </w:p>
    <w:p>
      <w:pPr>
        <w:pStyle w:val="Heading3"/>
        <w:spacing w:before="200" w:after="80"/>
      </w:pPr>
      <w:r>
        <w:rPr>
          <w:rFonts w:ascii="Arial" w:cs="Arial" w:eastAsia="Arial" w:hAnsi="Arial"/>
          <w:b/>
          <w:bCs/>
          <w:color w:val="1F3864"/>
          <w:sz w:val="24"/>
          <w:szCs w:val="24"/>
        </w:rPr>
        <w:t xml:space="preserve">2.2.1 Payment-to-Bill Ratio (PAY_BILL_RATIO)</w:t>
      </w:r>
    </w:p>
    <w:p>
      <w:pPr>
        <w:spacing w:before="70" w:after="70"/>
      </w:pPr>
      <w:r>
        <w:rPr>
          <w:rFonts w:ascii="Arial" w:cs="Arial" w:eastAsia="Arial" w:hAnsi="Arial"/>
          <w:b/>
          <w:bCs/>
          <w:color w:val="1A1A1A"/>
          <w:sz w:val="22"/>
          <w:szCs w:val="22"/>
        </w:rPr>
        <w:t xml:space="preserve">Formula: </w:t>
      </w:r>
      <w:r>
        <w:rPr>
          <w:rFonts w:ascii="Arial" w:cs="Arial" w:eastAsia="Arial" w:hAnsi="Arial"/>
          <w:color w:val="1A1A1A"/>
          <w:sz w:val="22"/>
          <w:szCs w:val="22"/>
        </w:rPr>
        <w:t xml:space="preserve">PAY_BILL_RATIO_i = PAY_AMT_i / max(BILL_AMT_i, 1)  [for each month i = 1..6]</w:t>
      </w:r>
    </w:p>
    <w:p>
      <w:pPr>
        <w:spacing w:before="80" w:after="80"/>
      </w:pPr>
      <w:r>
        <w:rPr>
          <w:rFonts w:ascii="Arial" w:cs="Arial" w:eastAsia="Arial" w:hAnsi="Arial"/>
          <w:b w:val="false"/>
          <w:bCs w:val="false"/>
          <w:color w:val="1A1A1A"/>
          <w:sz w:val="22"/>
          <w:szCs w:val="22"/>
        </w:rPr>
        <w:t xml:space="preserve">The single most powerful raw feature engineering step in this dataset. As confirmed by EDA, this ratio produces the clearest visual separation between defaulters and non-defaulters of any variable. It normalises payment behaviour by the scale of obligation — a NT$5,000 payment means something entirely different against a NT$6,000 bill versus a NT$500,000 bill.</w:t>
      </w:r>
    </w:p>
    <w:p>
      <w:pPr>
        <w:pStyle w:val="ListParagraph"/>
        <w:numPr>
          <w:ilvl w:val="0"/>
          <w:numId w:val="2"/>
        </w:numPr>
        <w:spacing w:before="50" w:after="50"/>
      </w:pPr>
      <w:r>
        <w:rPr>
          <w:rFonts w:ascii="Arial" w:cs="Arial" w:eastAsia="Arial" w:hAnsi="Arial"/>
          <w:b w:val="false"/>
          <w:bCs w:val="false"/>
          <w:color w:val="1A1A1A"/>
          <w:sz w:val="22"/>
          <w:szCs w:val="22"/>
        </w:rPr>
        <w:t xml:space="preserve">PAY_BILL_RATIO = 0: Zero payment on positive balance — severe risk indicator</w:t>
      </w:r>
    </w:p>
    <w:p>
      <w:pPr>
        <w:pStyle w:val="ListParagraph"/>
        <w:numPr>
          <w:ilvl w:val="0"/>
          <w:numId w:val="2"/>
        </w:numPr>
        <w:spacing w:before="50" w:after="50"/>
      </w:pPr>
      <w:r>
        <w:rPr>
          <w:rFonts w:ascii="Arial" w:cs="Arial" w:eastAsia="Arial" w:hAnsi="Arial"/>
          <w:b w:val="false"/>
          <w:bCs w:val="false"/>
          <w:color w:val="1A1A1A"/>
          <w:sz w:val="22"/>
          <w:szCs w:val="22"/>
        </w:rPr>
        <w:t xml:space="preserve">PAY_BILL_RATIO &lt; 0.05: Near-zero repayment — very high risk</w:t>
      </w:r>
    </w:p>
    <w:p>
      <w:pPr>
        <w:pStyle w:val="ListParagraph"/>
        <w:numPr>
          <w:ilvl w:val="0"/>
          <w:numId w:val="2"/>
        </w:numPr>
        <w:spacing w:before="50" w:after="50"/>
      </w:pPr>
      <w:r>
        <w:rPr>
          <w:rFonts w:ascii="Arial" w:cs="Arial" w:eastAsia="Arial" w:hAnsi="Arial"/>
          <w:b w:val="false"/>
          <w:bCs w:val="false"/>
          <w:color w:val="1A1A1A"/>
          <w:sz w:val="22"/>
          <w:szCs w:val="22"/>
        </w:rPr>
        <w:t xml:space="preserve">PAY_BILL_RATIO 0.05–0.20: Minimum payment range — moderate-to-high risk</w:t>
      </w:r>
    </w:p>
    <w:p>
      <w:pPr>
        <w:pStyle w:val="ListParagraph"/>
        <w:numPr>
          <w:ilvl w:val="0"/>
          <w:numId w:val="2"/>
        </w:numPr>
        <w:spacing w:before="50" w:after="50"/>
      </w:pPr>
      <w:r>
        <w:rPr>
          <w:rFonts w:ascii="Arial" w:cs="Arial" w:eastAsia="Arial" w:hAnsi="Arial"/>
          <w:b w:val="false"/>
          <w:bCs w:val="false"/>
          <w:color w:val="1A1A1A"/>
          <w:sz w:val="22"/>
          <w:szCs w:val="22"/>
        </w:rPr>
        <w:t xml:space="preserve">PAY_BILL_RATIO &gt; 1.0: Full or over-repayment — low risk</w:t>
      </w:r>
    </w:p>
    <w:p>
      <w:pPr>
        <w:pStyle w:val="ListParagraph"/>
        <w:numPr>
          <w:ilvl w:val="0"/>
          <w:numId w:val="2"/>
        </w:numPr>
        <w:spacing w:before="50" w:after="50"/>
      </w:pPr>
      <w:r>
        <w:rPr>
          <w:rFonts w:ascii="Arial" w:cs="Arial" w:eastAsia="Arial" w:hAnsi="Arial"/>
          <w:b w:val="false"/>
          <w:bCs w:val="false"/>
          <w:color w:val="1A1A1A"/>
          <w:sz w:val="22"/>
          <w:szCs w:val="22"/>
        </w:rPr>
        <w:t xml:space="preserve">Why it works: It transforms two individually weak features (PAY_AMT and BILL_AMT have near-zero individual correlation with default) into a highly predictive compound feature. This illustrates the power of domain-informed feature construction.</w:t>
      </w:r>
    </w:p>
    <w:p>
      <w:pPr>
        <w:spacing w:before="0" w:after="80"/>
      </w:pPr>
    </w:p>
    <w:p>
      <w:pPr>
        <w:pStyle w:val="Heading3"/>
        <w:spacing w:before="200" w:after="80"/>
      </w:pPr>
      <w:r>
        <w:rPr>
          <w:rFonts w:ascii="Arial" w:cs="Arial" w:eastAsia="Arial" w:hAnsi="Arial"/>
          <w:b/>
          <w:bCs/>
          <w:color w:val="1F3864"/>
          <w:sz w:val="24"/>
          <w:szCs w:val="24"/>
        </w:rPr>
        <w:t xml:space="preserve">2.2.2 Average Payment-to-Bill Ratio (AVG_PAY_BILL_RATIO)</w:t>
      </w:r>
    </w:p>
    <w:p>
      <w:pPr>
        <w:spacing w:before="70" w:after="70"/>
      </w:pPr>
      <w:r>
        <w:rPr>
          <w:rFonts w:ascii="Arial" w:cs="Arial" w:eastAsia="Arial" w:hAnsi="Arial"/>
          <w:b/>
          <w:bCs/>
          <w:color w:val="1A1A1A"/>
          <w:sz w:val="22"/>
          <w:szCs w:val="22"/>
        </w:rPr>
        <w:t xml:space="preserve">Formula: </w:t>
      </w:r>
      <w:r>
        <w:rPr>
          <w:rFonts w:ascii="Arial" w:cs="Arial" w:eastAsia="Arial" w:hAnsi="Arial"/>
          <w:color w:val="1A1A1A"/>
          <w:sz w:val="22"/>
          <w:szCs w:val="22"/>
        </w:rPr>
        <w:t xml:space="preserve">AVG_PAY_BILL_RATIO = mean(PAY_BILL_RATIO_1, ..., PAY_BILL_RATIO_6)</w:t>
      </w:r>
    </w:p>
    <w:p>
      <w:pPr>
        <w:spacing w:before="80" w:after="80"/>
      </w:pPr>
      <w:r>
        <w:rPr>
          <w:rFonts w:ascii="Arial" w:cs="Arial" w:eastAsia="Arial" w:hAnsi="Arial"/>
          <w:b w:val="false"/>
          <w:bCs w:val="false"/>
          <w:color w:val="1A1A1A"/>
          <w:sz w:val="22"/>
          <w:szCs w:val="22"/>
        </w:rPr>
        <w:t xml:space="preserve">A smoothed, longitudinal view of repayment capacity. Clients who consistently pay a low fraction of their balance across six months exhibit a chronic financial limitation pattern that is highly predictive of eventual default.</w:t>
      </w:r>
    </w:p>
    <w:p>
      <w:pPr>
        <w:spacing w:before="0" w:after="80"/>
      </w:pPr>
    </w:p>
    <w:p>
      <w:pPr>
        <w:pStyle w:val="Heading3"/>
        <w:spacing w:before="200" w:after="80"/>
      </w:pPr>
      <w:r>
        <w:rPr>
          <w:rFonts w:ascii="Arial" w:cs="Arial" w:eastAsia="Arial" w:hAnsi="Arial"/>
          <w:b/>
          <w:bCs/>
          <w:color w:val="1F3864"/>
          <w:sz w:val="24"/>
          <w:szCs w:val="24"/>
        </w:rPr>
        <w:t xml:space="preserve">2.2.3 Zero-Payment Count (NUM_ZERO_PAYMENTS)</w:t>
      </w:r>
    </w:p>
    <w:p>
      <w:pPr>
        <w:spacing w:before="70" w:after="70"/>
      </w:pPr>
      <w:r>
        <w:rPr>
          <w:rFonts w:ascii="Arial" w:cs="Arial" w:eastAsia="Arial" w:hAnsi="Arial"/>
          <w:b/>
          <w:bCs/>
          <w:color w:val="1A1A1A"/>
          <w:sz w:val="22"/>
          <w:szCs w:val="22"/>
        </w:rPr>
        <w:t xml:space="preserve">Formula: </w:t>
      </w:r>
      <w:r>
        <w:rPr>
          <w:rFonts w:ascii="Arial" w:cs="Arial" w:eastAsia="Arial" w:hAnsi="Arial"/>
          <w:color w:val="1A1A1A"/>
          <w:sz w:val="22"/>
          <w:szCs w:val="22"/>
        </w:rPr>
        <w:t xml:space="preserve">NUM_ZERO_PAYMENTS = count(PAY_AMT_i == 0) for i in {1..6}</w:t>
      </w:r>
    </w:p>
    <w:p>
      <w:pPr>
        <w:spacing w:before="80" w:after="80"/>
      </w:pPr>
      <w:r>
        <w:rPr>
          <w:rFonts w:ascii="Arial" w:cs="Arial" w:eastAsia="Arial" w:hAnsi="Arial"/>
          <w:b w:val="false"/>
          <w:bCs w:val="false"/>
          <w:color w:val="1A1A1A"/>
          <w:sz w:val="22"/>
          <w:szCs w:val="22"/>
        </w:rPr>
        <w:t xml:space="preserve">EDA confirmed a near-monotonic relationship between this count and default rate, with 4+ zero-payment months approaching 70–80% default rates. This is one of the clearest early-warning signals available in this dataset.</w:t>
      </w:r>
    </w:p>
    <w:p>
      <w:pPr>
        <w:spacing w:before="0" w:after="80"/>
      </w:pPr>
    </w:p>
    <w:p>
      <w:pPr>
        <w:pStyle w:val="Heading3"/>
        <w:spacing w:before="200" w:after="80"/>
      </w:pPr>
      <w:r>
        <w:rPr>
          <w:rFonts w:ascii="Arial" w:cs="Arial" w:eastAsia="Arial" w:hAnsi="Arial"/>
          <w:b/>
          <w:bCs/>
          <w:color w:val="1F3864"/>
          <w:sz w:val="24"/>
          <w:szCs w:val="24"/>
        </w:rPr>
        <w:t xml:space="preserve">2.2.4 Recent Payment Ratio vs. Historical (PAYMENT_RECENCY_RATIO)</w:t>
      </w:r>
    </w:p>
    <w:p>
      <w:pPr>
        <w:spacing w:before="70" w:after="70"/>
      </w:pPr>
      <w:r>
        <w:rPr>
          <w:rFonts w:ascii="Arial" w:cs="Arial" w:eastAsia="Arial" w:hAnsi="Arial"/>
          <w:b/>
          <w:bCs/>
          <w:color w:val="1A1A1A"/>
          <w:sz w:val="22"/>
          <w:szCs w:val="22"/>
        </w:rPr>
        <w:t xml:space="preserve">Formula: </w:t>
      </w:r>
      <w:r>
        <w:rPr>
          <w:rFonts w:ascii="Arial" w:cs="Arial" w:eastAsia="Arial" w:hAnsi="Arial"/>
          <w:color w:val="1A1A1A"/>
          <w:sz w:val="22"/>
          <w:szCs w:val="22"/>
        </w:rPr>
        <w:t xml:space="preserve">PAYMENT_RECENCY_RATIO = PAY_BILL_RATIO_1 / (mean(PAY_BILL_RATIO_2..6) + epsilon)</w:t>
      </w:r>
    </w:p>
    <w:p>
      <w:pPr>
        <w:spacing w:before="80" w:after="80"/>
      </w:pPr>
      <w:r>
        <w:rPr>
          <w:rFonts w:ascii="Arial" w:cs="Arial" w:eastAsia="Arial" w:hAnsi="Arial"/>
          <w:b w:val="false"/>
          <w:bCs w:val="false"/>
          <w:color w:val="1A1A1A"/>
          <w:sz w:val="22"/>
          <w:szCs w:val="22"/>
        </w:rPr>
        <w:t xml:space="preserve">Measures whether recent repayment capacity is improving or deteriorating relative to history. A ratio &lt; 1.0 indicates recent deterioration — a strong default signal. A ratio &gt; 1.0 indicates recent improvement — a recovery signal.</w:t>
      </w:r>
    </w:p>
    <w:p>
      <w:pPr>
        <w:spacing w:before="0" w:after="140"/>
      </w:pPr>
    </w:p>
    <w:p>
      <w:pPr>
        <w:pStyle w:val="Heading2"/>
        <w:spacing w:before="280" w:after="120"/>
      </w:pPr>
      <w:r>
        <w:rPr>
          <w:rFonts w:ascii="Arial" w:cs="Arial" w:eastAsia="Arial" w:hAnsi="Arial"/>
          <w:b/>
          <w:bCs/>
          <w:color w:val="1B6CA8"/>
          <w:sz w:val="28"/>
          <w:szCs w:val="28"/>
        </w:rPr>
        <w:t xml:space="preserve">2.3 Credit Exposure and Utilization Features</w:t>
      </w:r>
    </w:p>
    <w:p>
      <w:pPr>
        <w:pStyle w:val="Heading3"/>
        <w:spacing w:before="200" w:after="80"/>
      </w:pPr>
      <w:r>
        <w:rPr>
          <w:rFonts w:ascii="Arial" w:cs="Arial" w:eastAsia="Arial" w:hAnsi="Arial"/>
          <w:b/>
          <w:bCs/>
          <w:color w:val="1F3864"/>
          <w:sz w:val="24"/>
          <w:szCs w:val="24"/>
        </w:rPr>
        <w:t xml:space="preserve">2.3.1 Credit Utilization Ratio (UTILIZATION_RATIO)</w:t>
      </w:r>
    </w:p>
    <w:p>
      <w:pPr>
        <w:spacing w:before="70" w:after="70"/>
      </w:pPr>
      <w:r>
        <w:rPr>
          <w:rFonts w:ascii="Arial" w:cs="Arial" w:eastAsia="Arial" w:hAnsi="Arial"/>
          <w:b/>
          <w:bCs/>
          <w:color w:val="1A1A1A"/>
          <w:sz w:val="22"/>
          <w:szCs w:val="22"/>
        </w:rPr>
        <w:t xml:space="preserve">Formula: </w:t>
      </w:r>
      <w:r>
        <w:rPr>
          <w:rFonts w:ascii="Arial" w:cs="Arial" w:eastAsia="Arial" w:hAnsi="Arial"/>
          <w:color w:val="1A1A1A"/>
          <w:sz w:val="22"/>
          <w:szCs w:val="22"/>
        </w:rPr>
        <w:t xml:space="preserve">UTILIZATION_RATIO = AVG_BILL_AMT / LIMIT_BAL</w:t>
      </w:r>
    </w:p>
    <w:p>
      <w:pPr>
        <w:spacing w:before="80" w:after="80"/>
      </w:pPr>
      <w:r>
        <w:rPr>
          <w:rFonts w:ascii="Arial" w:cs="Arial" w:eastAsia="Arial" w:hAnsi="Arial"/>
          <w:b w:val="false"/>
          <w:bCs w:val="false"/>
          <w:color w:val="1A1A1A"/>
          <w:sz w:val="22"/>
          <w:szCs w:val="22"/>
        </w:rPr>
        <w:t xml:space="preserve">The most fundamental metric in credit risk after payment behaviour. High utilization (&gt; 80%) signals a borrower who is regularly drawing close to or at their credit ceiling — indicating reliance on credit and limited financial buffer. This metric is a core component of FICO and VantageScore calculations.</w:t>
      </w:r>
    </w:p>
    <w:p>
      <w:pPr>
        <w:pStyle w:val="ListParagraph"/>
        <w:numPr>
          <w:ilvl w:val="0"/>
          <w:numId w:val="2"/>
        </w:numPr>
        <w:spacing w:before="50" w:after="50"/>
      </w:pPr>
      <w:r>
        <w:rPr>
          <w:rFonts w:ascii="Arial" w:cs="Arial" w:eastAsia="Arial" w:hAnsi="Arial"/>
          <w:b w:val="false"/>
          <w:bCs w:val="false"/>
          <w:color w:val="1A1A1A"/>
          <w:sz w:val="22"/>
          <w:szCs w:val="22"/>
        </w:rPr>
        <w:t xml:space="preserve">UTILIZATION_RATIO &gt; 0.90: Critical — near-maxed out, very high risk</w:t>
      </w:r>
    </w:p>
    <w:p>
      <w:pPr>
        <w:pStyle w:val="ListParagraph"/>
        <w:numPr>
          <w:ilvl w:val="0"/>
          <w:numId w:val="2"/>
        </w:numPr>
        <w:spacing w:before="50" w:after="50"/>
      </w:pPr>
      <w:r>
        <w:rPr>
          <w:rFonts w:ascii="Arial" w:cs="Arial" w:eastAsia="Arial" w:hAnsi="Arial"/>
          <w:b w:val="false"/>
          <w:bCs w:val="false"/>
          <w:color w:val="1A1A1A"/>
          <w:sz w:val="22"/>
          <w:szCs w:val="22"/>
        </w:rPr>
        <w:t xml:space="preserve">UTILIZATION_RATIO 0.50–0.90: High — moderate-to-high risk</w:t>
      </w:r>
    </w:p>
    <w:p>
      <w:pPr>
        <w:pStyle w:val="ListParagraph"/>
        <w:numPr>
          <w:ilvl w:val="0"/>
          <w:numId w:val="2"/>
        </w:numPr>
        <w:spacing w:before="50" w:after="50"/>
      </w:pPr>
      <w:r>
        <w:rPr>
          <w:rFonts w:ascii="Arial" w:cs="Arial" w:eastAsia="Arial" w:hAnsi="Arial"/>
          <w:b w:val="false"/>
          <w:bCs w:val="false"/>
          <w:color w:val="1A1A1A"/>
          <w:sz w:val="22"/>
          <w:szCs w:val="22"/>
        </w:rPr>
        <w:t xml:space="preserve">UTILIZATION_RATIO 0.20–0.50: Normal — moderate risk</w:t>
      </w:r>
    </w:p>
    <w:p>
      <w:pPr>
        <w:pStyle w:val="ListParagraph"/>
        <w:numPr>
          <w:ilvl w:val="0"/>
          <w:numId w:val="2"/>
        </w:numPr>
        <w:spacing w:before="50" w:after="50"/>
      </w:pPr>
      <w:r>
        <w:rPr>
          <w:rFonts w:ascii="Arial" w:cs="Arial" w:eastAsia="Arial" w:hAnsi="Arial"/>
          <w:b w:val="false"/>
          <w:bCs w:val="false"/>
          <w:color w:val="1A1A1A"/>
          <w:sz w:val="22"/>
          <w:szCs w:val="22"/>
        </w:rPr>
        <w:t xml:space="preserve">UTILIZATION_RATIO &lt; 0.20: Low — low risk, financially conservative</w:t>
      </w:r>
    </w:p>
    <w:p>
      <w:pPr>
        <w:spacing w:before="0" w:after="80"/>
      </w:pPr>
    </w:p>
    <w:p>
      <w:pPr>
        <w:pStyle w:val="Heading3"/>
        <w:spacing w:before="200" w:after="80"/>
      </w:pPr>
      <w:r>
        <w:rPr>
          <w:rFonts w:ascii="Arial" w:cs="Arial" w:eastAsia="Arial" w:hAnsi="Arial"/>
          <w:b/>
          <w:bCs/>
          <w:color w:val="1F3864"/>
          <w:sz w:val="24"/>
          <w:szCs w:val="24"/>
        </w:rPr>
        <w:t xml:space="preserve">2.3.2 Balance Trajectory (BILL_GROWTH)</w:t>
      </w:r>
    </w:p>
    <w:p>
      <w:pPr>
        <w:spacing w:before="70" w:after="70"/>
      </w:pPr>
      <w:r>
        <w:rPr>
          <w:rFonts w:ascii="Arial" w:cs="Arial" w:eastAsia="Arial" w:hAnsi="Arial"/>
          <w:b/>
          <w:bCs/>
          <w:color w:val="1A1A1A"/>
          <w:sz w:val="22"/>
          <w:szCs w:val="22"/>
        </w:rPr>
        <w:t xml:space="preserve">Formula: </w:t>
      </w:r>
      <w:r>
        <w:rPr>
          <w:rFonts w:ascii="Arial" w:cs="Arial" w:eastAsia="Arial" w:hAnsi="Arial"/>
          <w:color w:val="1A1A1A"/>
          <w:sz w:val="22"/>
          <w:szCs w:val="22"/>
        </w:rPr>
        <w:t xml:space="preserve">BILL_GROWTH = BILL_AMT1 - BILL_AMT6  [positive = growing debt]</w:t>
      </w:r>
    </w:p>
    <w:p>
      <w:pPr>
        <w:spacing w:before="80" w:after="80"/>
      </w:pPr>
      <w:r>
        <w:rPr>
          <w:rFonts w:ascii="Arial" w:cs="Arial" w:eastAsia="Arial" w:hAnsi="Arial"/>
          <w:b w:val="false"/>
          <w:bCs w:val="false"/>
          <w:color w:val="1A1A1A"/>
          <w:sz w:val="22"/>
          <w:szCs w:val="22"/>
        </w:rPr>
        <w:t xml:space="preserve">Captures whether the client's outstanding balance is growing, stable, or decreasing over the six months. A growing balance in conjunction with low payment ratios is a compounding risk signal.</w:t>
      </w:r>
    </w:p>
    <w:p>
      <w:pPr>
        <w:spacing w:before="0" w:after="80"/>
      </w:pPr>
    </w:p>
    <w:p>
      <w:pPr>
        <w:pStyle w:val="Heading3"/>
        <w:spacing w:before="200" w:after="80"/>
      </w:pPr>
      <w:r>
        <w:rPr>
          <w:rFonts w:ascii="Arial" w:cs="Arial" w:eastAsia="Arial" w:hAnsi="Arial"/>
          <w:b/>
          <w:bCs/>
          <w:color w:val="1F3864"/>
          <w:sz w:val="24"/>
          <w:szCs w:val="24"/>
        </w:rPr>
        <w:t xml:space="preserve">2.3.3 Average Billing Amount (AVG_BILL_AMT)</w:t>
      </w:r>
    </w:p>
    <w:p>
      <w:pPr>
        <w:spacing w:before="70" w:after="70"/>
      </w:pPr>
      <w:r>
        <w:rPr>
          <w:rFonts w:ascii="Arial" w:cs="Arial" w:eastAsia="Arial" w:hAnsi="Arial"/>
          <w:b/>
          <w:bCs/>
          <w:color w:val="1A1A1A"/>
          <w:sz w:val="22"/>
          <w:szCs w:val="22"/>
        </w:rPr>
        <w:t xml:space="preserve">Formula: </w:t>
      </w:r>
      <w:r>
        <w:rPr>
          <w:rFonts w:ascii="Arial" w:cs="Arial" w:eastAsia="Arial" w:hAnsi="Arial"/>
          <w:color w:val="1A1A1A"/>
          <w:sz w:val="22"/>
          <w:szCs w:val="22"/>
        </w:rPr>
        <w:t xml:space="preserve">AVG_BILL_AMT = mean(BILL_AMT1, BILL_AMT2, ..., BILL_AMT6)</w:t>
      </w:r>
    </w:p>
    <w:p>
      <w:pPr>
        <w:spacing w:before="80" w:after="80"/>
      </w:pPr>
      <w:r>
        <w:rPr>
          <w:rFonts w:ascii="Arial" w:cs="Arial" w:eastAsia="Arial" w:hAnsi="Arial"/>
          <w:b w:val="false"/>
          <w:bCs w:val="false"/>
          <w:color w:val="1A1A1A"/>
          <w:sz w:val="22"/>
          <w:szCs w:val="22"/>
        </w:rPr>
        <w:t xml:space="preserve">A dimensionality-reduced representation of the severely collinear BILL_AMT cluster. By averaging across months, this single feature captures the overall debt exposure level while eliminating the multicollinearity problem of retaining all six raw billing amounts.</w:t>
      </w:r>
    </w:p>
    <w:p>
      <w:pPr>
        <w:spacing w:before="0" w:after="140"/>
      </w:pPr>
    </w:p>
    <w:p>
      <w:pPr>
        <w:pStyle w:val="Heading2"/>
        <w:spacing w:before="280" w:after="120"/>
      </w:pPr>
      <w:r>
        <w:rPr>
          <w:rFonts w:ascii="Arial" w:cs="Arial" w:eastAsia="Arial" w:hAnsi="Arial"/>
          <w:b/>
          <w:bCs/>
          <w:color w:val="1B6CA8"/>
          <w:sz w:val="28"/>
          <w:szCs w:val="28"/>
        </w:rPr>
        <w:t xml:space="preserve">2.4 Behavioural Scoring Composite Features</w:t>
      </w:r>
    </w:p>
    <w:p>
      <w:pPr>
        <w:pStyle w:val="Heading3"/>
        <w:spacing w:before="200" w:after="80"/>
      </w:pPr>
      <w:r>
        <w:rPr>
          <w:rFonts w:ascii="Arial" w:cs="Arial" w:eastAsia="Arial" w:hAnsi="Arial"/>
          <w:b/>
          <w:bCs/>
          <w:color w:val="1F3864"/>
          <w:sz w:val="24"/>
          <w:szCs w:val="24"/>
        </w:rPr>
        <w:t xml:space="preserve">2.4.1 Repayment Capacity Score (REPAYMENT_CAPACITY_SCORE)</w:t>
      </w:r>
    </w:p>
    <w:p>
      <w:pPr>
        <w:spacing w:before="70" w:after="70"/>
      </w:pPr>
      <w:r>
        <w:rPr>
          <w:rFonts w:ascii="Arial" w:cs="Arial" w:eastAsia="Arial" w:hAnsi="Arial"/>
          <w:b/>
          <w:bCs/>
          <w:color w:val="1A1A1A"/>
          <w:sz w:val="22"/>
          <w:szCs w:val="22"/>
        </w:rPr>
        <w:t xml:space="preserve">Formula: </w:t>
      </w:r>
      <w:r>
        <w:rPr>
          <w:rFonts w:ascii="Arial" w:cs="Arial" w:eastAsia="Arial" w:hAnsi="Arial"/>
          <w:color w:val="1A1A1A"/>
          <w:sz w:val="22"/>
          <w:szCs w:val="22"/>
        </w:rPr>
        <w:t xml:space="preserve">RCS = AVG_PAY_BILL_RATIO * (1 - NUM_ZERO_PAYMENTS/6) * (1 / (1 + MAX_DELAY))</w:t>
      </w:r>
    </w:p>
    <w:p>
      <w:pPr>
        <w:spacing w:before="80" w:after="80"/>
      </w:pPr>
      <w:r>
        <w:rPr>
          <w:rFonts w:ascii="Arial" w:cs="Arial" w:eastAsia="Arial" w:hAnsi="Arial"/>
          <w:b w:val="false"/>
          <w:bCs w:val="false"/>
          <w:color w:val="1A1A1A"/>
          <w:sz w:val="22"/>
          <w:szCs w:val="22"/>
        </w:rPr>
        <w:t xml:space="preserve">A composite score that integrates three behavioural dimensions into a single index: average repayment coverage, zero-payment frequency, and maximum delay severity. Lower values indicate higher risk. This type of composite is used in behavioral scoring systems and early warning models at major banks.</w:t>
      </w:r>
    </w:p>
    <w:p>
      <w:pPr>
        <w:spacing w:before="0" w:after="80"/>
      </w:pPr>
    </w:p>
    <w:p>
      <w:pPr>
        <w:pStyle w:val="Heading3"/>
        <w:spacing w:before="200" w:after="80"/>
      </w:pPr>
      <w:r>
        <w:rPr>
          <w:rFonts w:ascii="Arial" w:cs="Arial" w:eastAsia="Arial" w:hAnsi="Arial"/>
          <w:b/>
          <w:bCs/>
          <w:color w:val="1F3864"/>
          <w:sz w:val="24"/>
          <w:szCs w:val="24"/>
        </w:rPr>
        <w:t xml:space="preserve">2.4.2 Stress Index (FINANCIAL_STRESS_INDEX)</w:t>
      </w:r>
    </w:p>
    <w:p>
      <w:pPr>
        <w:spacing w:before="70" w:after="70"/>
      </w:pPr>
      <w:r>
        <w:rPr>
          <w:rFonts w:ascii="Arial" w:cs="Arial" w:eastAsia="Arial" w:hAnsi="Arial"/>
          <w:b/>
          <w:bCs/>
          <w:color w:val="1A1A1A"/>
          <w:sz w:val="22"/>
          <w:szCs w:val="22"/>
        </w:rPr>
        <w:t xml:space="preserve">Formula: </w:t>
      </w:r>
      <w:r>
        <w:rPr>
          <w:rFonts w:ascii="Arial" w:cs="Arial" w:eastAsia="Arial" w:hAnsi="Arial"/>
          <w:color w:val="1A1A1A"/>
          <w:sz w:val="22"/>
          <w:szCs w:val="22"/>
        </w:rPr>
        <w:t xml:space="preserve">FSI = UTILIZATION_RATIO * (NUM_DELAYS / 6) * (1 + MAX_DELAY)</w:t>
      </w:r>
    </w:p>
    <w:p>
      <w:pPr>
        <w:spacing w:before="80" w:after="80"/>
      </w:pPr>
      <w:r>
        <w:rPr>
          <w:rFonts w:ascii="Arial" w:cs="Arial" w:eastAsia="Arial" w:hAnsi="Arial"/>
          <w:b w:val="false"/>
          <w:bCs w:val="false"/>
          <w:color w:val="1A1A1A"/>
          <w:sz w:val="22"/>
          <w:szCs w:val="22"/>
        </w:rPr>
        <w:t xml:space="preserve">Combines credit utilization pressure with delinquency frequency and maximum severity. High values indicate a client under simultaneous pressure across multiple financial dimensions — a pattern strongly associated with imminent default.</w:t>
      </w:r>
    </w:p>
    <w:p>
      <w:pPr>
        <w:spacing w:before="0" w:after="140"/>
      </w:pPr>
    </w:p>
    <w:p>
      <w:pPr>
        <w:pStyle w:val="Heading2"/>
        <w:spacing w:before="280" w:after="120"/>
      </w:pPr>
      <w:r>
        <w:rPr>
          <w:rFonts w:ascii="Arial" w:cs="Arial" w:eastAsia="Arial" w:hAnsi="Arial"/>
          <w:b/>
          <w:bCs/>
          <w:color w:val="1B6CA8"/>
          <w:sz w:val="28"/>
          <w:szCs w:val="28"/>
        </w:rPr>
        <w:t xml:space="preserve">2.5 Log-Odds Interaction Features</w:t>
      </w:r>
    </w:p>
    <w:p>
      <w:pPr>
        <w:spacing w:before="80" w:after="80"/>
      </w:pPr>
      <w:r>
        <w:rPr>
          <w:rFonts w:ascii="Arial" w:cs="Arial" w:eastAsia="Arial" w:hAnsi="Arial"/>
          <w:b w:val="false"/>
          <w:bCs w:val="false"/>
          <w:color w:val="1A1A1A"/>
          <w:sz w:val="22"/>
          <w:szCs w:val="22"/>
        </w:rPr>
        <w:t xml:space="preserve">In Logistic Regression scorecards, interaction terms can capture non-additive risk effects that individual features cannot. In credit risk, the following interactions have strong theoretical and empirical justification:</w:t>
      </w:r>
    </w:p>
    <w:p>
      <w:pPr>
        <w:pStyle w:val="ListParagraph"/>
        <w:numPr>
          <w:ilvl w:val="0"/>
          <w:numId w:val="2"/>
        </w:numPr>
        <w:spacing w:before="50" w:after="50"/>
      </w:pPr>
      <w:r>
        <w:rPr>
          <w:rFonts w:ascii="Arial" w:cs="Arial" w:eastAsia="Arial" w:hAnsi="Arial"/>
          <w:b w:val="false"/>
          <w:bCs w:val="false"/>
          <w:color w:val="1A1A1A"/>
          <w:sz w:val="22"/>
          <w:szCs w:val="22"/>
        </w:rPr>
        <w:t xml:space="preserve">LOG_LIMIT_BAL × PAY_0: Low-limit, high-delay clients exhibit disproportionately high default rates compared to either condition alone.</w:t>
      </w:r>
    </w:p>
    <w:p>
      <w:pPr>
        <w:pStyle w:val="ListParagraph"/>
        <w:numPr>
          <w:ilvl w:val="0"/>
          <w:numId w:val="2"/>
        </w:numPr>
        <w:spacing w:before="50" w:after="50"/>
      </w:pPr>
      <w:r>
        <w:rPr>
          <w:rFonts w:ascii="Arial" w:cs="Arial" w:eastAsia="Arial" w:hAnsi="Arial"/>
          <w:b w:val="false"/>
          <w:bCs w:val="false"/>
          <w:color w:val="1A1A1A"/>
          <w:sz w:val="22"/>
          <w:szCs w:val="22"/>
        </w:rPr>
        <w:t xml:space="preserve">UTILIZATION_RATIO × NUM_DELAYS: High utilization combined with delinquency history is multiplicatively risky.</w:t>
      </w:r>
    </w:p>
    <w:p>
      <w:pPr>
        <w:pStyle w:val="ListParagraph"/>
        <w:numPr>
          <w:ilvl w:val="0"/>
          <w:numId w:val="2"/>
        </w:numPr>
        <w:spacing w:before="50" w:after="50"/>
      </w:pPr>
      <w:r>
        <w:rPr>
          <w:rFonts w:ascii="Arial" w:cs="Arial" w:eastAsia="Arial" w:hAnsi="Arial"/>
          <w:b w:val="false"/>
          <w:bCs w:val="false"/>
          <w:color w:val="1A1A1A"/>
          <w:sz w:val="22"/>
          <w:szCs w:val="22"/>
        </w:rPr>
        <w:t xml:space="preserve">AGE_BAND × EDUCATION: Young clients with lower education represent an elevated risk profile beyond either feature separately.</w:t>
      </w:r>
    </w:p>
    <w:p>
      <w:pPr>
        <w:spacing w:before="0" w:after="200"/>
      </w:pPr>
    </w:p>
    <w:p>
      <w:r>
        <w:br w:type="page"/>
      </w:r>
    </w:p>
    <w:p>
      <w:pPr>
        <w:pStyle w:val="Heading1"/>
        <w:pBdr>
          <w:bottom w:val="single" w:color="2E75B6" w:sz="6"/>
        </w:pBdr>
        <w:spacing w:before="400" w:after="160"/>
      </w:pPr>
      <w:r>
        <w:rPr>
          <w:rFonts w:ascii="Arial" w:cs="Arial" w:eastAsia="Arial" w:hAnsi="Arial"/>
          <w:b/>
          <w:bCs/>
          <w:color w:val="1F3864"/>
          <w:sz w:val="36"/>
          <w:szCs w:val="36"/>
        </w:rPr>
        <w:t xml:space="preserve">Section 3: Handling Correlated and Redundant Features</w:t>
      </w:r>
    </w:p>
    <w:p>
      <w:pPr>
        <w:spacing w:before="80" w:after="80"/>
      </w:pPr>
      <w:r>
        <w:rPr>
          <w:rFonts w:ascii="Arial" w:cs="Arial" w:eastAsia="Arial" w:hAnsi="Arial"/>
          <w:b w:val="false"/>
          <w:bCs w:val="false"/>
          <w:color w:val="1A1A1A"/>
          <w:sz w:val="22"/>
          <w:szCs w:val="22"/>
        </w:rPr>
        <w:t xml:space="preserve">This dataset presents two distinct multicollinearity problems of different severity levels. Each requires a tailored resolution strategy informed by the model type being developed.</w:t>
      </w:r>
    </w:p>
    <w:p>
      <w:pPr>
        <w:spacing w:before="0" w:after="120"/>
      </w:pPr>
    </w:p>
    <w:p>
      <w:pPr>
        <w:pStyle w:val="Heading2"/>
        <w:spacing w:before="280" w:after="120"/>
      </w:pPr>
      <w:r>
        <w:rPr>
          <w:rFonts w:ascii="Arial" w:cs="Arial" w:eastAsia="Arial" w:hAnsi="Arial"/>
          <w:b/>
          <w:bCs/>
          <w:color w:val="1B6CA8"/>
          <w:sz w:val="28"/>
          <w:szCs w:val="28"/>
        </w:rPr>
        <w:t xml:space="preserve">3.1 The Two Multicollinearity Problems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1560"/>
        <w:gridCol w:w="3600"/>
      </w:tblGrid>
      <w:tr>
        <w:tc>
          <w:tcPr>
            <w:tcW w:type="dxa" w:w="2400"/>
            <w:tcBorders>
              <w:top w:val="single" w:color="D5D8DC" w:sz="1"/>
              <w:left w:val="single" w:color="D5D8DC" w:sz="1"/>
              <w:bottom w:val="single" w:color="D5D8DC" w:sz="1"/>
              <w:right w:val="single" w:color="D5D8DC" w:sz="1"/>
            </w:tcBorders>
            <w:shd w:fill="1F3864" w:val="clear"/>
            <w:tcMar>
              <w:top w:type="dxa" w:w="90"/>
              <w:left w:type="dxa" w:w="150"/>
              <w:bottom w:type="dxa" w:w="90"/>
              <w:right w:type="dxa" w:w="100"/>
            </w:tcMar>
            <w:vAlign w:val="top"/>
          </w:tcPr>
          <w:p>
            <w:pPr>
              <w:spacing w:before="0" w:after="0"/>
              <w:jc w:val="left"/>
            </w:pPr>
            <w:r>
              <w:rPr>
                <w:rFonts w:ascii="Arial" w:cs="Arial" w:eastAsia="Arial" w:hAnsi="Arial"/>
                <w:b/>
                <w:bCs/>
                <w:color w:val="FFFFFF"/>
                <w:sz w:val="19"/>
                <w:szCs w:val="19"/>
              </w:rPr>
              <w:t xml:space="preserve">Feature Group</w:t>
            </w:r>
          </w:p>
        </w:tc>
        <w:tc>
          <w:tcPr>
            <w:tcW w:type="dxa" w:w="1800"/>
            <w:tcBorders>
              <w:top w:val="single" w:color="D5D8DC" w:sz="1"/>
              <w:left w:val="single" w:color="D5D8DC" w:sz="1"/>
              <w:bottom w:val="single" w:color="D5D8DC" w:sz="1"/>
              <w:right w:val="single" w:color="D5D8DC" w:sz="1"/>
            </w:tcBorders>
            <w:shd w:fill="1F3864" w:val="clear"/>
            <w:tcMar>
              <w:top w:type="dxa" w:w="90"/>
              <w:left w:type="dxa" w:w="150"/>
              <w:bottom w:type="dxa" w:w="90"/>
              <w:right w:type="dxa" w:w="100"/>
            </w:tcMar>
            <w:vAlign w:val="top"/>
          </w:tcPr>
          <w:p>
            <w:pPr>
              <w:spacing w:before="0" w:after="0"/>
              <w:jc w:val="left"/>
            </w:pPr>
            <w:r>
              <w:rPr>
                <w:rFonts w:ascii="Arial" w:cs="Arial" w:eastAsia="Arial" w:hAnsi="Arial"/>
                <w:b/>
                <w:bCs/>
                <w:color w:val="FFFFFF"/>
                <w:sz w:val="19"/>
                <w:szCs w:val="19"/>
              </w:rPr>
              <w:t xml:space="preserve">Correlation Range</w:t>
            </w:r>
          </w:p>
        </w:tc>
        <w:tc>
          <w:tcPr>
            <w:tcW w:type="dxa" w:w="1560"/>
            <w:tcBorders>
              <w:top w:val="single" w:color="D5D8DC" w:sz="1"/>
              <w:left w:val="single" w:color="D5D8DC" w:sz="1"/>
              <w:bottom w:val="single" w:color="D5D8DC" w:sz="1"/>
              <w:right w:val="single" w:color="D5D8DC" w:sz="1"/>
            </w:tcBorders>
            <w:shd w:fill="1F3864" w:val="clear"/>
            <w:tcMar>
              <w:top w:type="dxa" w:w="90"/>
              <w:left w:type="dxa" w:w="150"/>
              <w:bottom w:type="dxa" w:w="90"/>
              <w:right w:type="dxa" w:w="100"/>
            </w:tcMar>
            <w:vAlign w:val="top"/>
          </w:tcPr>
          <w:p>
            <w:pPr>
              <w:spacing w:before="0" w:after="0"/>
              <w:jc w:val="left"/>
            </w:pPr>
            <w:r>
              <w:rPr>
                <w:rFonts w:ascii="Arial" w:cs="Arial" w:eastAsia="Arial" w:hAnsi="Arial"/>
                <w:b/>
                <w:bCs/>
                <w:color w:val="FFFFFF"/>
                <w:sz w:val="19"/>
                <w:szCs w:val="19"/>
              </w:rPr>
              <w:t xml:space="preserve">Severity</w:t>
            </w:r>
          </w:p>
        </w:tc>
        <w:tc>
          <w:tcPr>
            <w:tcW w:type="dxa" w:w="3600"/>
            <w:tcBorders>
              <w:top w:val="single" w:color="D5D8DC" w:sz="1"/>
              <w:left w:val="single" w:color="D5D8DC" w:sz="1"/>
              <w:bottom w:val="single" w:color="D5D8DC" w:sz="1"/>
              <w:right w:val="single" w:color="D5D8DC" w:sz="1"/>
            </w:tcBorders>
            <w:shd w:fill="1F3864" w:val="clear"/>
            <w:tcMar>
              <w:top w:type="dxa" w:w="90"/>
              <w:left w:type="dxa" w:w="150"/>
              <w:bottom w:type="dxa" w:w="90"/>
              <w:right w:type="dxa" w:w="100"/>
            </w:tcMar>
            <w:vAlign w:val="top"/>
          </w:tcPr>
          <w:p>
            <w:pPr>
              <w:spacing w:before="0" w:after="0"/>
              <w:jc w:val="left"/>
            </w:pPr>
            <w:r>
              <w:rPr>
                <w:rFonts w:ascii="Arial" w:cs="Arial" w:eastAsia="Arial" w:hAnsi="Arial"/>
                <w:b/>
                <w:bCs/>
                <w:color w:val="FFFFFF"/>
                <w:sz w:val="19"/>
                <w:szCs w:val="19"/>
              </w:rPr>
              <w:t xml:space="preserve">Resolution Strategy</w:t>
            </w:r>
          </w:p>
        </w:tc>
      </w:tr>
      <w:tr>
        <w:tc>
          <w:tcPr>
            <w:tcW w:type="dxa" w:w="2400"/>
            <w:tcBorders>
              <w:top w:val="single" w:color="D5D8DC" w:sz="1"/>
              <w:left w:val="single" w:color="D5D8DC" w:sz="1"/>
              <w:bottom w:val="single" w:color="D5D8DC" w:sz="1"/>
              <w:right w:val="single" w:color="D5D8DC" w:sz="1"/>
            </w:tcBorders>
            <w:shd w:fill="FFFFFF" w:val="clear"/>
            <w:tcMar>
              <w:top w:type="dxa" w:w="90"/>
              <w:left w:type="dxa" w:w="150"/>
              <w:bottom w:type="dxa" w:w="90"/>
              <w:right w:type="dxa" w:w="100"/>
            </w:tcMar>
            <w:vAlign w:val="top"/>
          </w:tcPr>
          <w:p>
            <w:pPr>
              <w:spacing w:before="0" w:after="0"/>
              <w:jc w:val="left"/>
            </w:pPr>
            <w:r>
              <w:rPr>
                <w:rFonts w:ascii="Arial" w:cs="Arial" w:eastAsia="Arial" w:hAnsi="Arial"/>
                <w:b w:val="false"/>
                <w:bCs w:val="false"/>
                <w:color w:val="1A1A1A"/>
                <w:sz w:val="20"/>
                <w:szCs w:val="20"/>
              </w:rPr>
              <w:t xml:space="preserve">BILL_AMT1–6</w:t>
            </w:r>
          </w:p>
        </w:tc>
        <w:tc>
          <w:tcPr>
            <w:tcW w:type="dxa" w:w="1800"/>
            <w:tcBorders>
              <w:top w:val="single" w:color="D5D8DC" w:sz="1"/>
              <w:left w:val="single" w:color="D5D8DC" w:sz="1"/>
              <w:bottom w:val="single" w:color="D5D8DC" w:sz="1"/>
              <w:right w:val="single" w:color="D5D8DC" w:sz="1"/>
            </w:tcBorders>
            <w:shd w:fill="F4F6F7" w:val="clear"/>
            <w:tcMar>
              <w:top w:type="dxa" w:w="90"/>
              <w:left w:type="dxa" w:w="150"/>
              <w:bottom w:type="dxa" w:w="90"/>
              <w:right w:type="dxa" w:w="100"/>
            </w:tcMar>
            <w:vAlign w:val="top"/>
          </w:tcPr>
          <w:p>
            <w:pPr>
              <w:spacing w:before="0" w:after="0"/>
              <w:jc w:val="left"/>
            </w:pPr>
            <w:r>
              <w:rPr>
                <w:rFonts w:ascii="Arial" w:cs="Arial" w:eastAsia="Arial" w:hAnsi="Arial"/>
                <w:b w:val="false"/>
                <w:bCs w:val="false"/>
                <w:color w:val="1A1A1A"/>
                <w:sz w:val="20"/>
                <w:szCs w:val="20"/>
              </w:rPr>
              <w:t xml:space="preserve">r = 0.90–0.95</w:t>
            </w:r>
          </w:p>
        </w:tc>
        <w:tc>
          <w:tcPr>
            <w:tcW w:type="dxa" w:w="1560"/>
            <w:tcBorders>
              <w:top w:val="single" w:color="D5D8DC" w:sz="1"/>
              <w:left w:val="single" w:color="D5D8DC" w:sz="1"/>
              <w:bottom w:val="single" w:color="D5D8DC" w:sz="1"/>
              <w:right w:val="single" w:color="D5D8DC" w:sz="1"/>
            </w:tcBorders>
            <w:shd w:fill="B03A2E" w:val="clear"/>
            <w:tcMar>
              <w:top w:type="dxa" w:w="90"/>
              <w:left w:type="dxa" w:w="150"/>
              <w:bottom w:type="dxa" w:w="90"/>
              <w:right w:type="dxa" w:w="100"/>
            </w:tcMar>
            <w:vAlign w:val="top"/>
          </w:tcPr>
          <w:p>
            <w:pPr>
              <w:spacing w:before="0" w:after="0"/>
              <w:jc w:val="left"/>
            </w:pPr>
            <w:r>
              <w:rPr>
                <w:rFonts w:ascii="Arial" w:cs="Arial" w:eastAsia="Arial" w:hAnsi="Arial"/>
                <w:b/>
                <w:bCs/>
                <w:color w:val="FFFFFF"/>
                <w:sz w:val="20"/>
                <w:szCs w:val="20"/>
              </w:rPr>
              <w:t xml:space="preserve">Severe</w:t>
            </w:r>
          </w:p>
        </w:tc>
        <w:tc>
          <w:tcPr>
            <w:tcW w:type="dxa" w:w="3600"/>
            <w:tcBorders>
              <w:top w:val="single" w:color="D5D8DC" w:sz="1"/>
              <w:left w:val="single" w:color="D5D8DC" w:sz="1"/>
              <w:bottom w:val="single" w:color="D5D8DC" w:sz="1"/>
              <w:right w:val="single" w:color="D5D8DC" w:sz="1"/>
            </w:tcBorders>
            <w:shd w:fill="FFFFFF" w:val="clear"/>
            <w:tcMar>
              <w:top w:type="dxa" w:w="90"/>
              <w:left w:type="dxa" w:w="150"/>
              <w:bottom w:type="dxa" w:w="90"/>
              <w:right w:type="dxa" w:w="100"/>
            </w:tcMar>
            <w:vAlign w:val="top"/>
          </w:tcPr>
          <w:p>
            <w:pPr>
              <w:spacing w:before="0" w:after="0"/>
              <w:jc w:val="left"/>
            </w:pPr>
            <w:r>
              <w:rPr>
                <w:rFonts w:ascii="Arial" w:cs="Arial" w:eastAsia="Arial" w:hAnsi="Arial"/>
                <w:b w:val="false"/>
                <w:bCs w:val="false"/>
                <w:color w:val="1A1A1A"/>
                <w:sz w:val="20"/>
                <w:szCs w:val="20"/>
              </w:rPr>
              <w:t xml:space="preserve">Replace with: AVG_BILL_AMT + BILL_AMT1 (most recent) + BILL_GROWTH (trend). Drop BILL_AMT2–5.</w:t>
            </w:r>
          </w:p>
        </w:tc>
      </w:tr>
      <w:tr>
        <w:tc>
          <w:tcPr>
            <w:tcW w:type="dxa" w:w="2400"/>
            <w:tcBorders>
              <w:top w:val="single" w:color="D5D8DC" w:sz="1"/>
              <w:left w:val="single" w:color="D5D8DC" w:sz="1"/>
              <w:bottom w:val="single" w:color="D5D8DC" w:sz="1"/>
              <w:right w:val="single" w:color="D5D8DC" w:sz="1"/>
            </w:tcBorders>
            <w:shd w:fill="FFFFFF" w:val="clear"/>
            <w:tcMar>
              <w:top w:type="dxa" w:w="90"/>
              <w:left w:type="dxa" w:w="150"/>
              <w:bottom w:type="dxa" w:w="90"/>
              <w:right w:type="dxa" w:w="100"/>
            </w:tcMar>
            <w:vAlign w:val="top"/>
          </w:tcPr>
          <w:p>
            <w:pPr>
              <w:spacing w:before="0" w:after="0"/>
              <w:jc w:val="left"/>
            </w:pPr>
            <w:r>
              <w:rPr>
                <w:rFonts w:ascii="Arial" w:cs="Arial" w:eastAsia="Arial" w:hAnsi="Arial"/>
                <w:b w:val="false"/>
                <w:bCs w:val="false"/>
                <w:color w:val="1A1A1A"/>
                <w:sz w:val="20"/>
                <w:szCs w:val="20"/>
              </w:rPr>
              <w:t xml:space="preserve">PAY_0 through PAY_6</w:t>
            </w:r>
          </w:p>
        </w:tc>
        <w:tc>
          <w:tcPr>
            <w:tcW w:type="dxa" w:w="1800"/>
            <w:tcBorders>
              <w:top w:val="single" w:color="D5D8DC" w:sz="1"/>
              <w:left w:val="single" w:color="D5D8DC" w:sz="1"/>
              <w:bottom w:val="single" w:color="D5D8DC" w:sz="1"/>
              <w:right w:val="single" w:color="D5D8DC" w:sz="1"/>
            </w:tcBorders>
            <w:shd w:fill="F4F6F7" w:val="clear"/>
            <w:tcMar>
              <w:top w:type="dxa" w:w="90"/>
              <w:left w:type="dxa" w:w="150"/>
              <w:bottom w:type="dxa" w:w="90"/>
              <w:right w:type="dxa" w:w="100"/>
            </w:tcMar>
            <w:vAlign w:val="top"/>
          </w:tcPr>
          <w:p>
            <w:pPr>
              <w:spacing w:before="0" w:after="0"/>
              <w:jc w:val="left"/>
            </w:pPr>
            <w:r>
              <w:rPr>
                <w:rFonts w:ascii="Arial" w:cs="Arial" w:eastAsia="Arial" w:hAnsi="Arial"/>
                <w:b w:val="false"/>
                <w:bCs w:val="false"/>
                <w:color w:val="1A1A1A"/>
                <w:sz w:val="20"/>
                <w:szCs w:val="20"/>
              </w:rPr>
              <w:t xml:space="preserve">r = 0.60–0.75</w:t>
            </w:r>
          </w:p>
        </w:tc>
        <w:tc>
          <w:tcPr>
            <w:tcW w:type="dxa" w:w="1560"/>
            <w:tcBorders>
              <w:top w:val="single" w:color="D5D8DC" w:sz="1"/>
              <w:left w:val="single" w:color="D5D8DC" w:sz="1"/>
              <w:bottom w:val="single" w:color="D5D8DC" w:sz="1"/>
              <w:right w:val="single" w:color="D5D8DC" w:sz="1"/>
            </w:tcBorders>
            <w:shd w:fill="C96A0A" w:val="clear"/>
            <w:tcMar>
              <w:top w:type="dxa" w:w="90"/>
              <w:left w:type="dxa" w:w="150"/>
              <w:bottom w:type="dxa" w:w="90"/>
              <w:right w:type="dxa" w:w="100"/>
            </w:tcMar>
            <w:vAlign w:val="top"/>
          </w:tcPr>
          <w:p>
            <w:pPr>
              <w:spacing w:before="0" w:after="0"/>
              <w:jc w:val="left"/>
            </w:pPr>
            <w:r>
              <w:rPr>
                <w:rFonts w:ascii="Arial" w:cs="Arial" w:eastAsia="Arial" w:hAnsi="Arial"/>
                <w:b/>
                <w:bCs/>
                <w:color w:val="FFFFFF"/>
                <w:sz w:val="20"/>
                <w:szCs w:val="20"/>
              </w:rPr>
              <w:t xml:space="preserve">Moderate</w:t>
            </w:r>
          </w:p>
        </w:tc>
        <w:tc>
          <w:tcPr>
            <w:tcW w:type="dxa" w:w="3600"/>
            <w:tcBorders>
              <w:top w:val="single" w:color="D5D8DC" w:sz="1"/>
              <w:left w:val="single" w:color="D5D8DC" w:sz="1"/>
              <w:bottom w:val="single" w:color="D5D8DC" w:sz="1"/>
              <w:right w:val="single" w:color="D5D8DC" w:sz="1"/>
            </w:tcBorders>
            <w:shd w:fill="FFFFFF" w:val="clear"/>
            <w:tcMar>
              <w:top w:type="dxa" w:w="90"/>
              <w:left w:type="dxa" w:w="150"/>
              <w:bottom w:type="dxa" w:w="90"/>
              <w:right w:type="dxa" w:w="100"/>
            </w:tcMar>
            <w:vAlign w:val="top"/>
          </w:tcPr>
          <w:p>
            <w:pPr>
              <w:spacing w:before="0" w:after="0"/>
              <w:jc w:val="left"/>
            </w:pPr>
            <w:r>
              <w:rPr>
                <w:rFonts w:ascii="Arial" w:cs="Arial" w:eastAsia="Arial" w:hAnsi="Arial"/>
                <w:b w:val="false"/>
                <w:bCs w:val="false"/>
                <w:color w:val="1A1A1A"/>
                <w:sz w:val="20"/>
                <w:szCs w:val="20"/>
              </w:rPr>
              <w:t xml:space="preserve">Retain PAY_0 (most recent) and PAY_2 individually. Engineer MAX_DELAY and NUM_DELAYS as aggregates. Monitor VIF.</w:t>
            </w:r>
          </w:p>
        </w:tc>
      </w:tr>
      <w:tr>
        <w:tc>
          <w:tcPr>
            <w:tcW w:type="dxa" w:w="2400"/>
            <w:tcBorders>
              <w:top w:val="single" w:color="D5D8DC" w:sz="1"/>
              <w:left w:val="single" w:color="D5D8DC" w:sz="1"/>
              <w:bottom w:val="single" w:color="D5D8DC" w:sz="1"/>
              <w:right w:val="single" w:color="D5D8DC" w:sz="1"/>
            </w:tcBorders>
            <w:shd w:fill="FFFFFF" w:val="clear"/>
            <w:tcMar>
              <w:top w:type="dxa" w:w="90"/>
              <w:left w:type="dxa" w:w="150"/>
              <w:bottom w:type="dxa" w:w="90"/>
              <w:right w:type="dxa" w:w="100"/>
            </w:tcMar>
            <w:vAlign w:val="top"/>
          </w:tcPr>
          <w:p>
            <w:pPr>
              <w:spacing w:before="0" w:after="0"/>
              <w:jc w:val="left"/>
            </w:pPr>
            <w:r>
              <w:rPr>
                <w:rFonts w:ascii="Arial" w:cs="Arial" w:eastAsia="Arial" w:hAnsi="Arial"/>
                <w:b w:val="false"/>
                <w:bCs w:val="false"/>
                <w:color w:val="1A1A1A"/>
                <w:sz w:val="20"/>
                <w:szCs w:val="20"/>
              </w:rPr>
              <w:t xml:space="preserve">PAY_AMT1–6</w:t>
            </w:r>
          </w:p>
        </w:tc>
        <w:tc>
          <w:tcPr>
            <w:tcW w:type="dxa" w:w="1800"/>
            <w:tcBorders>
              <w:top w:val="single" w:color="D5D8DC" w:sz="1"/>
              <w:left w:val="single" w:color="D5D8DC" w:sz="1"/>
              <w:bottom w:val="single" w:color="D5D8DC" w:sz="1"/>
              <w:right w:val="single" w:color="D5D8DC" w:sz="1"/>
            </w:tcBorders>
            <w:shd w:fill="F4F6F7" w:val="clear"/>
            <w:tcMar>
              <w:top w:type="dxa" w:w="90"/>
              <w:left w:type="dxa" w:w="150"/>
              <w:bottom w:type="dxa" w:w="90"/>
              <w:right w:type="dxa" w:w="100"/>
            </w:tcMar>
            <w:vAlign w:val="top"/>
          </w:tcPr>
          <w:p>
            <w:pPr>
              <w:spacing w:before="0" w:after="0"/>
              <w:jc w:val="left"/>
            </w:pPr>
            <w:r>
              <w:rPr>
                <w:rFonts w:ascii="Arial" w:cs="Arial" w:eastAsia="Arial" w:hAnsi="Arial"/>
                <w:b w:val="false"/>
                <w:bCs w:val="false"/>
                <w:color w:val="1A1A1A"/>
                <w:sz w:val="20"/>
                <w:szCs w:val="20"/>
              </w:rPr>
              <w:t xml:space="preserve">r = 0.40–0.65</w:t>
            </w:r>
          </w:p>
        </w:tc>
        <w:tc>
          <w:tcPr>
            <w:tcW w:type="dxa" w:w="1560"/>
            <w:tcBorders>
              <w:top w:val="single" w:color="D5D8DC" w:sz="1"/>
              <w:left w:val="single" w:color="D5D8DC" w:sz="1"/>
              <w:bottom w:val="single" w:color="D5D8DC" w:sz="1"/>
              <w:right w:val="single" w:color="D5D8DC" w:sz="1"/>
            </w:tcBorders>
            <w:shd w:fill="1A7A4A" w:val="clear"/>
            <w:tcMar>
              <w:top w:type="dxa" w:w="90"/>
              <w:left w:type="dxa" w:w="150"/>
              <w:bottom w:type="dxa" w:w="90"/>
              <w:right w:type="dxa" w:w="100"/>
            </w:tcMar>
            <w:vAlign w:val="top"/>
          </w:tcPr>
          <w:p>
            <w:pPr>
              <w:spacing w:before="0" w:after="0"/>
              <w:jc w:val="left"/>
            </w:pPr>
            <w:r>
              <w:rPr>
                <w:rFonts w:ascii="Arial" w:cs="Arial" w:eastAsia="Arial" w:hAnsi="Arial"/>
                <w:b/>
                <w:bCs/>
                <w:color w:val="FFFFFF"/>
                <w:sz w:val="20"/>
                <w:szCs w:val="20"/>
              </w:rPr>
              <w:t xml:space="preserve">Acceptable</w:t>
            </w:r>
          </w:p>
        </w:tc>
        <w:tc>
          <w:tcPr>
            <w:tcW w:type="dxa" w:w="3600"/>
            <w:tcBorders>
              <w:top w:val="single" w:color="D5D8DC" w:sz="1"/>
              <w:left w:val="single" w:color="D5D8DC" w:sz="1"/>
              <w:bottom w:val="single" w:color="D5D8DC" w:sz="1"/>
              <w:right w:val="single" w:color="D5D8DC" w:sz="1"/>
            </w:tcBorders>
            <w:shd w:fill="FFFFFF" w:val="clear"/>
            <w:tcMar>
              <w:top w:type="dxa" w:w="90"/>
              <w:left w:type="dxa" w:w="150"/>
              <w:bottom w:type="dxa" w:w="90"/>
              <w:right w:type="dxa" w:w="100"/>
            </w:tcMar>
            <w:vAlign w:val="top"/>
          </w:tcPr>
          <w:p>
            <w:pPr>
              <w:spacing w:before="0" w:after="0"/>
              <w:jc w:val="left"/>
            </w:pPr>
            <w:r>
              <w:rPr>
                <w:rFonts w:ascii="Arial" w:cs="Arial" w:eastAsia="Arial" w:hAnsi="Arial"/>
                <w:b w:val="false"/>
                <w:bCs w:val="false"/>
                <w:color w:val="1A1A1A"/>
                <w:sz w:val="20"/>
                <w:szCs w:val="20"/>
              </w:rPr>
              <w:t xml:space="preserve">Acceptable for tree models. For LR: retain PAY_AMT1, AVG_PAY_AMT, NUM_ZERO_PAYMENTS. Monitor VIF.</w:t>
            </w:r>
          </w:p>
        </w:tc>
      </w:tr>
    </w:tbl>
    <w:p>
      <w:pPr>
        <w:spacing w:before="0" w:after="140"/>
      </w:pPr>
    </w:p>
    <w:p>
      <w:pPr>
        <w:pStyle w:val="Heading2"/>
        <w:spacing w:before="280" w:after="120"/>
      </w:pPr>
      <w:r>
        <w:rPr>
          <w:rFonts w:ascii="Arial" w:cs="Arial" w:eastAsia="Arial" w:hAnsi="Arial"/>
          <w:b/>
          <w:bCs/>
          <w:color w:val="1B6CA8"/>
          <w:sz w:val="28"/>
          <w:szCs w:val="28"/>
        </w:rPr>
        <w:t xml:space="preserve">3.2 Feature Grouping Strategy</w:t>
      </w:r>
    </w:p>
    <w:p>
      <w:pPr>
        <w:spacing w:before="80" w:after="80"/>
      </w:pPr>
      <w:r>
        <w:rPr>
          <w:rFonts w:ascii="Arial" w:cs="Arial" w:eastAsia="Arial" w:hAnsi="Arial"/>
          <w:b w:val="false"/>
          <w:bCs w:val="false"/>
          <w:color w:val="1A1A1A"/>
          <w:sz w:val="22"/>
          <w:szCs w:val="22"/>
        </w:rPr>
        <w:t xml:space="preserve">Rather than blindly removing correlated features, domain-informed grouping replaces a cluster of correlated variables with a compact set of representatives that preserve the cluster's informational content:</w:t>
      </w:r>
    </w:p>
    <w:p>
      <w:pPr>
        <w:spacing w:before="0" w:after="80"/>
      </w:pPr>
    </w:p>
    <w:p>
      <w:pPr>
        <w:spacing w:before="80" w:after="80"/>
      </w:pPr>
      <w:r>
        <w:rPr>
          <w:rFonts w:ascii="Arial" w:cs="Arial" w:eastAsia="Arial" w:hAnsi="Arial"/>
          <w:b w:val="false"/>
          <w:bCs w:val="false"/>
          <w:color w:val="1A1A1A"/>
          <w:sz w:val="22"/>
          <w:szCs w:val="22"/>
        </w:rPr>
        <w:t xml:space="preserve">For the BILL_AMT cluster, the recommended three-feature replacement is:</w:t>
      </w:r>
    </w:p>
    <w:p>
      <w:pPr>
        <w:pStyle w:val="ListParagraph"/>
        <w:numPr>
          <w:ilvl w:val="0"/>
          <w:numId w:val="2"/>
        </w:numPr>
        <w:spacing w:before="50" w:after="50"/>
      </w:pPr>
      <w:r>
        <w:rPr>
          <w:rFonts w:ascii="Arial" w:cs="Arial" w:eastAsia="Arial" w:hAnsi="Arial"/>
          <w:b w:val="false"/>
          <w:bCs w:val="false"/>
          <w:color w:val="1A1A1A"/>
          <w:sz w:val="22"/>
          <w:szCs w:val="22"/>
        </w:rPr>
        <w:t xml:space="preserve">BILL_AMT1: The most recent billing amount — carries the most current exposure signal</w:t>
      </w:r>
    </w:p>
    <w:p>
      <w:pPr>
        <w:pStyle w:val="ListParagraph"/>
        <w:numPr>
          <w:ilvl w:val="0"/>
          <w:numId w:val="2"/>
        </w:numPr>
        <w:spacing w:before="50" w:after="50"/>
      </w:pPr>
      <w:r>
        <w:rPr>
          <w:rFonts w:ascii="Arial" w:cs="Arial" w:eastAsia="Arial" w:hAnsi="Arial"/>
          <w:b w:val="false"/>
          <w:bCs w:val="false"/>
          <w:color w:val="1A1A1A"/>
          <w:sz w:val="22"/>
          <w:szCs w:val="22"/>
        </w:rPr>
        <w:t xml:space="preserve">AVG_BILL_AMT: The cross-month average — captures the persistent exposure level</w:t>
      </w:r>
    </w:p>
    <w:p>
      <w:pPr>
        <w:pStyle w:val="ListParagraph"/>
        <w:numPr>
          <w:ilvl w:val="0"/>
          <w:numId w:val="2"/>
        </w:numPr>
        <w:spacing w:before="50" w:after="50"/>
      </w:pPr>
      <w:r>
        <w:rPr>
          <w:rFonts w:ascii="Arial" w:cs="Arial" w:eastAsia="Arial" w:hAnsi="Arial"/>
          <w:b w:val="false"/>
          <w:bCs w:val="false"/>
          <w:color w:val="1A1A1A"/>
          <w:sz w:val="22"/>
          <w:szCs w:val="22"/>
        </w:rPr>
        <w:t xml:space="preserve">BILL_GROWTH: BILL_AMT1 − BILL_AMT6 — captures the direction of change</w:t>
      </w:r>
    </w:p>
    <w:p>
      <w:pPr>
        <w:spacing w:before="0" w:after="80"/>
      </w:pPr>
    </w:p>
    <w:p>
      <w:pPr>
        <w:spacing w:before="80" w:after="80"/>
      </w:pPr>
      <w:r>
        <w:rPr>
          <w:rFonts w:ascii="Arial" w:cs="Arial" w:eastAsia="Arial" w:hAnsi="Arial"/>
          <w:b w:val="false"/>
          <w:bCs w:val="false"/>
          <w:color w:val="1A1A1A"/>
          <w:sz w:val="22"/>
          <w:szCs w:val="22"/>
        </w:rPr>
        <w:t xml:space="preserve">This three-variable set captures: (1) current exposure level, (2) baseline exposure level, and (3) direction of change — three genuinely independent informational dimensions from the original six-variable cluster.</w:t>
      </w:r>
    </w:p>
    <w:p>
      <w:pPr>
        <w:spacing w:before="0" w:after="80"/>
      </w:pPr>
    </w:p>
    <w:p>
      <w:pPr>
        <w:pStyle w:val="Heading2"/>
        <w:spacing w:before="280" w:after="120"/>
      </w:pPr>
      <w:r>
        <w:rPr>
          <w:rFonts w:ascii="Arial" w:cs="Arial" w:eastAsia="Arial" w:hAnsi="Arial"/>
          <w:b/>
          <w:bCs/>
          <w:color w:val="1B6CA8"/>
          <w:sz w:val="28"/>
          <w:szCs w:val="28"/>
        </w:rPr>
        <w:t xml:space="preserve">3.3 Dimensionality Reduction: When to Use It</w:t>
      </w:r>
    </w:p>
    <w:p>
      <w:pPr>
        <w:spacing w:before="80" w:after="80"/>
      </w:pPr>
      <w:r>
        <w:rPr>
          <w:rFonts w:ascii="Arial" w:cs="Arial" w:eastAsia="Arial" w:hAnsi="Arial"/>
          <w:b w:val="false"/>
          <w:bCs w:val="false"/>
          <w:color w:val="1A1A1A"/>
          <w:sz w:val="22"/>
          <w:szCs w:val="22"/>
        </w:rPr>
        <w:t xml:space="preserve">Principal Component Analysis (PCA) is sometimes proposed for handling correlated billing amounts. However, in credit risk modeling for regulated environments, PCA is generally inappropriate for the following reasons:</w:t>
      </w:r>
    </w:p>
    <w:p>
      <w:pPr>
        <w:spacing w:before="0" w:after="80"/>
      </w:pPr>
    </w:p>
    <w:p>
      <w:pPr>
        <w:pStyle w:val="ListParagraph"/>
        <w:numPr>
          <w:ilvl w:val="0"/>
          <w:numId w:val="2"/>
        </w:numPr>
        <w:spacing w:before="50" w:after="50"/>
      </w:pPr>
      <w:r>
        <w:rPr>
          <w:rFonts w:ascii="Arial" w:cs="Arial" w:eastAsia="Arial" w:hAnsi="Arial"/>
          <w:b w:val="false"/>
          <w:bCs w:val="false"/>
          <w:color w:val="1A1A1A"/>
          <w:sz w:val="22"/>
          <w:szCs w:val="22"/>
        </w:rPr>
        <w:t xml:space="preserve">Interpretability: Regulators require model explanation at the feature level. A PCA component has no intuitive meaning to a credit officer or examiner.</w:t>
      </w:r>
    </w:p>
    <w:p>
      <w:pPr>
        <w:pStyle w:val="ListParagraph"/>
        <w:numPr>
          <w:ilvl w:val="0"/>
          <w:numId w:val="2"/>
        </w:numPr>
        <w:spacing w:before="50" w:after="50"/>
      </w:pPr>
      <w:r>
        <w:rPr>
          <w:rFonts w:ascii="Arial" w:cs="Arial" w:eastAsia="Arial" w:hAnsi="Arial"/>
          <w:b w:val="false"/>
          <w:bCs w:val="false"/>
          <w:color w:val="1A1A1A"/>
          <w:sz w:val="22"/>
          <w:szCs w:val="22"/>
        </w:rPr>
        <w:t xml:space="preserve">Adverse action codes: Under ECOA/FCRA, credit denials must be explained using specific reasons. PCA components cannot generate meaningful reasons.</w:t>
      </w:r>
    </w:p>
    <w:p>
      <w:pPr>
        <w:pStyle w:val="ListParagraph"/>
        <w:numPr>
          <w:ilvl w:val="0"/>
          <w:numId w:val="2"/>
        </w:numPr>
        <w:spacing w:before="50" w:after="50"/>
      </w:pPr>
      <w:r>
        <w:rPr>
          <w:rFonts w:ascii="Arial" w:cs="Arial" w:eastAsia="Arial" w:hAnsi="Arial"/>
          <w:b w:val="false"/>
          <w:bCs w:val="false"/>
          <w:color w:val="1A1A1A"/>
          <w:sz w:val="22"/>
          <w:szCs w:val="22"/>
        </w:rPr>
        <w:t xml:space="preserve">Model documentation: Internal model risk management (MRM) functions require features to be documentable and testable.</w:t>
      </w:r>
    </w:p>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80"/>
        <w:gridCol w:w="8080"/>
      </w:tblGrid>
      <w:tr>
        <w:tc>
          <w:tcPr>
            <w:tcW w:type="dxa" w:w="1280"/>
            <w:tcBorders>
              <w:top w:val="single" w:color="D5D8DC" w:sz="1"/>
              <w:left w:val="single" w:color="D5D8DC" w:sz="1"/>
              <w:bottom w:val="single" w:color="D5D8DC" w:sz="1"/>
              <w:right w:val="single" w:color="D5D8DC" w:sz="1"/>
            </w:tcBorders>
            <w:shd w:fill="6C3483" w:val="clear"/>
            <w:tcMar>
              <w:top w:type="dxa" w:w="100"/>
              <w:left w:type="dxa" w:w="120"/>
              <w:bottom w:type="dxa" w:w="100"/>
              <w:right w:type="dxa" w:w="80"/>
            </w:tcMar>
            <w:vAlign w:val="center"/>
          </w:tcPr>
          <w:p>
            <w:pPr>
              <w:jc w:val="center"/>
            </w:pPr>
            <w:r>
              <w:rPr>
                <w:rFonts w:ascii="Arial" w:cs="Arial" w:eastAsia="Arial" w:hAnsi="Arial"/>
                <w:b/>
                <w:bCs/>
                <w:color w:val="FFFFFF"/>
                <w:sz w:val="17"/>
                <w:szCs w:val="17"/>
              </w:rPr>
              <w:t xml:space="preserve">EXPERT NOTE</w:t>
            </w:r>
          </w:p>
        </w:tc>
        <w:tc>
          <w:tcPr>
            <w:tcW w:type="dxa" w:w="8080"/>
            <w:tcBorders>
              <w:top w:val="single" w:color="D5D8DC" w:sz="1"/>
              <w:left w:val="single" w:color="D5D8DC" w:sz="1"/>
              <w:bottom w:val="single" w:color="D5D8DC" w:sz="1"/>
              <w:right w:val="single" w:color="D5D8DC" w:sz="1"/>
            </w:tcBorders>
            <w:shd w:fill="F5EEF8" w:val="clear"/>
            <w:tcMar>
              <w:top w:type="dxa" w:w="100"/>
              <w:left w:type="dxa" w:w="160"/>
              <w:bottom w:type="dxa" w:w="100"/>
              <w:right w:type="dxa" w:w="120"/>
            </w:tcMar>
          </w:tcPr>
          <w:p>
            <w:r>
              <w:rPr>
                <w:rFonts w:ascii="Arial" w:cs="Arial" w:eastAsia="Arial" w:hAnsi="Arial"/>
                <w:color w:val="2C3E50"/>
                <w:sz w:val="20"/>
                <w:szCs w:val="20"/>
              </w:rPr>
              <w:t xml:space="preserve">In 15 years of banking model development, I have never successfully deployed a PCA-based feature in a consumer credit scorecard that passed MRM review. The interpretability and regulatory constraint is real. Domain-informed aggregation (AVG_BILL_AMT, BILL_GROWTH) is always preferable to PCA in this context.</w:t>
            </w:r>
          </w:p>
        </w:tc>
      </w:tr>
    </w:tbl>
    <w:p>
      <w:pPr>
        <w:spacing w:before="0" w:after="80"/>
      </w:pPr>
    </w:p>
    <w:p>
      <w:pPr>
        <w:spacing w:before="80" w:after="80"/>
      </w:pPr>
      <w:r>
        <w:rPr>
          <w:rFonts w:ascii="Arial" w:cs="Arial" w:eastAsia="Arial" w:hAnsi="Arial"/>
          <w:b w:val="false"/>
          <w:bCs w:val="false"/>
          <w:color w:val="1A1A1A"/>
          <w:sz w:val="22"/>
          <w:szCs w:val="22"/>
        </w:rPr>
        <w:t xml:space="preserve">Exception: PCA is acceptable as an exploratory analysis tool or for challenger model benchmarking. It should not be used in the production scorecard. For gradient boosting models, where interpretability is handled post-hoc via SHAP, PCA becomes more defensible.</w:t>
      </w:r>
    </w:p>
    <w:p>
      <w:pPr>
        <w:spacing w:before="0" w:after="140"/>
      </w:pPr>
    </w:p>
    <w:p>
      <w:pPr>
        <w:pStyle w:val="Heading2"/>
        <w:spacing w:before="280" w:after="120"/>
      </w:pPr>
      <w:r>
        <w:rPr>
          <w:rFonts w:ascii="Arial" w:cs="Arial" w:eastAsia="Arial" w:hAnsi="Arial"/>
          <w:b/>
          <w:bCs/>
          <w:color w:val="1B6CA8"/>
          <w:sz w:val="28"/>
          <w:szCs w:val="28"/>
        </w:rPr>
        <w:t xml:space="preserve">3.4 Feature Elimination Decision Framework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880"/>
        <w:gridCol w:w="4080"/>
      </w:tblGrid>
      <w:tr>
        <w:tc>
          <w:tcPr>
            <w:tcW w:type="dxa" w:w="2400"/>
            <w:tcBorders>
              <w:top w:val="single" w:color="D5D8DC" w:sz="1"/>
              <w:left w:val="single" w:color="D5D8DC" w:sz="1"/>
              <w:bottom w:val="single" w:color="D5D8DC" w:sz="1"/>
              <w:right w:val="single" w:color="D5D8DC" w:sz="1"/>
            </w:tcBorders>
            <w:shd w:fill="1F3864" w:val="clear"/>
            <w:tcMar>
              <w:top w:type="dxa" w:w="90"/>
              <w:left w:type="dxa" w:w="150"/>
              <w:bottom w:type="dxa" w:w="90"/>
              <w:right w:type="dxa" w:w="100"/>
            </w:tcMar>
            <w:vAlign w:val="top"/>
          </w:tcPr>
          <w:p>
            <w:pPr>
              <w:spacing w:before="0" w:after="0"/>
              <w:jc w:val="left"/>
            </w:pPr>
            <w:r>
              <w:rPr>
                <w:rFonts w:ascii="Arial" w:cs="Arial" w:eastAsia="Arial" w:hAnsi="Arial"/>
                <w:b/>
                <w:bCs/>
                <w:color w:val="FFFFFF"/>
                <w:sz w:val="19"/>
                <w:szCs w:val="19"/>
              </w:rPr>
              <w:t xml:space="preserve">Condition</w:t>
            </w:r>
          </w:p>
        </w:tc>
        <w:tc>
          <w:tcPr>
            <w:tcW w:type="dxa" w:w="2880"/>
            <w:tcBorders>
              <w:top w:val="single" w:color="D5D8DC" w:sz="1"/>
              <w:left w:val="single" w:color="D5D8DC" w:sz="1"/>
              <w:bottom w:val="single" w:color="D5D8DC" w:sz="1"/>
              <w:right w:val="single" w:color="D5D8DC" w:sz="1"/>
            </w:tcBorders>
            <w:shd w:fill="1F3864" w:val="clear"/>
            <w:tcMar>
              <w:top w:type="dxa" w:w="90"/>
              <w:left w:type="dxa" w:w="150"/>
              <w:bottom w:type="dxa" w:w="90"/>
              <w:right w:type="dxa" w:w="100"/>
            </w:tcMar>
            <w:vAlign w:val="top"/>
          </w:tcPr>
          <w:p>
            <w:pPr>
              <w:spacing w:before="0" w:after="0"/>
              <w:jc w:val="left"/>
            </w:pPr>
            <w:r>
              <w:rPr>
                <w:rFonts w:ascii="Arial" w:cs="Arial" w:eastAsia="Arial" w:hAnsi="Arial"/>
                <w:b/>
                <w:bCs/>
                <w:color w:val="FFFFFF"/>
                <w:sz w:val="19"/>
                <w:szCs w:val="19"/>
              </w:rPr>
              <w:t xml:space="preserve">Action</w:t>
            </w:r>
          </w:p>
        </w:tc>
        <w:tc>
          <w:tcPr>
            <w:tcW w:type="dxa" w:w="4080"/>
            <w:tcBorders>
              <w:top w:val="single" w:color="D5D8DC" w:sz="1"/>
              <w:left w:val="single" w:color="D5D8DC" w:sz="1"/>
              <w:bottom w:val="single" w:color="D5D8DC" w:sz="1"/>
              <w:right w:val="single" w:color="D5D8DC" w:sz="1"/>
            </w:tcBorders>
            <w:shd w:fill="1F3864" w:val="clear"/>
            <w:tcMar>
              <w:top w:type="dxa" w:w="90"/>
              <w:left w:type="dxa" w:w="150"/>
              <w:bottom w:type="dxa" w:w="90"/>
              <w:right w:type="dxa" w:w="100"/>
            </w:tcMar>
            <w:vAlign w:val="top"/>
          </w:tcPr>
          <w:p>
            <w:pPr>
              <w:spacing w:before="0" w:after="0"/>
              <w:jc w:val="left"/>
            </w:pPr>
            <w:r>
              <w:rPr>
                <w:rFonts w:ascii="Arial" w:cs="Arial" w:eastAsia="Arial" w:hAnsi="Arial"/>
                <w:b/>
                <w:bCs/>
                <w:color w:val="FFFFFF"/>
                <w:sz w:val="19"/>
                <w:szCs w:val="19"/>
              </w:rPr>
              <w:t xml:space="preserve">Rationale</w:t>
            </w:r>
          </w:p>
        </w:tc>
      </w:tr>
      <w:tr>
        <w:tc>
          <w:tcPr>
            <w:tcW w:type="dxa" w:w="2400"/>
            <w:tcBorders>
              <w:top w:val="single" w:color="D5D8DC" w:sz="1"/>
              <w:left w:val="single" w:color="D5D8DC" w:sz="1"/>
              <w:bottom w:val="single" w:color="D5D8DC" w:sz="1"/>
              <w:right w:val="single" w:color="D5D8DC" w:sz="1"/>
            </w:tcBorders>
            <w:shd w:fill="FFFFFF" w:val="clear"/>
            <w:tcMar>
              <w:top w:type="dxa" w:w="90"/>
              <w:left w:type="dxa" w:w="150"/>
              <w:bottom w:type="dxa" w:w="90"/>
              <w:right w:type="dxa" w:w="100"/>
            </w:tcMar>
            <w:vAlign w:val="top"/>
          </w:tcPr>
          <w:p>
            <w:pPr>
              <w:spacing w:before="0" w:after="0"/>
              <w:jc w:val="left"/>
            </w:pPr>
            <w:r>
              <w:rPr>
                <w:rFonts w:ascii="Arial" w:cs="Arial" w:eastAsia="Arial" w:hAnsi="Arial"/>
                <w:b w:val="false"/>
                <w:bCs w:val="false"/>
                <w:color w:val="1A1A1A"/>
                <w:sz w:val="20"/>
                <w:szCs w:val="20"/>
              </w:rPr>
              <w:t xml:space="preserve">IV &lt; 0.02</w:t>
            </w:r>
          </w:p>
        </w:tc>
        <w:tc>
          <w:tcPr>
            <w:tcW w:type="dxa" w:w="2880"/>
            <w:tcBorders>
              <w:top w:val="single" w:color="D5D8DC" w:sz="1"/>
              <w:left w:val="single" w:color="D5D8DC" w:sz="1"/>
              <w:bottom w:val="single" w:color="D5D8DC" w:sz="1"/>
              <w:right w:val="single" w:color="D5D8DC" w:sz="1"/>
            </w:tcBorders>
            <w:shd w:fill="B03A2E" w:val="clear"/>
            <w:tcMar>
              <w:top w:type="dxa" w:w="90"/>
              <w:left w:type="dxa" w:w="150"/>
              <w:bottom w:type="dxa" w:w="90"/>
              <w:right w:type="dxa" w:w="100"/>
            </w:tcMar>
            <w:vAlign w:val="top"/>
          </w:tcPr>
          <w:p>
            <w:pPr>
              <w:spacing w:before="0" w:after="0"/>
              <w:jc w:val="left"/>
            </w:pPr>
            <w:r>
              <w:rPr>
                <w:rFonts w:ascii="Arial" w:cs="Arial" w:eastAsia="Arial" w:hAnsi="Arial"/>
                <w:b/>
                <w:bCs/>
                <w:color w:val="FFFFFF"/>
                <w:sz w:val="20"/>
                <w:szCs w:val="20"/>
              </w:rPr>
              <w:t xml:space="preserve">Remove</w:t>
            </w:r>
          </w:p>
        </w:tc>
        <w:tc>
          <w:tcPr>
            <w:tcW w:type="dxa" w:w="4080"/>
            <w:tcBorders>
              <w:top w:val="single" w:color="D5D8DC" w:sz="1"/>
              <w:left w:val="single" w:color="D5D8DC" w:sz="1"/>
              <w:bottom w:val="single" w:color="D5D8DC" w:sz="1"/>
              <w:right w:val="single" w:color="D5D8DC" w:sz="1"/>
            </w:tcBorders>
            <w:shd w:fill="F4F6F7" w:val="clear"/>
            <w:tcMar>
              <w:top w:type="dxa" w:w="90"/>
              <w:left w:type="dxa" w:w="150"/>
              <w:bottom w:type="dxa" w:w="90"/>
              <w:right w:type="dxa" w:w="100"/>
            </w:tcMar>
            <w:vAlign w:val="top"/>
          </w:tcPr>
          <w:p>
            <w:pPr>
              <w:spacing w:before="0" w:after="0"/>
              <w:jc w:val="left"/>
            </w:pPr>
            <w:r>
              <w:rPr>
                <w:rFonts w:ascii="Arial" w:cs="Arial" w:eastAsia="Arial" w:hAnsi="Arial"/>
                <w:b w:val="false"/>
                <w:bCs w:val="false"/>
                <w:color w:val="1A1A1A"/>
                <w:sz w:val="20"/>
                <w:szCs w:val="20"/>
              </w:rPr>
              <w:t xml:space="preserve">Feature provides no meaningful discrimination. Including it adds noise without signal.</w:t>
            </w:r>
          </w:p>
        </w:tc>
      </w:tr>
      <w:tr>
        <w:tc>
          <w:tcPr>
            <w:tcW w:type="dxa" w:w="2400"/>
            <w:tcBorders>
              <w:top w:val="single" w:color="D5D8DC" w:sz="1"/>
              <w:left w:val="single" w:color="D5D8DC" w:sz="1"/>
              <w:bottom w:val="single" w:color="D5D8DC" w:sz="1"/>
              <w:right w:val="single" w:color="D5D8DC" w:sz="1"/>
            </w:tcBorders>
            <w:shd w:fill="FFFFFF" w:val="clear"/>
            <w:tcMar>
              <w:top w:type="dxa" w:w="90"/>
              <w:left w:type="dxa" w:w="150"/>
              <w:bottom w:type="dxa" w:w="90"/>
              <w:right w:type="dxa" w:w="100"/>
            </w:tcMar>
            <w:vAlign w:val="top"/>
          </w:tcPr>
          <w:p>
            <w:pPr>
              <w:spacing w:before="0" w:after="0"/>
              <w:jc w:val="left"/>
            </w:pPr>
            <w:r>
              <w:rPr>
                <w:rFonts w:ascii="Arial" w:cs="Arial" w:eastAsia="Arial" w:hAnsi="Arial"/>
                <w:b w:val="false"/>
                <w:bCs w:val="false"/>
                <w:color w:val="1A1A1A"/>
                <w:sz w:val="20"/>
                <w:szCs w:val="20"/>
              </w:rPr>
              <w:t xml:space="preserve">VIF &gt; 10 (for LR) AND correlated feature has higher IV</w:t>
            </w:r>
          </w:p>
        </w:tc>
        <w:tc>
          <w:tcPr>
            <w:tcW w:type="dxa" w:w="2880"/>
            <w:tcBorders>
              <w:top w:val="single" w:color="D5D8DC" w:sz="1"/>
              <w:left w:val="single" w:color="D5D8DC" w:sz="1"/>
              <w:bottom w:val="single" w:color="D5D8DC" w:sz="1"/>
              <w:right w:val="single" w:color="D5D8DC" w:sz="1"/>
            </w:tcBorders>
            <w:shd w:fill="C96A0A" w:val="clear"/>
            <w:tcMar>
              <w:top w:type="dxa" w:w="90"/>
              <w:left w:type="dxa" w:w="150"/>
              <w:bottom w:type="dxa" w:w="90"/>
              <w:right w:type="dxa" w:w="100"/>
            </w:tcMar>
            <w:vAlign w:val="top"/>
          </w:tcPr>
          <w:p>
            <w:pPr>
              <w:spacing w:before="0" w:after="0"/>
              <w:jc w:val="left"/>
            </w:pPr>
            <w:r>
              <w:rPr>
                <w:rFonts w:ascii="Arial" w:cs="Arial" w:eastAsia="Arial" w:hAnsi="Arial"/>
                <w:b/>
                <w:bCs/>
                <w:color w:val="FFFFFF"/>
                <w:sz w:val="20"/>
                <w:szCs w:val="20"/>
              </w:rPr>
              <w:t xml:space="preserve">Remove lower-IV variable</w:t>
            </w:r>
          </w:p>
        </w:tc>
        <w:tc>
          <w:tcPr>
            <w:tcW w:type="dxa" w:w="4080"/>
            <w:tcBorders>
              <w:top w:val="single" w:color="D5D8DC" w:sz="1"/>
              <w:left w:val="single" w:color="D5D8DC" w:sz="1"/>
              <w:bottom w:val="single" w:color="D5D8DC" w:sz="1"/>
              <w:right w:val="single" w:color="D5D8DC" w:sz="1"/>
            </w:tcBorders>
            <w:shd w:fill="F4F6F7" w:val="clear"/>
            <w:tcMar>
              <w:top w:type="dxa" w:w="90"/>
              <w:left w:type="dxa" w:w="150"/>
              <w:bottom w:type="dxa" w:w="90"/>
              <w:right w:type="dxa" w:w="100"/>
            </w:tcMar>
            <w:vAlign w:val="top"/>
          </w:tcPr>
          <w:p>
            <w:pPr>
              <w:spacing w:before="0" w:after="0"/>
              <w:jc w:val="left"/>
            </w:pPr>
            <w:r>
              <w:rPr>
                <w:rFonts w:ascii="Arial" w:cs="Arial" w:eastAsia="Arial" w:hAnsi="Arial"/>
                <w:b w:val="false"/>
                <w:bCs w:val="false"/>
                <w:color w:val="1A1A1A"/>
                <w:sz w:val="20"/>
                <w:szCs w:val="20"/>
              </w:rPr>
              <w:t xml:space="preserve">Retain the version with more predictive content. Do not remove both — the information is needed.</w:t>
            </w:r>
          </w:p>
        </w:tc>
      </w:tr>
      <w:tr>
        <w:tc>
          <w:tcPr>
            <w:tcW w:type="dxa" w:w="2400"/>
            <w:tcBorders>
              <w:top w:val="single" w:color="D5D8DC" w:sz="1"/>
              <w:left w:val="single" w:color="D5D8DC" w:sz="1"/>
              <w:bottom w:val="single" w:color="D5D8DC" w:sz="1"/>
              <w:right w:val="single" w:color="D5D8DC" w:sz="1"/>
            </w:tcBorders>
            <w:shd w:fill="FFFFFF" w:val="clear"/>
            <w:tcMar>
              <w:top w:type="dxa" w:w="90"/>
              <w:left w:type="dxa" w:w="150"/>
              <w:bottom w:type="dxa" w:w="90"/>
              <w:right w:type="dxa" w:w="100"/>
            </w:tcMar>
            <w:vAlign w:val="top"/>
          </w:tcPr>
          <w:p>
            <w:pPr>
              <w:spacing w:before="0" w:after="0"/>
              <w:jc w:val="left"/>
            </w:pPr>
            <w:r>
              <w:rPr>
                <w:rFonts w:ascii="Arial" w:cs="Arial" w:eastAsia="Arial" w:hAnsi="Arial"/>
                <w:b w:val="false"/>
                <w:bCs w:val="false"/>
                <w:color w:val="1A1A1A"/>
                <w:sz w:val="20"/>
                <w:szCs w:val="20"/>
              </w:rPr>
              <w:t xml:space="preserve">Feature fails PSI check (PSI &gt; 0.25)</w:t>
            </w:r>
          </w:p>
        </w:tc>
        <w:tc>
          <w:tcPr>
            <w:tcW w:type="dxa" w:w="2880"/>
            <w:tcBorders>
              <w:top w:val="single" w:color="D5D8DC" w:sz="1"/>
              <w:left w:val="single" w:color="D5D8DC" w:sz="1"/>
              <w:bottom w:val="single" w:color="D5D8DC" w:sz="1"/>
              <w:right w:val="single" w:color="D5D8DC" w:sz="1"/>
            </w:tcBorders>
            <w:shd w:fill="C96A0A" w:val="clear"/>
            <w:tcMar>
              <w:top w:type="dxa" w:w="90"/>
              <w:left w:type="dxa" w:w="150"/>
              <w:bottom w:type="dxa" w:w="90"/>
              <w:right w:type="dxa" w:w="100"/>
            </w:tcMar>
            <w:vAlign w:val="top"/>
          </w:tcPr>
          <w:p>
            <w:pPr>
              <w:spacing w:before="0" w:after="0"/>
              <w:jc w:val="left"/>
            </w:pPr>
            <w:r>
              <w:rPr>
                <w:rFonts w:ascii="Arial" w:cs="Arial" w:eastAsia="Arial" w:hAnsi="Arial"/>
                <w:b/>
                <w:bCs/>
                <w:color w:val="FFFFFF"/>
                <w:sz w:val="20"/>
                <w:szCs w:val="20"/>
              </w:rPr>
              <w:t xml:space="preserve">Investigate then remove</w:t>
            </w:r>
          </w:p>
        </w:tc>
        <w:tc>
          <w:tcPr>
            <w:tcW w:type="dxa" w:w="4080"/>
            <w:tcBorders>
              <w:top w:val="single" w:color="D5D8DC" w:sz="1"/>
              <w:left w:val="single" w:color="D5D8DC" w:sz="1"/>
              <w:bottom w:val="single" w:color="D5D8DC" w:sz="1"/>
              <w:right w:val="single" w:color="D5D8DC" w:sz="1"/>
            </w:tcBorders>
            <w:shd w:fill="F4F6F7" w:val="clear"/>
            <w:tcMar>
              <w:top w:type="dxa" w:w="90"/>
              <w:left w:type="dxa" w:w="150"/>
              <w:bottom w:type="dxa" w:w="90"/>
              <w:right w:type="dxa" w:w="100"/>
            </w:tcMar>
            <w:vAlign w:val="top"/>
          </w:tcPr>
          <w:p>
            <w:pPr>
              <w:spacing w:before="0" w:after="0"/>
              <w:jc w:val="left"/>
            </w:pPr>
            <w:r>
              <w:rPr>
                <w:rFonts w:ascii="Arial" w:cs="Arial" w:eastAsia="Arial" w:hAnsi="Arial"/>
                <w:b w:val="false"/>
                <w:bCs w:val="false"/>
                <w:color w:val="1A1A1A"/>
                <w:sz w:val="20"/>
                <w:szCs w:val="20"/>
              </w:rPr>
              <w:t xml:space="preserve">Unstable features produce unreliable scores. A feature that drifts invalidates the model's calibration.</w:t>
            </w:r>
          </w:p>
        </w:tc>
      </w:tr>
      <w:tr>
        <w:tc>
          <w:tcPr>
            <w:tcW w:type="dxa" w:w="2400"/>
            <w:tcBorders>
              <w:top w:val="single" w:color="D5D8DC" w:sz="1"/>
              <w:left w:val="single" w:color="D5D8DC" w:sz="1"/>
              <w:bottom w:val="single" w:color="D5D8DC" w:sz="1"/>
              <w:right w:val="single" w:color="D5D8DC" w:sz="1"/>
            </w:tcBorders>
            <w:shd w:fill="FFFFFF" w:val="clear"/>
            <w:tcMar>
              <w:top w:type="dxa" w:w="90"/>
              <w:left w:type="dxa" w:w="150"/>
              <w:bottom w:type="dxa" w:w="90"/>
              <w:right w:type="dxa" w:w="100"/>
            </w:tcMar>
            <w:vAlign w:val="top"/>
          </w:tcPr>
          <w:p>
            <w:pPr>
              <w:spacing w:before="0" w:after="0"/>
              <w:jc w:val="left"/>
            </w:pPr>
            <w:r>
              <w:rPr>
                <w:rFonts w:ascii="Arial" w:cs="Arial" w:eastAsia="Arial" w:hAnsi="Arial"/>
                <w:b w:val="false"/>
                <w:bCs w:val="false"/>
                <w:color w:val="1A1A1A"/>
                <w:sz w:val="20"/>
                <w:szCs w:val="20"/>
              </w:rPr>
              <w:t xml:space="preserve">Feature unavailable at prediction time</w:t>
            </w:r>
          </w:p>
        </w:tc>
        <w:tc>
          <w:tcPr>
            <w:tcW w:type="dxa" w:w="2880"/>
            <w:tcBorders>
              <w:top w:val="single" w:color="D5D8DC" w:sz="1"/>
              <w:left w:val="single" w:color="D5D8DC" w:sz="1"/>
              <w:bottom w:val="single" w:color="D5D8DC" w:sz="1"/>
              <w:right w:val="single" w:color="D5D8DC" w:sz="1"/>
            </w:tcBorders>
            <w:shd w:fill="B03A2E" w:val="clear"/>
            <w:tcMar>
              <w:top w:type="dxa" w:w="90"/>
              <w:left w:type="dxa" w:w="150"/>
              <w:bottom w:type="dxa" w:w="90"/>
              <w:right w:type="dxa" w:w="100"/>
            </w:tcMar>
            <w:vAlign w:val="top"/>
          </w:tcPr>
          <w:p>
            <w:pPr>
              <w:spacing w:before="0" w:after="0"/>
              <w:jc w:val="left"/>
            </w:pPr>
            <w:r>
              <w:rPr>
                <w:rFonts w:ascii="Arial" w:cs="Arial" w:eastAsia="Arial" w:hAnsi="Arial"/>
                <w:b/>
                <w:bCs/>
                <w:color w:val="FFFFFF"/>
                <w:sz w:val="20"/>
                <w:szCs w:val="20"/>
              </w:rPr>
              <w:t xml:space="preserve">Remove immediately</w:t>
            </w:r>
          </w:p>
        </w:tc>
        <w:tc>
          <w:tcPr>
            <w:tcW w:type="dxa" w:w="4080"/>
            <w:tcBorders>
              <w:top w:val="single" w:color="D5D8DC" w:sz="1"/>
              <w:left w:val="single" w:color="D5D8DC" w:sz="1"/>
              <w:bottom w:val="single" w:color="D5D8DC" w:sz="1"/>
              <w:right w:val="single" w:color="D5D8DC" w:sz="1"/>
            </w:tcBorders>
            <w:shd w:fill="F4F6F7" w:val="clear"/>
            <w:tcMar>
              <w:top w:type="dxa" w:w="90"/>
              <w:left w:type="dxa" w:w="150"/>
              <w:bottom w:type="dxa" w:w="90"/>
              <w:right w:type="dxa" w:w="100"/>
            </w:tcMar>
            <w:vAlign w:val="top"/>
          </w:tcPr>
          <w:p>
            <w:pPr>
              <w:spacing w:before="0" w:after="0"/>
              <w:jc w:val="left"/>
            </w:pPr>
            <w:r>
              <w:rPr>
                <w:rFonts w:ascii="Arial" w:cs="Arial" w:eastAsia="Arial" w:hAnsi="Arial"/>
                <w:b w:val="false"/>
                <w:bCs w:val="false"/>
                <w:color w:val="1A1A1A"/>
                <w:sz w:val="20"/>
                <w:szCs w:val="20"/>
              </w:rPr>
              <w:t xml:space="preserve">Data leakage — using future information in training. This is the most dangerous engineering mistake.</w:t>
            </w:r>
          </w:p>
        </w:tc>
      </w:tr>
      <w:tr>
        <w:tc>
          <w:tcPr>
            <w:tcW w:type="dxa" w:w="2400"/>
            <w:tcBorders>
              <w:top w:val="single" w:color="D5D8DC" w:sz="1"/>
              <w:left w:val="single" w:color="D5D8DC" w:sz="1"/>
              <w:bottom w:val="single" w:color="D5D8DC" w:sz="1"/>
              <w:right w:val="single" w:color="D5D8DC" w:sz="1"/>
            </w:tcBorders>
            <w:shd w:fill="FFFFFF" w:val="clear"/>
            <w:tcMar>
              <w:top w:type="dxa" w:w="90"/>
              <w:left w:type="dxa" w:w="150"/>
              <w:bottom w:type="dxa" w:w="90"/>
              <w:right w:type="dxa" w:w="100"/>
            </w:tcMar>
            <w:vAlign w:val="top"/>
          </w:tcPr>
          <w:p>
            <w:pPr>
              <w:spacing w:before="0" w:after="0"/>
              <w:jc w:val="left"/>
            </w:pPr>
            <w:r>
              <w:rPr>
                <w:rFonts w:ascii="Arial" w:cs="Arial" w:eastAsia="Arial" w:hAnsi="Arial"/>
                <w:b w:val="false"/>
                <w:bCs w:val="false"/>
                <w:color w:val="1A1A1A"/>
                <w:sz w:val="20"/>
                <w:szCs w:val="20"/>
              </w:rPr>
              <w:t xml:space="preserve">IV &gt; 0.50 (very high)</w:t>
            </w:r>
          </w:p>
        </w:tc>
        <w:tc>
          <w:tcPr>
            <w:tcW w:type="dxa" w:w="2880"/>
            <w:tcBorders>
              <w:top w:val="single" w:color="D5D8DC" w:sz="1"/>
              <w:left w:val="single" w:color="D5D8DC" w:sz="1"/>
              <w:bottom w:val="single" w:color="D5D8DC" w:sz="1"/>
              <w:right w:val="single" w:color="D5D8DC" w:sz="1"/>
            </w:tcBorders>
            <w:shd w:fill="C96A0A" w:val="clear"/>
            <w:tcMar>
              <w:top w:type="dxa" w:w="90"/>
              <w:left w:type="dxa" w:w="150"/>
              <w:bottom w:type="dxa" w:w="90"/>
              <w:right w:type="dxa" w:w="100"/>
            </w:tcMar>
            <w:vAlign w:val="top"/>
          </w:tcPr>
          <w:p>
            <w:pPr>
              <w:spacing w:before="0" w:after="0"/>
              <w:jc w:val="left"/>
            </w:pPr>
            <w:r>
              <w:rPr>
                <w:rFonts w:ascii="Arial" w:cs="Arial" w:eastAsia="Arial" w:hAnsi="Arial"/>
                <w:b/>
                <w:bCs/>
                <w:color w:val="FFFFFF"/>
                <w:sz w:val="20"/>
                <w:szCs w:val="20"/>
              </w:rPr>
              <w:t xml:space="preserve">Investigate for leakage</w:t>
            </w:r>
          </w:p>
        </w:tc>
        <w:tc>
          <w:tcPr>
            <w:tcW w:type="dxa" w:w="4080"/>
            <w:tcBorders>
              <w:top w:val="single" w:color="D5D8DC" w:sz="1"/>
              <w:left w:val="single" w:color="D5D8DC" w:sz="1"/>
              <w:bottom w:val="single" w:color="D5D8DC" w:sz="1"/>
              <w:right w:val="single" w:color="D5D8DC" w:sz="1"/>
            </w:tcBorders>
            <w:shd w:fill="F4F6F7" w:val="clear"/>
            <w:tcMar>
              <w:top w:type="dxa" w:w="90"/>
              <w:left w:type="dxa" w:w="150"/>
              <w:bottom w:type="dxa" w:w="90"/>
              <w:right w:type="dxa" w:w="100"/>
            </w:tcMar>
            <w:vAlign w:val="top"/>
          </w:tcPr>
          <w:p>
            <w:pPr>
              <w:spacing w:before="0" w:after="0"/>
              <w:jc w:val="left"/>
            </w:pPr>
            <w:r>
              <w:rPr>
                <w:rFonts w:ascii="Arial" w:cs="Arial" w:eastAsia="Arial" w:hAnsi="Arial"/>
                <w:b w:val="false"/>
                <w:bCs w:val="false"/>
                <w:color w:val="1A1A1A"/>
                <w:sz w:val="20"/>
                <w:szCs w:val="20"/>
              </w:rPr>
              <w:t xml:space="preserve">Suspiciously high IV may indicate target leakage or data contamination rather than genuine predictive power.</w:t>
            </w:r>
          </w:p>
        </w:tc>
      </w:tr>
    </w:tbl>
    <w:p>
      <w:pPr>
        <w:spacing w:before="0" w:after="200"/>
      </w:pPr>
    </w:p>
    <w:p>
      <w:r>
        <w:br w:type="page"/>
      </w:r>
    </w:p>
    <w:p>
      <w:pPr>
        <w:pStyle w:val="Heading1"/>
        <w:pBdr>
          <w:bottom w:val="single" w:color="2E75B6" w:sz="6"/>
        </w:pBdr>
        <w:spacing w:before="400" w:after="160"/>
      </w:pPr>
      <w:r>
        <w:rPr>
          <w:rFonts w:ascii="Arial" w:cs="Arial" w:eastAsia="Arial" w:hAnsi="Arial"/>
          <w:b/>
          <w:bCs/>
          <w:color w:val="1F3864"/>
          <w:sz w:val="36"/>
          <w:szCs w:val="36"/>
        </w:rPr>
        <w:t xml:space="preserve">Section 4: Feature Transformations</w:t>
      </w:r>
    </w:p>
    <w:p>
      <w:pPr>
        <w:spacing w:before="80" w:after="80"/>
      </w:pPr>
      <w:r>
        <w:rPr>
          <w:rFonts w:ascii="Arial" w:cs="Arial" w:eastAsia="Arial" w:hAnsi="Arial"/>
          <w:b w:val="false"/>
          <w:bCs w:val="false"/>
          <w:color w:val="1A1A1A"/>
          <w:sz w:val="22"/>
          <w:szCs w:val="22"/>
        </w:rPr>
        <w:t xml:space="preserve">Feature transformations serve three purposes in credit risk modeling: (1) conforming distributions to the assumptions of linear models, (2) compressing outlier influence, and (3) converting continuous features into risk-ordered categories that improve scorecard interpretability. Different transformations serve different purposes and are model-type dependent.</w:t>
      </w:r>
    </w:p>
    <w:p>
      <w:pPr>
        <w:spacing w:before="0" w:after="120"/>
      </w:pPr>
    </w:p>
    <w:p>
      <w:pPr>
        <w:pStyle w:val="Heading2"/>
        <w:spacing w:before="280" w:after="120"/>
      </w:pPr>
      <w:r>
        <w:rPr>
          <w:rFonts w:ascii="Arial" w:cs="Arial" w:eastAsia="Arial" w:hAnsi="Arial"/>
          <w:b/>
          <w:bCs/>
          <w:color w:val="1B6CA8"/>
          <w:sz w:val="28"/>
          <w:szCs w:val="28"/>
        </w:rPr>
        <w:t xml:space="preserve">4.1 Log Transformation</w:t>
      </w:r>
    </w:p>
    <w:p>
      <w:pPr>
        <w:pStyle w:val="Heading3"/>
        <w:spacing w:before="200" w:after="80"/>
      </w:pPr>
      <w:r>
        <w:rPr>
          <w:rFonts w:ascii="Arial" w:cs="Arial" w:eastAsia="Arial" w:hAnsi="Arial"/>
          <w:b/>
          <w:bCs/>
          <w:color w:val="1F3864"/>
          <w:sz w:val="24"/>
          <w:szCs w:val="24"/>
        </w:rPr>
        <w:t xml:space="preserve">When to Apply</w:t>
      </w:r>
    </w:p>
    <w:p>
      <w:pPr>
        <w:pStyle w:val="ListParagraph"/>
        <w:numPr>
          <w:ilvl w:val="0"/>
          <w:numId w:val="2"/>
        </w:numPr>
        <w:spacing w:before="50" w:after="50"/>
      </w:pPr>
      <w:r>
        <w:rPr>
          <w:rFonts w:ascii="Arial" w:cs="Arial" w:eastAsia="Arial" w:hAnsi="Arial"/>
          <w:b w:val="false"/>
          <w:bCs w:val="false"/>
          <w:color w:val="1A1A1A"/>
          <w:sz w:val="22"/>
          <w:szCs w:val="22"/>
        </w:rPr>
        <w:t xml:space="preserve">Right-skewed continuous features with a natural zero floor and positive range</w:t>
      </w:r>
    </w:p>
    <w:p>
      <w:pPr>
        <w:pStyle w:val="ListParagraph"/>
        <w:numPr>
          <w:ilvl w:val="0"/>
          <w:numId w:val="2"/>
        </w:numPr>
        <w:spacing w:before="50" w:after="50"/>
      </w:pPr>
      <w:r>
        <w:rPr>
          <w:rFonts w:ascii="Arial" w:cs="Arial" w:eastAsia="Arial" w:hAnsi="Arial"/>
          <w:b w:val="false"/>
          <w:bCs w:val="false"/>
          <w:color w:val="1A1A1A"/>
          <w:sz w:val="22"/>
          <w:szCs w:val="22"/>
        </w:rPr>
        <w:t xml:space="preserve">Features where the relationship with log-odds (default probability) appears approximately linear on the log scale</w:t>
      </w:r>
    </w:p>
    <w:p>
      <w:pPr>
        <w:pStyle w:val="ListParagraph"/>
        <w:numPr>
          <w:ilvl w:val="0"/>
          <w:numId w:val="2"/>
        </w:numPr>
        <w:spacing w:before="50" w:after="50"/>
      </w:pPr>
      <w:r>
        <w:rPr>
          <w:rFonts w:ascii="Arial" w:cs="Arial" w:eastAsia="Arial" w:hAnsi="Arial"/>
          <w:b w:val="false"/>
          <w:bCs w:val="false"/>
          <w:color w:val="1A1A1A"/>
          <w:sz w:val="22"/>
          <w:szCs w:val="22"/>
        </w:rPr>
        <w:t xml:space="preserve">Features with extreme outliers that would dominate distance-based computations</w:t>
      </w:r>
    </w:p>
    <w:p>
      <w:pPr>
        <w:spacing w:before="0" w:after="80"/>
      </w:pPr>
    </w:p>
    <w:p>
      <w:pPr>
        <w:pStyle w:val="Heading3"/>
        <w:spacing w:before="200" w:after="80"/>
      </w:pPr>
      <w:r>
        <w:rPr>
          <w:rFonts w:ascii="Arial" w:cs="Arial" w:eastAsia="Arial" w:hAnsi="Arial"/>
          <w:b/>
          <w:bCs/>
          <w:color w:val="1F3864"/>
          <w:sz w:val="24"/>
          <w:szCs w:val="24"/>
        </w:rPr>
        <w:t xml:space="preserve">Application to This Dataset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4960"/>
      </w:tblGrid>
      <w:tr>
        <w:tc>
          <w:tcPr>
            <w:tcW w:type="dxa" w:w="2000"/>
            <w:tcBorders>
              <w:top w:val="single" w:color="D5D8DC" w:sz="1"/>
              <w:left w:val="single" w:color="D5D8DC" w:sz="1"/>
              <w:bottom w:val="single" w:color="D5D8DC" w:sz="1"/>
              <w:right w:val="single" w:color="D5D8DC" w:sz="1"/>
            </w:tcBorders>
            <w:shd w:fill="1F3864" w:val="clear"/>
            <w:tcMar>
              <w:top w:type="dxa" w:w="90"/>
              <w:left w:type="dxa" w:w="150"/>
              <w:bottom w:type="dxa" w:w="90"/>
              <w:right w:type="dxa" w:w="100"/>
            </w:tcMar>
            <w:vAlign w:val="top"/>
          </w:tcPr>
          <w:p>
            <w:pPr>
              <w:spacing w:before="0" w:after="0"/>
              <w:jc w:val="left"/>
            </w:pPr>
            <w:r>
              <w:rPr>
                <w:rFonts w:ascii="Arial" w:cs="Arial" w:eastAsia="Arial" w:hAnsi="Arial"/>
                <w:b/>
                <w:bCs/>
                <w:color w:val="FFFFFF"/>
                <w:sz w:val="19"/>
                <w:szCs w:val="19"/>
              </w:rPr>
              <w:t xml:space="preserve">Feature</w:t>
            </w:r>
          </w:p>
        </w:tc>
        <w:tc>
          <w:tcPr>
            <w:tcW w:type="dxa" w:w="2400"/>
            <w:tcBorders>
              <w:top w:val="single" w:color="D5D8DC" w:sz="1"/>
              <w:left w:val="single" w:color="D5D8DC" w:sz="1"/>
              <w:bottom w:val="single" w:color="D5D8DC" w:sz="1"/>
              <w:right w:val="single" w:color="D5D8DC" w:sz="1"/>
            </w:tcBorders>
            <w:shd w:fill="1F3864" w:val="clear"/>
            <w:tcMar>
              <w:top w:type="dxa" w:w="90"/>
              <w:left w:type="dxa" w:w="150"/>
              <w:bottom w:type="dxa" w:w="90"/>
              <w:right w:type="dxa" w:w="100"/>
            </w:tcMar>
            <w:vAlign w:val="top"/>
          </w:tcPr>
          <w:p>
            <w:pPr>
              <w:spacing w:before="0" w:after="0"/>
              <w:jc w:val="left"/>
            </w:pPr>
            <w:r>
              <w:rPr>
                <w:rFonts w:ascii="Arial" w:cs="Arial" w:eastAsia="Arial" w:hAnsi="Arial"/>
                <w:b/>
                <w:bCs/>
                <w:color w:val="FFFFFF"/>
                <w:sz w:val="19"/>
                <w:szCs w:val="19"/>
              </w:rPr>
              <w:t xml:space="preserve">Transformation</w:t>
            </w:r>
          </w:p>
        </w:tc>
        <w:tc>
          <w:tcPr>
            <w:tcW w:type="dxa" w:w="4960"/>
            <w:tcBorders>
              <w:top w:val="single" w:color="D5D8DC" w:sz="1"/>
              <w:left w:val="single" w:color="D5D8DC" w:sz="1"/>
              <w:bottom w:val="single" w:color="D5D8DC" w:sz="1"/>
              <w:right w:val="single" w:color="D5D8DC" w:sz="1"/>
            </w:tcBorders>
            <w:shd w:fill="1F3864" w:val="clear"/>
            <w:tcMar>
              <w:top w:type="dxa" w:w="90"/>
              <w:left w:type="dxa" w:w="150"/>
              <w:bottom w:type="dxa" w:w="90"/>
              <w:right w:type="dxa" w:w="100"/>
            </w:tcMar>
            <w:vAlign w:val="top"/>
          </w:tcPr>
          <w:p>
            <w:pPr>
              <w:spacing w:before="0" w:after="0"/>
              <w:jc w:val="left"/>
            </w:pPr>
            <w:r>
              <w:rPr>
                <w:rFonts w:ascii="Arial" w:cs="Arial" w:eastAsia="Arial" w:hAnsi="Arial"/>
                <w:b/>
                <w:bCs/>
                <w:color w:val="FFFFFF"/>
                <w:sz w:val="19"/>
                <w:szCs w:val="19"/>
              </w:rPr>
              <w:t xml:space="preserve">Justification</w:t>
            </w:r>
          </w:p>
        </w:tc>
      </w:tr>
      <w:tr>
        <w:tc>
          <w:tcPr>
            <w:tcW w:type="dxa" w:w="2000"/>
            <w:tcBorders>
              <w:top w:val="single" w:color="D5D8DC" w:sz="1"/>
              <w:left w:val="single" w:color="D5D8DC" w:sz="1"/>
              <w:bottom w:val="single" w:color="D5D8DC" w:sz="1"/>
              <w:right w:val="single" w:color="D5D8DC" w:sz="1"/>
            </w:tcBorders>
            <w:shd w:fill="FFFFFF" w:val="clear"/>
            <w:tcMar>
              <w:top w:type="dxa" w:w="90"/>
              <w:left w:type="dxa" w:w="150"/>
              <w:bottom w:type="dxa" w:w="90"/>
              <w:right w:type="dxa" w:w="100"/>
            </w:tcMar>
            <w:vAlign w:val="top"/>
          </w:tcPr>
          <w:p>
            <w:pPr>
              <w:spacing w:before="0" w:after="0"/>
              <w:jc w:val="left"/>
            </w:pPr>
            <w:r>
              <w:rPr>
                <w:rFonts w:ascii="Arial" w:cs="Arial" w:eastAsia="Arial" w:hAnsi="Arial"/>
                <w:b w:val="false"/>
                <w:bCs w:val="false"/>
                <w:color w:val="1A1A1A"/>
                <w:sz w:val="20"/>
                <w:szCs w:val="20"/>
              </w:rPr>
              <w:t xml:space="preserve">LIMIT_BAL</w:t>
            </w:r>
          </w:p>
        </w:tc>
        <w:tc>
          <w:tcPr>
            <w:tcW w:type="dxa" w:w="2400"/>
            <w:tcBorders>
              <w:top w:val="single" w:color="D5D8DC" w:sz="1"/>
              <w:left w:val="single" w:color="D5D8DC" w:sz="1"/>
              <w:bottom w:val="single" w:color="D5D8DC" w:sz="1"/>
              <w:right w:val="single" w:color="D5D8DC" w:sz="1"/>
            </w:tcBorders>
            <w:shd w:fill="F4F6F7" w:val="clear"/>
            <w:tcMar>
              <w:top w:type="dxa" w:w="90"/>
              <w:left w:type="dxa" w:w="150"/>
              <w:bottom w:type="dxa" w:w="90"/>
              <w:right w:type="dxa" w:w="100"/>
            </w:tcMar>
            <w:vAlign w:val="top"/>
          </w:tcPr>
          <w:p>
            <w:pPr>
              <w:spacing w:before="0" w:after="0"/>
              <w:jc w:val="left"/>
            </w:pPr>
            <w:r>
              <w:rPr>
                <w:rFonts w:ascii="Arial" w:cs="Arial" w:eastAsia="Arial" w:hAnsi="Arial"/>
                <w:b w:val="false"/>
                <w:bCs w:val="false"/>
                <w:color w:val="1A1A1A"/>
                <w:sz w:val="20"/>
                <w:szCs w:val="20"/>
              </w:rPr>
              <w:t xml:space="preserve">log(LIMIT_BAL)</w:t>
            </w:r>
          </w:p>
        </w:tc>
        <w:tc>
          <w:tcPr>
            <w:tcW w:type="dxa" w:w="4960"/>
            <w:tcBorders>
              <w:top w:val="single" w:color="D5D8DC" w:sz="1"/>
              <w:left w:val="single" w:color="D5D8DC" w:sz="1"/>
              <w:bottom w:val="single" w:color="D5D8DC" w:sz="1"/>
              <w:right w:val="single" w:color="D5D8DC" w:sz="1"/>
            </w:tcBorders>
            <w:shd w:fill="FFFFFF" w:val="clear"/>
            <w:tcMar>
              <w:top w:type="dxa" w:w="90"/>
              <w:left w:type="dxa" w:w="150"/>
              <w:bottom w:type="dxa" w:w="90"/>
              <w:right w:type="dxa" w:w="100"/>
            </w:tcMar>
            <w:vAlign w:val="top"/>
          </w:tcPr>
          <w:p>
            <w:pPr>
              <w:spacing w:before="0" w:after="0"/>
              <w:jc w:val="left"/>
            </w:pPr>
            <w:r>
              <w:rPr>
                <w:rFonts w:ascii="Arial" w:cs="Arial" w:eastAsia="Arial" w:hAnsi="Arial"/>
                <w:b w:val="false"/>
                <w:bCs w:val="false"/>
                <w:color w:val="1A1A1A"/>
                <w:sz w:val="20"/>
                <w:szCs w:val="20"/>
              </w:rPr>
              <w:t xml:space="preserve">Strongly right-skewed (NT$10,000–800,000). Log scale also improves the linearity of its relationship with default risk log-odds.</w:t>
            </w:r>
          </w:p>
        </w:tc>
      </w:tr>
      <w:tr>
        <w:tc>
          <w:tcPr>
            <w:tcW w:type="dxa" w:w="2000"/>
            <w:tcBorders>
              <w:top w:val="single" w:color="D5D8DC" w:sz="1"/>
              <w:left w:val="single" w:color="D5D8DC" w:sz="1"/>
              <w:bottom w:val="single" w:color="D5D8DC" w:sz="1"/>
              <w:right w:val="single" w:color="D5D8DC" w:sz="1"/>
            </w:tcBorders>
            <w:shd w:fill="FFFFFF" w:val="clear"/>
            <w:tcMar>
              <w:top w:type="dxa" w:w="90"/>
              <w:left w:type="dxa" w:w="150"/>
              <w:bottom w:type="dxa" w:w="90"/>
              <w:right w:type="dxa" w:w="100"/>
            </w:tcMar>
            <w:vAlign w:val="top"/>
          </w:tcPr>
          <w:p>
            <w:pPr>
              <w:spacing w:before="0" w:after="0"/>
              <w:jc w:val="left"/>
            </w:pPr>
            <w:r>
              <w:rPr>
                <w:rFonts w:ascii="Arial" w:cs="Arial" w:eastAsia="Arial" w:hAnsi="Arial"/>
                <w:b w:val="false"/>
                <w:bCs w:val="false"/>
                <w:color w:val="1A1A1A"/>
                <w:sz w:val="20"/>
                <w:szCs w:val="20"/>
              </w:rPr>
              <w:t xml:space="preserve">PAY_AMT1–6</w:t>
            </w:r>
          </w:p>
        </w:tc>
        <w:tc>
          <w:tcPr>
            <w:tcW w:type="dxa" w:w="2400"/>
            <w:tcBorders>
              <w:top w:val="single" w:color="D5D8DC" w:sz="1"/>
              <w:left w:val="single" w:color="D5D8DC" w:sz="1"/>
              <w:bottom w:val="single" w:color="D5D8DC" w:sz="1"/>
              <w:right w:val="single" w:color="D5D8DC" w:sz="1"/>
            </w:tcBorders>
            <w:shd w:fill="F4F6F7" w:val="clear"/>
            <w:tcMar>
              <w:top w:type="dxa" w:w="90"/>
              <w:left w:type="dxa" w:w="150"/>
              <w:bottom w:type="dxa" w:w="90"/>
              <w:right w:type="dxa" w:w="100"/>
            </w:tcMar>
            <w:vAlign w:val="top"/>
          </w:tcPr>
          <w:p>
            <w:pPr>
              <w:spacing w:before="0" w:after="0"/>
              <w:jc w:val="left"/>
            </w:pPr>
            <w:r>
              <w:rPr>
                <w:rFonts w:ascii="Arial" w:cs="Arial" w:eastAsia="Arial" w:hAnsi="Arial"/>
                <w:b w:val="false"/>
                <w:bCs w:val="false"/>
                <w:color w:val="1A1A1A"/>
                <w:sz w:val="20"/>
                <w:szCs w:val="20"/>
              </w:rPr>
              <w:t xml:space="preserve">log(PAY_AMT + 1)</w:t>
            </w:r>
          </w:p>
        </w:tc>
        <w:tc>
          <w:tcPr>
            <w:tcW w:type="dxa" w:w="4960"/>
            <w:tcBorders>
              <w:top w:val="single" w:color="D5D8DC" w:sz="1"/>
              <w:left w:val="single" w:color="D5D8DC" w:sz="1"/>
              <w:bottom w:val="single" w:color="D5D8DC" w:sz="1"/>
              <w:right w:val="single" w:color="D5D8DC" w:sz="1"/>
            </w:tcBorders>
            <w:shd w:fill="FFFFFF" w:val="clear"/>
            <w:tcMar>
              <w:top w:type="dxa" w:w="90"/>
              <w:left w:type="dxa" w:w="150"/>
              <w:bottom w:type="dxa" w:w="90"/>
              <w:right w:type="dxa" w:w="100"/>
            </w:tcMar>
            <w:vAlign w:val="top"/>
          </w:tcPr>
          <w:p>
            <w:pPr>
              <w:spacing w:before="0" w:after="0"/>
              <w:jc w:val="left"/>
            </w:pPr>
            <w:r>
              <w:rPr>
                <w:rFonts w:ascii="Arial" w:cs="Arial" w:eastAsia="Arial" w:hAnsi="Arial"/>
                <w:b w:val="false"/>
                <w:bCs w:val="false"/>
                <w:color w:val="1A1A1A"/>
                <w:sz w:val="20"/>
                <w:szCs w:val="20"/>
              </w:rPr>
              <w:t xml:space="preserve">log(x+1) handles the large zero-payment mass. Adding 1 prevents log(0) = undefined. Compresses the extreme right tail of large payments.</w:t>
            </w:r>
          </w:p>
        </w:tc>
      </w:tr>
      <w:tr>
        <w:tc>
          <w:tcPr>
            <w:tcW w:type="dxa" w:w="2000"/>
            <w:tcBorders>
              <w:top w:val="single" w:color="D5D8DC" w:sz="1"/>
              <w:left w:val="single" w:color="D5D8DC" w:sz="1"/>
              <w:bottom w:val="single" w:color="D5D8DC" w:sz="1"/>
              <w:right w:val="single" w:color="D5D8DC" w:sz="1"/>
            </w:tcBorders>
            <w:shd w:fill="FFFFFF" w:val="clear"/>
            <w:tcMar>
              <w:top w:type="dxa" w:w="90"/>
              <w:left w:type="dxa" w:w="150"/>
              <w:bottom w:type="dxa" w:w="90"/>
              <w:right w:type="dxa" w:w="100"/>
            </w:tcMar>
            <w:vAlign w:val="top"/>
          </w:tcPr>
          <w:p>
            <w:pPr>
              <w:spacing w:before="0" w:after="0"/>
              <w:jc w:val="left"/>
            </w:pPr>
            <w:r>
              <w:rPr>
                <w:rFonts w:ascii="Arial" w:cs="Arial" w:eastAsia="Arial" w:hAnsi="Arial"/>
                <w:b w:val="false"/>
                <w:bCs w:val="false"/>
                <w:color w:val="1A1A1A"/>
                <w:sz w:val="20"/>
                <w:szCs w:val="20"/>
              </w:rPr>
              <w:t xml:space="preserve">BILL_AMT1–6</w:t>
            </w:r>
          </w:p>
        </w:tc>
        <w:tc>
          <w:tcPr>
            <w:tcW w:type="dxa" w:w="2400"/>
            <w:tcBorders>
              <w:top w:val="single" w:color="D5D8DC" w:sz="1"/>
              <w:left w:val="single" w:color="D5D8DC" w:sz="1"/>
              <w:bottom w:val="single" w:color="D5D8DC" w:sz="1"/>
              <w:right w:val="single" w:color="D5D8DC" w:sz="1"/>
            </w:tcBorders>
            <w:shd w:fill="F4F6F7" w:val="clear"/>
            <w:tcMar>
              <w:top w:type="dxa" w:w="90"/>
              <w:left w:type="dxa" w:w="150"/>
              <w:bottom w:type="dxa" w:w="90"/>
              <w:right w:type="dxa" w:w="100"/>
            </w:tcMar>
            <w:vAlign w:val="top"/>
          </w:tcPr>
          <w:p>
            <w:pPr>
              <w:spacing w:before="0" w:after="0"/>
              <w:jc w:val="left"/>
            </w:pPr>
            <w:r>
              <w:rPr>
                <w:rFonts w:ascii="Arial" w:cs="Arial" w:eastAsia="Arial" w:hAnsi="Arial"/>
                <w:b w:val="false"/>
                <w:bCs w:val="false"/>
                <w:color w:val="1A1A1A"/>
                <w:sz w:val="20"/>
                <w:szCs w:val="20"/>
              </w:rPr>
              <w:t xml:space="preserve">sign(x) * log(|x| + 1)</w:t>
            </w:r>
          </w:p>
        </w:tc>
        <w:tc>
          <w:tcPr>
            <w:tcW w:type="dxa" w:w="4960"/>
            <w:tcBorders>
              <w:top w:val="single" w:color="D5D8DC" w:sz="1"/>
              <w:left w:val="single" w:color="D5D8DC" w:sz="1"/>
              <w:bottom w:val="single" w:color="D5D8DC" w:sz="1"/>
              <w:right w:val="single" w:color="D5D8DC" w:sz="1"/>
            </w:tcBorders>
            <w:shd w:fill="FFFFFF" w:val="clear"/>
            <w:tcMar>
              <w:top w:type="dxa" w:w="90"/>
              <w:left w:type="dxa" w:w="150"/>
              <w:bottom w:type="dxa" w:w="90"/>
              <w:right w:type="dxa" w:w="100"/>
            </w:tcMar>
            <w:vAlign w:val="top"/>
          </w:tcPr>
          <w:p>
            <w:pPr>
              <w:spacing w:before="0" w:after="0"/>
              <w:jc w:val="left"/>
            </w:pPr>
            <w:r>
              <w:rPr>
                <w:rFonts w:ascii="Arial" w:cs="Arial" w:eastAsia="Arial" w:hAnsi="Arial"/>
                <w:b w:val="false"/>
                <w:bCs w:val="false"/>
                <w:color w:val="1A1A1A"/>
                <w:sz w:val="20"/>
                <w:szCs w:val="20"/>
              </w:rPr>
              <w:t xml:space="preserve">Signed log transform preserves negative values (overpayments) while normalising the right-skewed positive range.</w:t>
            </w:r>
          </w:p>
        </w:tc>
      </w:tr>
      <w:tr>
        <w:tc>
          <w:tcPr>
            <w:tcW w:type="dxa" w:w="2000"/>
            <w:tcBorders>
              <w:top w:val="single" w:color="D5D8DC" w:sz="1"/>
              <w:left w:val="single" w:color="D5D8DC" w:sz="1"/>
              <w:bottom w:val="single" w:color="D5D8DC" w:sz="1"/>
              <w:right w:val="single" w:color="D5D8DC" w:sz="1"/>
            </w:tcBorders>
            <w:shd w:fill="FFFFFF" w:val="clear"/>
            <w:tcMar>
              <w:top w:type="dxa" w:w="90"/>
              <w:left w:type="dxa" w:w="150"/>
              <w:bottom w:type="dxa" w:w="90"/>
              <w:right w:type="dxa" w:w="100"/>
            </w:tcMar>
            <w:vAlign w:val="top"/>
          </w:tcPr>
          <w:p>
            <w:pPr>
              <w:spacing w:before="0" w:after="0"/>
              <w:jc w:val="left"/>
            </w:pPr>
            <w:r>
              <w:rPr>
                <w:rFonts w:ascii="Arial" w:cs="Arial" w:eastAsia="Arial" w:hAnsi="Arial"/>
                <w:b w:val="false"/>
                <w:bCs w:val="false"/>
                <w:color w:val="1A1A1A"/>
                <w:sz w:val="20"/>
                <w:szCs w:val="20"/>
              </w:rPr>
              <w:t xml:space="preserve">AVG_BILL_AMT</w:t>
            </w:r>
          </w:p>
        </w:tc>
        <w:tc>
          <w:tcPr>
            <w:tcW w:type="dxa" w:w="2400"/>
            <w:tcBorders>
              <w:top w:val="single" w:color="D5D8DC" w:sz="1"/>
              <w:left w:val="single" w:color="D5D8DC" w:sz="1"/>
              <w:bottom w:val="single" w:color="D5D8DC" w:sz="1"/>
              <w:right w:val="single" w:color="D5D8DC" w:sz="1"/>
            </w:tcBorders>
            <w:shd w:fill="F4F6F7" w:val="clear"/>
            <w:tcMar>
              <w:top w:type="dxa" w:w="90"/>
              <w:left w:type="dxa" w:w="150"/>
              <w:bottom w:type="dxa" w:w="90"/>
              <w:right w:type="dxa" w:w="100"/>
            </w:tcMar>
            <w:vAlign w:val="top"/>
          </w:tcPr>
          <w:p>
            <w:pPr>
              <w:spacing w:before="0" w:after="0"/>
              <w:jc w:val="left"/>
            </w:pPr>
            <w:r>
              <w:rPr>
                <w:rFonts w:ascii="Arial" w:cs="Arial" w:eastAsia="Arial" w:hAnsi="Arial"/>
                <w:b w:val="false"/>
                <w:bCs w:val="false"/>
                <w:color w:val="1A1A1A"/>
                <w:sz w:val="20"/>
                <w:szCs w:val="20"/>
              </w:rPr>
              <w:t xml:space="preserve">log(AVG_BILL_AMT + 1)</w:t>
            </w:r>
          </w:p>
        </w:tc>
        <w:tc>
          <w:tcPr>
            <w:tcW w:type="dxa" w:w="4960"/>
            <w:tcBorders>
              <w:top w:val="single" w:color="D5D8DC" w:sz="1"/>
              <w:left w:val="single" w:color="D5D8DC" w:sz="1"/>
              <w:bottom w:val="single" w:color="D5D8DC" w:sz="1"/>
              <w:right w:val="single" w:color="D5D8DC" w:sz="1"/>
            </w:tcBorders>
            <w:shd w:fill="FFFFFF" w:val="clear"/>
            <w:tcMar>
              <w:top w:type="dxa" w:w="90"/>
              <w:left w:type="dxa" w:w="150"/>
              <w:bottom w:type="dxa" w:w="90"/>
              <w:right w:type="dxa" w:w="100"/>
            </w:tcMar>
            <w:vAlign w:val="top"/>
          </w:tcPr>
          <w:p>
            <w:pPr>
              <w:spacing w:before="0" w:after="0"/>
              <w:jc w:val="left"/>
            </w:pPr>
            <w:r>
              <w:rPr>
                <w:rFonts w:ascii="Arial" w:cs="Arial" w:eastAsia="Arial" w:hAnsi="Arial"/>
                <w:b w:val="false"/>
                <w:bCs w:val="false"/>
                <w:color w:val="1A1A1A"/>
                <w:sz w:val="20"/>
                <w:szCs w:val="20"/>
              </w:rPr>
              <w:t xml:space="preserve">After taking the average, the distribution remains right-skewed. Log normalises for LR input.</w:t>
            </w:r>
          </w:p>
        </w:tc>
      </w:tr>
    </w:tbl>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80"/>
        <w:gridCol w:w="8080"/>
      </w:tblGrid>
      <w:tr>
        <w:tc>
          <w:tcPr>
            <w:tcW w:type="dxa" w:w="1280"/>
            <w:tcBorders>
              <w:top w:val="single" w:color="D5D8DC" w:sz="1"/>
              <w:left w:val="single" w:color="D5D8DC" w:sz="1"/>
              <w:bottom w:val="single" w:color="D5D8DC" w:sz="1"/>
              <w:right w:val="single" w:color="D5D8DC" w:sz="1"/>
            </w:tcBorders>
            <w:shd w:fill="C96A0A" w:val="clear"/>
            <w:tcMar>
              <w:top w:type="dxa" w:w="100"/>
              <w:left w:type="dxa" w:w="120"/>
              <w:bottom w:type="dxa" w:w="100"/>
              <w:right w:type="dxa" w:w="80"/>
            </w:tcMar>
            <w:vAlign w:val="center"/>
          </w:tcPr>
          <w:p>
            <w:pPr>
              <w:jc w:val="center"/>
            </w:pPr>
            <w:r>
              <w:rPr>
                <w:rFonts w:ascii="Arial" w:cs="Arial" w:eastAsia="Arial" w:hAnsi="Arial"/>
                <w:b/>
                <w:bCs/>
                <w:color w:val="FFFFFF"/>
                <w:sz w:val="17"/>
                <w:szCs w:val="17"/>
              </w:rPr>
              <w:t xml:space="preserve">⚠ WARNING</w:t>
            </w:r>
          </w:p>
        </w:tc>
        <w:tc>
          <w:tcPr>
            <w:tcW w:type="dxa" w:w="8080"/>
            <w:tcBorders>
              <w:top w:val="single" w:color="D5D8DC" w:sz="1"/>
              <w:left w:val="single" w:color="D5D8DC" w:sz="1"/>
              <w:bottom w:val="single" w:color="D5D8DC" w:sz="1"/>
              <w:right w:val="single" w:color="D5D8DC" w:sz="1"/>
            </w:tcBorders>
            <w:shd w:fill="FEF5E7" w:val="clear"/>
            <w:tcMar>
              <w:top w:type="dxa" w:w="100"/>
              <w:left w:type="dxa" w:w="160"/>
              <w:bottom w:type="dxa" w:w="100"/>
              <w:right w:type="dxa" w:w="120"/>
            </w:tcMar>
          </w:tcPr>
          <w:p>
            <w:r>
              <w:rPr>
                <w:rFonts w:ascii="Arial" w:cs="Arial" w:eastAsia="Arial" w:hAnsi="Arial"/>
                <w:color w:val="2C3E50"/>
                <w:sz w:val="20"/>
                <w:szCs w:val="20"/>
              </w:rPr>
              <w:t xml:space="preserve">Log transformation is applied AFTER Winsorization (outlier capping). Do not log-transform before capping extremes — the transform will compress but not eliminate the distorting effect of extreme outliers.</w:t>
            </w:r>
          </w:p>
        </w:tc>
      </w:tr>
    </w:tbl>
    <w:p>
      <w:pPr>
        <w:spacing w:before="0" w:after="140"/>
      </w:pPr>
    </w:p>
    <w:p>
      <w:pPr>
        <w:pStyle w:val="Heading2"/>
        <w:spacing w:before="280" w:after="120"/>
      </w:pPr>
      <w:r>
        <w:rPr>
          <w:rFonts w:ascii="Arial" w:cs="Arial" w:eastAsia="Arial" w:hAnsi="Arial"/>
          <w:b/>
          <w:bCs/>
          <w:color w:val="1B6CA8"/>
          <w:sz w:val="28"/>
          <w:szCs w:val="28"/>
        </w:rPr>
        <w:t xml:space="preserve">4.2 Winsorization (Outlier Capping)</w:t>
      </w:r>
    </w:p>
    <w:p>
      <w:pPr>
        <w:spacing w:before="80" w:after="80"/>
      </w:pPr>
      <w:r>
        <w:rPr>
          <w:rFonts w:ascii="Arial" w:cs="Arial" w:eastAsia="Arial" w:hAnsi="Arial"/>
          <w:b w:val="false"/>
          <w:bCs w:val="false"/>
          <w:color w:val="1A1A1A"/>
          <w:sz w:val="22"/>
          <w:szCs w:val="22"/>
        </w:rPr>
        <w:t xml:space="preserve">Winsorization replaces values beyond a specified percentile threshold with the threshold value itself. It preserves sample size (unlike outlier removal) and reduces the leverage of extreme observations on model coefficients.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5D8DC" w:sz="1"/>
              <w:left w:val="single" w:color="D5D8DC" w:sz="1"/>
              <w:bottom w:val="single" w:color="D5D8DC" w:sz="1"/>
              <w:right w:val="single" w:color="D5D8DC" w:sz="1"/>
            </w:tcBorders>
            <w:shd w:fill="2C3E50" w:val="clear"/>
            <w:tcMar>
              <w:top w:type="dxa" w:w="120"/>
              <w:left w:type="dxa" w:w="200"/>
              <w:bottom w:type="dxa" w:w="120"/>
              <w:right w:type="dxa" w:w="160"/>
            </w:tcMar>
          </w:tcPr>
          <w:p>
            <w:pPr>
              <w:spacing w:before="20" w:after="20"/>
            </w:pPr>
            <w:r>
              <w:rPr>
                <w:rFonts w:ascii="Courier New" w:cs="Courier New" w:eastAsia="Courier New" w:hAnsi="Courier New"/>
                <w:color w:val="A9DFBF"/>
                <w:sz w:val="18"/>
                <w:szCs w:val="18"/>
              </w:rPr>
              <w:t xml:space="preserve"># Python implementation — apply BEFORE log transformation, AFTER train/test split</w:t>
            </w:r>
          </w:p>
          <w:p>
            <w:pPr>
              <w:spacing w:before="20" w:after="20"/>
            </w:pPr>
            <w:r>
              <w:rPr>
                <w:rFonts w:ascii="Courier New" w:cs="Courier New" w:eastAsia="Courier New" w:hAnsi="Courier New"/>
                <w:color w:val="A9DFBF"/>
                <w:sz w:val="18"/>
                <w:szCs w:val="18"/>
              </w:rPr>
              <w:t xml:space="preserve"># Fit percentiles on TRAINING set only</w:t>
            </w:r>
          </w:p>
          <w:p>
            <w:pPr>
              <w:spacing w:before="20" w:after="20"/>
            </w:pPr>
            <w:r>
              <w:rPr>
                <w:rFonts w:ascii="Courier New" w:cs="Courier New" w:eastAsia="Courier New" w:hAnsi="Courier New"/>
                <w:color w:val="A9DFBF"/>
                <w:sz w:val="18"/>
                <w:szCs w:val="18"/>
              </w:rPr>
              <w:t xml:space="preserve">from scipy.stats.mstats import winsorize</w:t>
            </w:r>
          </w:p>
          <w:p>
            <w:pPr>
              <w:spacing w:before="20" w:after="20"/>
            </w:pPr>
            <w:r>
              <w:rPr>
                <w:rFonts w:ascii="Courier New" w:cs="Courier New" w:eastAsia="Courier New" w:hAnsi="Courier New"/>
                <w:color w:val="A9DFBF"/>
                <w:sz w:val="18"/>
                <w:szCs w:val="18"/>
              </w:rPr>
              <w:t xml:space="preserve"/>
            </w:r>
          </w:p>
          <w:p>
            <w:pPr>
              <w:spacing w:before="20" w:after="20"/>
            </w:pPr>
            <w:r>
              <w:rPr>
                <w:rFonts w:ascii="Courier New" w:cs="Courier New" w:eastAsia="Courier New" w:hAnsi="Courier New"/>
                <w:color w:val="A9DFBF"/>
                <w:sz w:val="18"/>
                <w:szCs w:val="18"/>
              </w:rPr>
              <w:t xml:space="preserve"># Apply to training data</w:t>
            </w:r>
          </w:p>
          <w:p>
            <w:pPr>
              <w:spacing w:before="20" w:after="20"/>
            </w:pPr>
            <w:r>
              <w:rPr>
                <w:rFonts w:ascii="Courier New" w:cs="Courier New" w:eastAsia="Courier New" w:hAnsi="Courier New"/>
                <w:color w:val="A9DFBF"/>
                <w:sz w:val="18"/>
                <w:szCs w:val="18"/>
              </w:rPr>
              <w:t xml:space="preserve">lower_p1  = np.percentile(X_train["LIMIT_BAL"], 1)</w:t>
            </w:r>
          </w:p>
          <w:p>
            <w:pPr>
              <w:spacing w:before="20" w:after="20"/>
            </w:pPr>
            <w:r>
              <w:rPr>
                <w:rFonts w:ascii="Courier New" w:cs="Courier New" w:eastAsia="Courier New" w:hAnsi="Courier New"/>
                <w:color w:val="A9DFBF"/>
                <w:sz w:val="18"/>
                <w:szCs w:val="18"/>
              </w:rPr>
              <w:t xml:space="preserve">upper_p99 = np.percentile(X_train["LIMIT_BAL"], 99)</w:t>
            </w:r>
          </w:p>
          <w:p>
            <w:pPr>
              <w:spacing w:before="20" w:after="20"/>
            </w:pPr>
            <w:r>
              <w:rPr>
                <w:rFonts w:ascii="Courier New" w:cs="Courier New" w:eastAsia="Courier New" w:hAnsi="Courier New"/>
                <w:color w:val="A9DFBF"/>
                <w:sz w:val="18"/>
                <w:szCs w:val="18"/>
              </w:rPr>
              <w:t xml:space="preserve"/>
            </w:r>
          </w:p>
          <w:p>
            <w:pPr>
              <w:spacing w:before="20" w:after="20"/>
            </w:pPr>
            <w:r>
              <w:rPr>
                <w:rFonts w:ascii="Courier New" w:cs="Courier New" w:eastAsia="Courier New" w:hAnsi="Courier New"/>
                <w:color w:val="A9DFBF"/>
                <w:sz w:val="18"/>
                <w:szCs w:val="18"/>
              </w:rPr>
              <w:t xml:space="preserve"># Apply same caps to both train AND test sets</w:t>
            </w:r>
          </w:p>
          <w:p>
            <w:pPr>
              <w:spacing w:before="20" w:after="20"/>
            </w:pPr>
            <w:r>
              <w:rPr>
                <w:rFonts w:ascii="Courier New" w:cs="Courier New" w:eastAsia="Courier New" w:hAnsi="Courier New"/>
                <w:color w:val="A9DFBF"/>
                <w:sz w:val="18"/>
                <w:szCs w:val="18"/>
              </w:rPr>
              <w:t xml:space="preserve">X_train["LIMIT_BAL"] = X_train["LIMIT_BAL"].clip(lower_p1, upper_p99)</w:t>
            </w:r>
          </w:p>
          <w:p>
            <w:pPr>
              <w:spacing w:before="20" w:after="20"/>
            </w:pPr>
            <w:r>
              <w:rPr>
                <w:rFonts w:ascii="Courier New" w:cs="Courier New" w:eastAsia="Courier New" w:hAnsi="Courier New"/>
                <w:color w:val="A9DFBF"/>
                <w:sz w:val="18"/>
                <w:szCs w:val="18"/>
              </w:rPr>
              <w:t xml:space="preserve">X_test["LIMIT_BAL"]  = X_test["LIMIT_BAL"].clip(lower_p1, upper_p99)</w:t>
            </w:r>
          </w:p>
        </w:tc>
      </w:tr>
    </w:tbl>
    <w:p>
      <w:pPr>
        <w:spacing w:before="0" w:after="80"/>
      </w:pPr>
    </w:p>
    <w:p>
      <w:pPr>
        <w:spacing w:before="80" w:after="80"/>
      </w:pPr>
      <w:r>
        <w:rPr>
          <w:rFonts w:ascii="Arial" w:cs="Arial" w:eastAsia="Arial" w:hAnsi="Arial"/>
          <w:b w:val="false"/>
          <w:bCs w:val="false"/>
          <w:color w:val="1A1A1A"/>
          <w:sz w:val="22"/>
          <w:szCs w:val="22"/>
        </w:rPr>
        <w:t xml:space="preserve">Applied percentile thresholds for this dataset: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80"/>
        <w:gridCol w:w="1880"/>
        <w:gridCol w:w="3400"/>
      </w:tblGrid>
      <w:tr>
        <w:tc>
          <w:tcPr>
            <w:tcW w:type="dxa" w:w="2200"/>
            <w:tcBorders>
              <w:top w:val="single" w:color="D5D8DC" w:sz="1"/>
              <w:left w:val="single" w:color="D5D8DC" w:sz="1"/>
              <w:bottom w:val="single" w:color="D5D8DC" w:sz="1"/>
              <w:right w:val="single" w:color="D5D8DC" w:sz="1"/>
            </w:tcBorders>
            <w:shd w:fill="1F3864" w:val="clear"/>
            <w:tcMar>
              <w:top w:type="dxa" w:w="90"/>
              <w:left w:type="dxa" w:w="150"/>
              <w:bottom w:type="dxa" w:w="90"/>
              <w:right w:type="dxa" w:w="100"/>
            </w:tcMar>
            <w:vAlign w:val="top"/>
          </w:tcPr>
          <w:p>
            <w:pPr>
              <w:spacing w:before="0" w:after="0"/>
              <w:jc w:val="left"/>
            </w:pPr>
            <w:r>
              <w:rPr>
                <w:rFonts w:ascii="Arial" w:cs="Arial" w:eastAsia="Arial" w:hAnsi="Arial"/>
                <w:b/>
                <w:bCs/>
                <w:color w:val="FFFFFF"/>
                <w:sz w:val="19"/>
                <w:szCs w:val="19"/>
              </w:rPr>
              <w:t xml:space="preserve">Feature Group</w:t>
            </w:r>
          </w:p>
        </w:tc>
        <w:tc>
          <w:tcPr>
            <w:tcW w:type="dxa" w:w="1880"/>
            <w:tcBorders>
              <w:top w:val="single" w:color="D5D8DC" w:sz="1"/>
              <w:left w:val="single" w:color="D5D8DC" w:sz="1"/>
              <w:bottom w:val="single" w:color="D5D8DC" w:sz="1"/>
              <w:right w:val="single" w:color="D5D8DC" w:sz="1"/>
            </w:tcBorders>
            <w:shd w:fill="1F3864" w:val="clear"/>
            <w:tcMar>
              <w:top w:type="dxa" w:w="90"/>
              <w:left w:type="dxa" w:w="150"/>
              <w:bottom w:type="dxa" w:w="90"/>
              <w:right w:type="dxa" w:w="100"/>
            </w:tcMar>
            <w:vAlign w:val="top"/>
          </w:tcPr>
          <w:p>
            <w:pPr>
              <w:spacing w:before="0" w:after="0"/>
              <w:jc w:val="left"/>
            </w:pPr>
            <w:r>
              <w:rPr>
                <w:rFonts w:ascii="Arial" w:cs="Arial" w:eastAsia="Arial" w:hAnsi="Arial"/>
                <w:b/>
                <w:bCs/>
                <w:color w:val="FFFFFF"/>
                <w:sz w:val="19"/>
                <w:szCs w:val="19"/>
              </w:rPr>
              <w:t xml:space="preserve">Lower Cap</w:t>
            </w:r>
          </w:p>
        </w:tc>
        <w:tc>
          <w:tcPr>
            <w:tcW w:type="dxa" w:w="5280"/>
            <w:tcBorders>
              <w:top w:val="single" w:color="D5D8DC" w:sz="1"/>
              <w:left w:val="single" w:color="D5D8DC" w:sz="1"/>
              <w:bottom w:val="single" w:color="D5D8DC" w:sz="1"/>
              <w:right w:val="single" w:color="D5D8DC" w:sz="1"/>
            </w:tcBorders>
            <w:shd w:fill="1F3864" w:val="clear"/>
            <w:tcMar>
              <w:top w:type="dxa" w:w="90"/>
              <w:left w:type="dxa" w:w="150"/>
              <w:bottom w:type="dxa" w:w="90"/>
              <w:right w:type="dxa" w:w="100"/>
            </w:tcMar>
            <w:vAlign w:val="top"/>
          </w:tcPr>
          <w:p>
            <w:pPr>
              <w:spacing w:before="0" w:after="0"/>
              <w:jc w:val="left"/>
            </w:pPr>
            <w:r>
              <w:rPr>
                <w:rFonts w:ascii="Arial" w:cs="Arial" w:eastAsia="Arial" w:hAnsi="Arial"/>
                <w:b/>
                <w:bCs/>
                <w:color w:val="FFFFFF"/>
                <w:sz w:val="19"/>
                <w:szCs w:val="19"/>
              </w:rPr>
              <w:t xml:space="preserve">Upper Cap</w:t>
            </w:r>
          </w:p>
        </w:tc>
      </w:tr>
      <w:tr>
        <w:tc>
          <w:tcPr>
            <w:tcW w:type="dxa" w:w="2200"/>
            <w:tcBorders>
              <w:top w:val="single" w:color="D5D8DC" w:sz="1"/>
              <w:left w:val="single" w:color="D5D8DC" w:sz="1"/>
              <w:bottom w:val="single" w:color="D5D8DC" w:sz="1"/>
              <w:right w:val="single" w:color="D5D8DC" w:sz="1"/>
            </w:tcBorders>
            <w:shd w:fill="FFFFFF" w:val="clear"/>
            <w:tcMar>
              <w:top w:type="dxa" w:w="90"/>
              <w:left w:type="dxa" w:w="150"/>
              <w:bottom w:type="dxa" w:w="90"/>
              <w:right w:type="dxa" w:w="100"/>
            </w:tcMar>
            <w:vAlign w:val="top"/>
          </w:tcPr>
          <w:p>
            <w:pPr>
              <w:spacing w:before="0" w:after="0"/>
              <w:jc w:val="left"/>
            </w:pPr>
            <w:r>
              <w:rPr>
                <w:rFonts w:ascii="Arial" w:cs="Arial" w:eastAsia="Arial" w:hAnsi="Arial"/>
                <w:b w:val="false"/>
                <w:bCs w:val="false"/>
                <w:color w:val="1A1A1A"/>
                <w:sz w:val="20"/>
                <w:szCs w:val="20"/>
              </w:rPr>
              <w:t xml:space="preserve">LIMIT_BAL</w:t>
            </w:r>
          </w:p>
        </w:tc>
        <w:tc>
          <w:tcPr>
            <w:tcW w:type="dxa" w:w="5280"/>
            <w:tcBorders>
              <w:top w:val="single" w:color="D5D8DC" w:sz="1"/>
              <w:left w:val="single" w:color="D5D8DC" w:sz="1"/>
              <w:bottom w:val="single" w:color="D5D8DC" w:sz="1"/>
              <w:right w:val="single" w:color="D5D8DC" w:sz="1"/>
            </w:tcBorders>
            <w:shd w:fill="F4F6F7" w:val="clear"/>
            <w:tcMar>
              <w:top w:type="dxa" w:w="90"/>
              <w:left w:type="dxa" w:w="150"/>
              <w:bottom w:type="dxa" w:w="90"/>
              <w:right w:type="dxa" w:w="100"/>
            </w:tcMar>
            <w:vAlign w:val="top"/>
          </w:tcPr>
          <w:p>
            <w:pPr>
              <w:spacing w:before="0" w:after="0"/>
              <w:jc w:val="left"/>
            </w:pPr>
            <w:r>
              <w:rPr>
                <w:rFonts w:ascii="Arial" w:cs="Arial" w:eastAsia="Arial" w:hAnsi="Arial"/>
                <w:b w:val="false"/>
                <w:bCs w:val="false"/>
                <w:color w:val="1A1A1A"/>
                <w:sz w:val="20"/>
                <w:szCs w:val="20"/>
              </w:rPr>
              <w:t xml:space="preserve">None (minimum is natural floor)</w:t>
            </w:r>
          </w:p>
        </w:tc>
        <w:tc>
          <w:tcPr>
            <w:tcW w:type="dxa" w:w="1880"/>
            <w:tcBorders>
              <w:top w:val="single" w:color="D5D8DC" w:sz="1"/>
              <w:left w:val="single" w:color="D5D8DC" w:sz="1"/>
              <w:bottom w:val="single" w:color="D5D8DC" w:sz="1"/>
              <w:right w:val="single" w:color="D5D8DC" w:sz="1"/>
            </w:tcBorders>
            <w:shd w:fill="FFFFFF" w:val="clear"/>
            <w:tcMar>
              <w:top w:type="dxa" w:w="90"/>
              <w:left w:type="dxa" w:w="150"/>
              <w:bottom w:type="dxa" w:w="90"/>
              <w:right w:type="dxa" w:w="100"/>
            </w:tcMar>
            <w:vAlign w:val="top"/>
          </w:tcPr>
          <w:p>
            <w:pPr>
              <w:spacing w:before="0" w:after="0"/>
              <w:jc w:val="left"/>
            </w:pPr>
            <w:r>
              <w:rPr>
                <w:rFonts w:ascii="Arial" w:cs="Arial" w:eastAsia="Arial" w:hAnsi="Arial"/>
                <w:b w:val="false"/>
                <w:bCs w:val="false"/>
                <w:color w:val="1A1A1A"/>
                <w:sz w:val="20"/>
                <w:szCs w:val="20"/>
              </w:rPr>
              <w:t xml:space="preserve">99th percentile</w:t>
            </w:r>
          </w:p>
        </w:tc>
      </w:tr>
      <w:tr>
        <w:tc>
          <w:tcPr>
            <w:tcW w:type="dxa" w:w="2200"/>
            <w:tcBorders>
              <w:top w:val="single" w:color="D5D8DC" w:sz="1"/>
              <w:left w:val="single" w:color="D5D8DC" w:sz="1"/>
              <w:bottom w:val="single" w:color="D5D8DC" w:sz="1"/>
              <w:right w:val="single" w:color="D5D8DC" w:sz="1"/>
            </w:tcBorders>
            <w:shd w:fill="FFFFFF" w:val="clear"/>
            <w:tcMar>
              <w:top w:type="dxa" w:w="90"/>
              <w:left w:type="dxa" w:w="150"/>
              <w:bottom w:type="dxa" w:w="90"/>
              <w:right w:type="dxa" w:w="100"/>
            </w:tcMar>
            <w:vAlign w:val="top"/>
          </w:tcPr>
          <w:p>
            <w:pPr>
              <w:spacing w:before="0" w:after="0"/>
              <w:jc w:val="left"/>
            </w:pPr>
            <w:r>
              <w:rPr>
                <w:rFonts w:ascii="Arial" w:cs="Arial" w:eastAsia="Arial" w:hAnsi="Arial"/>
                <w:b w:val="false"/>
                <w:bCs w:val="false"/>
                <w:color w:val="1A1A1A"/>
                <w:sz w:val="20"/>
                <w:szCs w:val="20"/>
              </w:rPr>
              <w:t xml:space="preserve">BILL_AMT1–6</w:t>
            </w:r>
          </w:p>
        </w:tc>
        <w:tc>
          <w:tcPr>
            <w:tcW w:type="dxa" w:w="5280"/>
            <w:tcBorders>
              <w:top w:val="single" w:color="D5D8DC" w:sz="1"/>
              <w:left w:val="single" w:color="D5D8DC" w:sz="1"/>
              <w:bottom w:val="single" w:color="D5D8DC" w:sz="1"/>
              <w:right w:val="single" w:color="D5D8DC" w:sz="1"/>
            </w:tcBorders>
            <w:shd w:fill="F4F6F7" w:val="clear"/>
            <w:tcMar>
              <w:top w:type="dxa" w:w="90"/>
              <w:left w:type="dxa" w:w="150"/>
              <w:bottom w:type="dxa" w:w="90"/>
              <w:right w:type="dxa" w:w="100"/>
            </w:tcMar>
            <w:vAlign w:val="top"/>
          </w:tcPr>
          <w:p>
            <w:pPr>
              <w:spacing w:before="0" w:after="0"/>
              <w:jc w:val="left"/>
            </w:pPr>
            <w:r>
              <w:rPr>
                <w:rFonts w:ascii="Arial" w:cs="Arial" w:eastAsia="Arial" w:hAnsi="Arial"/>
                <w:b w:val="false"/>
                <w:bCs w:val="false"/>
                <w:color w:val="1A1A1A"/>
                <w:sz w:val="20"/>
                <w:szCs w:val="20"/>
              </w:rPr>
              <w:t xml:space="preserve">None (negatives are valid)</w:t>
            </w:r>
          </w:p>
        </w:tc>
        <w:tc>
          <w:tcPr>
            <w:tcW w:type="dxa" w:w="1880"/>
            <w:tcBorders>
              <w:top w:val="single" w:color="D5D8DC" w:sz="1"/>
              <w:left w:val="single" w:color="D5D8DC" w:sz="1"/>
              <w:bottom w:val="single" w:color="D5D8DC" w:sz="1"/>
              <w:right w:val="single" w:color="D5D8DC" w:sz="1"/>
            </w:tcBorders>
            <w:shd w:fill="FFFFFF" w:val="clear"/>
            <w:tcMar>
              <w:top w:type="dxa" w:w="90"/>
              <w:left w:type="dxa" w:w="150"/>
              <w:bottom w:type="dxa" w:w="90"/>
              <w:right w:type="dxa" w:w="100"/>
            </w:tcMar>
            <w:vAlign w:val="top"/>
          </w:tcPr>
          <w:p>
            <w:pPr>
              <w:spacing w:before="0" w:after="0"/>
              <w:jc w:val="left"/>
            </w:pPr>
            <w:r>
              <w:rPr>
                <w:rFonts w:ascii="Arial" w:cs="Arial" w:eastAsia="Arial" w:hAnsi="Arial"/>
                <w:b w:val="false"/>
                <w:bCs w:val="false"/>
                <w:color w:val="1A1A1A"/>
                <w:sz w:val="20"/>
                <w:szCs w:val="20"/>
              </w:rPr>
              <w:t xml:space="preserve">99th percentile</w:t>
            </w:r>
          </w:p>
        </w:tc>
      </w:tr>
      <w:tr>
        <w:tc>
          <w:tcPr>
            <w:tcW w:type="dxa" w:w="2200"/>
            <w:tcBorders>
              <w:top w:val="single" w:color="D5D8DC" w:sz="1"/>
              <w:left w:val="single" w:color="D5D8DC" w:sz="1"/>
              <w:bottom w:val="single" w:color="D5D8DC" w:sz="1"/>
              <w:right w:val="single" w:color="D5D8DC" w:sz="1"/>
            </w:tcBorders>
            <w:shd w:fill="FFFFFF" w:val="clear"/>
            <w:tcMar>
              <w:top w:type="dxa" w:w="90"/>
              <w:left w:type="dxa" w:w="150"/>
              <w:bottom w:type="dxa" w:w="90"/>
              <w:right w:type="dxa" w:w="100"/>
            </w:tcMar>
            <w:vAlign w:val="top"/>
          </w:tcPr>
          <w:p>
            <w:pPr>
              <w:spacing w:before="0" w:after="0"/>
              <w:jc w:val="left"/>
            </w:pPr>
            <w:r>
              <w:rPr>
                <w:rFonts w:ascii="Arial" w:cs="Arial" w:eastAsia="Arial" w:hAnsi="Arial"/>
                <w:b w:val="false"/>
                <w:bCs w:val="false"/>
                <w:color w:val="1A1A1A"/>
                <w:sz w:val="20"/>
                <w:szCs w:val="20"/>
              </w:rPr>
              <w:t xml:space="preserve">PAY_AMT1–6</w:t>
            </w:r>
          </w:p>
        </w:tc>
        <w:tc>
          <w:tcPr>
            <w:tcW w:type="dxa" w:w="5280"/>
            <w:tcBorders>
              <w:top w:val="single" w:color="D5D8DC" w:sz="1"/>
              <w:left w:val="single" w:color="D5D8DC" w:sz="1"/>
              <w:bottom w:val="single" w:color="D5D8DC" w:sz="1"/>
              <w:right w:val="single" w:color="D5D8DC" w:sz="1"/>
            </w:tcBorders>
            <w:shd w:fill="F4F6F7" w:val="clear"/>
            <w:tcMar>
              <w:top w:type="dxa" w:w="90"/>
              <w:left w:type="dxa" w:w="150"/>
              <w:bottom w:type="dxa" w:w="90"/>
              <w:right w:type="dxa" w:w="100"/>
            </w:tcMar>
            <w:vAlign w:val="top"/>
          </w:tcPr>
          <w:p>
            <w:pPr>
              <w:spacing w:before="0" w:after="0"/>
              <w:jc w:val="left"/>
            </w:pPr>
            <w:r>
              <w:rPr>
                <w:rFonts w:ascii="Arial" w:cs="Arial" w:eastAsia="Arial" w:hAnsi="Arial"/>
                <w:b w:val="false"/>
                <w:bCs w:val="false"/>
                <w:color w:val="1A1A1A"/>
                <w:sz w:val="20"/>
                <w:szCs w:val="20"/>
              </w:rPr>
              <w:t xml:space="preserve">None (zero is valid)</w:t>
            </w:r>
          </w:p>
        </w:tc>
        <w:tc>
          <w:tcPr>
            <w:tcW w:type="dxa" w:w="1880"/>
            <w:tcBorders>
              <w:top w:val="single" w:color="D5D8DC" w:sz="1"/>
              <w:left w:val="single" w:color="D5D8DC" w:sz="1"/>
              <w:bottom w:val="single" w:color="D5D8DC" w:sz="1"/>
              <w:right w:val="single" w:color="D5D8DC" w:sz="1"/>
            </w:tcBorders>
            <w:shd w:fill="FFFFFF" w:val="clear"/>
            <w:tcMar>
              <w:top w:type="dxa" w:w="90"/>
              <w:left w:type="dxa" w:w="150"/>
              <w:bottom w:type="dxa" w:w="90"/>
              <w:right w:type="dxa" w:w="100"/>
            </w:tcMar>
            <w:vAlign w:val="top"/>
          </w:tcPr>
          <w:p>
            <w:pPr>
              <w:spacing w:before="0" w:after="0"/>
              <w:jc w:val="left"/>
            </w:pPr>
            <w:r>
              <w:rPr>
                <w:rFonts w:ascii="Arial" w:cs="Arial" w:eastAsia="Arial" w:hAnsi="Arial"/>
                <w:b w:val="false"/>
                <w:bCs w:val="false"/>
                <w:color w:val="1A1A1A"/>
                <w:sz w:val="20"/>
                <w:szCs w:val="20"/>
              </w:rPr>
              <w:t xml:space="preserve">99th percentile</w:t>
            </w:r>
          </w:p>
        </w:tc>
      </w:tr>
    </w:tbl>
    <w:p>
      <w:pPr>
        <w:spacing w:before="0" w:after="140"/>
      </w:pPr>
    </w:p>
    <w:p>
      <w:pPr>
        <w:pStyle w:val="Heading2"/>
        <w:spacing w:before="280" w:after="120"/>
      </w:pPr>
      <w:r>
        <w:rPr>
          <w:rFonts w:ascii="Arial" w:cs="Arial" w:eastAsia="Arial" w:hAnsi="Arial"/>
          <w:b/>
          <w:bCs/>
          <w:color w:val="1B6CA8"/>
          <w:sz w:val="28"/>
          <w:szCs w:val="28"/>
        </w:rPr>
        <w:t xml:space="preserve">4.3 Binning (Discretization)</w:t>
      </w:r>
    </w:p>
    <w:p>
      <w:pPr>
        <w:pStyle w:val="Heading3"/>
        <w:spacing w:before="200" w:after="80"/>
      </w:pPr>
      <w:r>
        <w:rPr>
          <w:rFonts w:ascii="Arial" w:cs="Arial" w:eastAsia="Arial" w:hAnsi="Arial"/>
          <w:b/>
          <w:bCs/>
          <w:color w:val="1F3864"/>
          <w:sz w:val="24"/>
          <w:szCs w:val="24"/>
        </w:rPr>
        <w:t xml:space="preserve">Equal-Frequency Binning</w:t>
      </w:r>
    </w:p>
    <w:p>
      <w:pPr>
        <w:spacing w:before="80" w:after="80"/>
      </w:pPr>
      <w:r>
        <w:rPr>
          <w:rFonts w:ascii="Arial" w:cs="Arial" w:eastAsia="Arial" w:hAnsi="Arial"/>
          <w:b w:val="false"/>
          <w:bCs w:val="false"/>
          <w:color w:val="1A1A1A"/>
          <w:sz w:val="22"/>
          <w:szCs w:val="22"/>
        </w:rPr>
        <w:t xml:space="preserve">Divides the feature value range into buckets each containing an equal number of observations (quantile-based). Used for credit limit segmentation (quintiles) and age banding. Appropriate when the relationship between a feature and default risk is monotonic.</w:t>
      </w:r>
    </w:p>
    <w:p>
      <w:pPr>
        <w:spacing w:before="0" w:after="80"/>
      </w:pPr>
    </w:p>
    <w:p>
      <w:pPr>
        <w:pStyle w:val="Heading3"/>
        <w:spacing w:before="200" w:after="80"/>
      </w:pPr>
      <w:r>
        <w:rPr>
          <w:rFonts w:ascii="Arial" w:cs="Arial" w:eastAsia="Arial" w:hAnsi="Arial"/>
          <w:b/>
          <w:bCs/>
          <w:color w:val="1F3864"/>
          <w:sz w:val="24"/>
          <w:szCs w:val="24"/>
        </w:rPr>
        <w:t xml:space="preserve">Fine Classing → Coarse Classing (WOE-Guided Binning)</w:t>
      </w:r>
    </w:p>
    <w:p>
      <w:pPr>
        <w:spacing w:before="80" w:after="80"/>
      </w:pPr>
      <w:r>
        <w:rPr>
          <w:rFonts w:ascii="Arial" w:cs="Arial" w:eastAsia="Arial" w:hAnsi="Arial"/>
          <w:b w:val="false"/>
          <w:bCs w:val="false"/>
          <w:color w:val="1A1A1A"/>
          <w:sz w:val="22"/>
          <w:szCs w:val="22"/>
        </w:rPr>
        <w:t xml:space="preserve">The standard approach in scorecard development. First, divide the feature into 20–30 fine bins. Compute the WOE for each bin. Then manually group adjacent bins with similar WOE values into 4–8 coarse bins. This produces a monotonic, business-interpretable discretization.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5D8DC" w:sz="1"/>
              <w:left w:val="single" w:color="D5D8DC" w:sz="1"/>
              <w:bottom w:val="single" w:color="D5D8DC" w:sz="1"/>
              <w:right w:val="single" w:color="D5D8DC" w:sz="1"/>
            </w:tcBorders>
            <w:shd w:fill="2C3E50" w:val="clear"/>
            <w:tcMar>
              <w:top w:type="dxa" w:w="120"/>
              <w:left w:type="dxa" w:w="200"/>
              <w:bottom w:type="dxa" w:w="120"/>
              <w:right w:type="dxa" w:w="160"/>
            </w:tcMar>
          </w:tcPr>
          <w:p>
            <w:pPr>
              <w:spacing w:before="20" w:after="20"/>
            </w:pPr>
            <w:r>
              <w:rPr>
                <w:rFonts w:ascii="Courier New" w:cs="Courier New" w:eastAsia="Courier New" w:hAnsi="Courier New"/>
                <w:color w:val="A9DFBF"/>
                <w:sz w:val="18"/>
                <w:szCs w:val="18"/>
              </w:rPr>
              <w:t xml:space="preserve"># Fine classing: 20 bins</w:t>
            </w:r>
          </w:p>
          <w:p>
            <w:pPr>
              <w:spacing w:before="20" w:after="20"/>
            </w:pPr>
            <w:r>
              <w:rPr>
                <w:rFonts w:ascii="Courier New" w:cs="Courier New" w:eastAsia="Courier New" w:hAnsi="Courier New"/>
                <w:color w:val="A9DFBF"/>
                <w:sz w:val="18"/>
                <w:szCs w:val="18"/>
              </w:rPr>
              <w:t xml:space="preserve"># Compute WOE per bin: WOE_i = ln(Events_i/Total_Events / Non-Events_i/Total_Non-Events)</w:t>
            </w:r>
          </w:p>
          <w:p>
            <w:pPr>
              <w:spacing w:before="20" w:after="20"/>
            </w:pPr>
            <w:r>
              <w:rPr>
                <w:rFonts w:ascii="Courier New" w:cs="Courier New" w:eastAsia="Courier New" w:hAnsi="Courier New"/>
                <w:color w:val="A9DFBF"/>
                <w:sz w:val="18"/>
                <w:szCs w:val="18"/>
              </w:rPr>
              <w:t xml:space="preserve"># Coarse classing: merge adjacent bins where |WOE_i - WOE_{i+1}| &lt; 0.05</w:t>
            </w:r>
          </w:p>
          <w:p>
            <w:pPr>
              <w:spacing w:before="20" w:after="20"/>
            </w:pPr>
            <w:r>
              <w:rPr>
                <w:rFonts w:ascii="Courier New" w:cs="Courier New" w:eastAsia="Courier New" w:hAnsi="Courier New"/>
                <w:color w:val="A9DFBF"/>
                <w:sz w:val="18"/>
                <w:szCs w:val="18"/>
              </w:rPr>
              <w:t xml:space="preserve"># Ensure monotonicity — if relationship is not monotonic after merging, investigate.</w:t>
            </w:r>
          </w:p>
        </w:tc>
      </w:tr>
    </w:tbl>
    <w:p>
      <w:pPr>
        <w:spacing w:before="0" w:after="80"/>
      </w:pPr>
    </w:p>
    <w:p>
      <w:pPr>
        <w:pStyle w:val="Heading3"/>
        <w:spacing w:before="200" w:after="80"/>
      </w:pPr>
      <w:r>
        <w:rPr>
          <w:rFonts w:ascii="Arial" w:cs="Arial" w:eastAsia="Arial" w:hAnsi="Arial"/>
          <w:b/>
          <w:bCs/>
          <w:color w:val="1F3864"/>
          <w:sz w:val="24"/>
          <w:szCs w:val="24"/>
        </w:rPr>
        <w:t xml:space="preserve">Decision Rule for Binning vs. Continuous</w:t>
      </w:r>
    </w:p>
    <w:p>
      <w:pPr>
        <w:pStyle w:val="ListParagraph"/>
        <w:numPr>
          <w:ilvl w:val="0"/>
          <w:numId w:val="2"/>
        </w:numPr>
        <w:spacing w:before="50" w:after="50"/>
      </w:pPr>
      <w:r>
        <w:rPr>
          <w:rFonts w:ascii="Arial" w:cs="Arial" w:eastAsia="Arial" w:hAnsi="Arial"/>
          <w:b w:val="false"/>
          <w:bCs w:val="false"/>
          <w:color w:val="1A1A1A"/>
          <w:sz w:val="22"/>
          <w:szCs w:val="22"/>
        </w:rPr>
        <w:t xml:space="preserve">Logistic Regression/Scorecard: Always bin then WOE-encode for interpretability and non-linearity capture</w:t>
      </w:r>
    </w:p>
    <w:p>
      <w:pPr>
        <w:pStyle w:val="ListParagraph"/>
        <w:numPr>
          <w:ilvl w:val="0"/>
          <w:numId w:val="2"/>
        </w:numPr>
        <w:spacing w:before="50" w:after="50"/>
      </w:pPr>
      <w:r>
        <w:rPr>
          <w:rFonts w:ascii="Arial" w:cs="Arial" w:eastAsia="Arial" w:hAnsi="Arial"/>
          <w:b w:val="false"/>
          <w:bCs w:val="false"/>
          <w:color w:val="1A1A1A"/>
          <w:sz w:val="22"/>
          <w:szCs w:val="22"/>
        </w:rPr>
        <w:t xml:space="preserve">XGBoost/LightGBM: Use raw or log-transformed continuous values — tree splits handle non-linearity natively</w:t>
      </w:r>
    </w:p>
    <w:p>
      <w:pPr>
        <w:pStyle w:val="ListParagraph"/>
        <w:numPr>
          <w:ilvl w:val="0"/>
          <w:numId w:val="2"/>
        </w:numPr>
        <w:spacing w:before="50" w:after="50"/>
      </w:pPr>
      <w:r>
        <w:rPr>
          <w:rFonts w:ascii="Arial" w:cs="Arial" w:eastAsia="Arial" w:hAnsi="Arial"/>
          <w:b w:val="false"/>
          <w:bCs w:val="false"/>
          <w:color w:val="1A1A1A"/>
          <w:sz w:val="22"/>
          <w:szCs w:val="22"/>
        </w:rPr>
        <w:t xml:space="preserve">Random Forest: Raw values acceptable; log transformation reduces the number of splits needed</w:t>
      </w:r>
    </w:p>
    <w:p>
      <w:pPr>
        <w:spacing w:before="0" w:after="140"/>
      </w:pPr>
    </w:p>
    <w:p>
      <w:pPr>
        <w:pStyle w:val="Heading2"/>
        <w:spacing w:before="280" w:after="120"/>
      </w:pPr>
      <w:r>
        <w:rPr>
          <w:rFonts w:ascii="Arial" w:cs="Arial" w:eastAsia="Arial" w:hAnsi="Arial"/>
          <w:b/>
          <w:bCs/>
          <w:color w:val="1B6CA8"/>
          <w:sz w:val="28"/>
          <w:szCs w:val="28"/>
        </w:rPr>
        <w:t xml:space="preserve">4.4 Weight of Evidence (WOE) Transformation</w:t>
      </w:r>
    </w:p>
    <w:p>
      <w:pPr>
        <w:spacing w:before="80" w:after="80"/>
      </w:pPr>
      <w:r>
        <w:rPr>
          <w:rFonts w:ascii="Arial" w:cs="Arial" w:eastAsia="Arial" w:hAnsi="Arial"/>
          <w:b w:val="false"/>
          <w:bCs w:val="false"/>
          <w:color w:val="1A1A1A"/>
          <w:sz w:val="22"/>
          <w:szCs w:val="22"/>
        </w:rPr>
        <w:t xml:space="preserve">WOE is the most important transformation in traditional credit scorecard development. It converts any feature type (continuous, ordinal, categorical) into a single numerical scale that is directly proportional to the log-odds of default.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5D8DC" w:sz="1"/>
              <w:left w:val="single" w:color="D5D8DC" w:sz="1"/>
              <w:bottom w:val="single" w:color="D5D8DC" w:sz="1"/>
              <w:right w:val="single" w:color="D5D8DC" w:sz="1"/>
            </w:tcBorders>
            <w:shd w:fill="2C3E50" w:val="clear"/>
            <w:tcMar>
              <w:top w:type="dxa" w:w="120"/>
              <w:left w:type="dxa" w:w="200"/>
              <w:bottom w:type="dxa" w:w="120"/>
              <w:right w:type="dxa" w:w="160"/>
            </w:tcMar>
          </w:tcPr>
          <w:p>
            <w:pPr>
              <w:spacing w:before="20" w:after="20"/>
            </w:pPr>
            <w:r>
              <w:rPr>
                <w:rFonts w:ascii="Courier New" w:cs="Courier New" w:eastAsia="Courier New" w:hAnsi="Courier New"/>
                <w:color w:val="A9DFBF"/>
                <w:sz w:val="18"/>
                <w:szCs w:val="18"/>
              </w:rPr>
              <w:t xml:space="preserve">WOE_i = ln( (Events_i / Total_Events) / (Non_Events_i / Total_Non_Events) )</w:t>
            </w:r>
          </w:p>
          <w:p>
            <w:pPr>
              <w:spacing w:before="20" w:after="20"/>
            </w:pPr>
            <w:r>
              <w:rPr>
                <w:rFonts w:ascii="Courier New" w:cs="Courier New" w:eastAsia="Courier New" w:hAnsi="Courier New"/>
                <w:color w:val="A9DFBF"/>
                <w:sz w:val="18"/>
                <w:szCs w:val="18"/>
              </w:rPr>
              <w:t xml:space="preserve"/>
            </w:r>
          </w:p>
          <w:p>
            <w:pPr>
              <w:spacing w:before="20" w:after="20"/>
            </w:pPr>
            <w:r>
              <w:rPr>
                <w:rFonts w:ascii="Courier New" w:cs="Courier New" w:eastAsia="Courier New" w:hAnsi="Courier New"/>
                <w:color w:val="A9DFBF"/>
                <w:sz w:val="18"/>
                <w:szCs w:val="18"/>
              </w:rPr>
              <w:t xml:space="preserve">Where:</w:t>
            </w:r>
          </w:p>
          <w:p>
            <w:pPr>
              <w:spacing w:before="20" w:after="20"/>
            </w:pPr>
            <w:r>
              <w:rPr>
                <w:rFonts w:ascii="Courier New" w:cs="Courier New" w:eastAsia="Courier New" w:hAnsi="Courier New"/>
                <w:color w:val="A9DFBF"/>
                <w:sz w:val="18"/>
                <w:szCs w:val="18"/>
              </w:rPr>
              <w:t xml:space="preserve">  Events     = number of defaults in bin i</w:t>
            </w:r>
          </w:p>
          <w:p>
            <w:pPr>
              <w:spacing w:before="20" w:after="20"/>
            </w:pPr>
            <w:r>
              <w:rPr>
                <w:rFonts w:ascii="Courier New" w:cs="Courier New" w:eastAsia="Courier New" w:hAnsi="Courier New"/>
                <w:color w:val="A9DFBF"/>
                <w:sz w:val="18"/>
                <w:szCs w:val="18"/>
              </w:rPr>
              <w:t xml:space="preserve">  Non-Events = number of non-defaults in bin i</w:t>
            </w:r>
          </w:p>
          <w:p>
            <w:pPr>
              <w:spacing w:before="20" w:after="20"/>
            </w:pPr>
            <w:r>
              <w:rPr>
                <w:rFonts w:ascii="Courier New" w:cs="Courier New" w:eastAsia="Courier New" w:hAnsi="Courier New"/>
                <w:color w:val="A9DFBF"/>
                <w:sz w:val="18"/>
                <w:szCs w:val="18"/>
              </w:rPr>
              <w:t xml:space="preserve"/>
            </w:r>
          </w:p>
          <w:p>
            <w:pPr>
              <w:spacing w:before="20" w:after="20"/>
            </w:pPr>
            <w:r>
              <w:rPr>
                <w:rFonts w:ascii="Courier New" w:cs="Courier New" w:eastAsia="Courier New" w:hAnsi="Courier New"/>
                <w:color w:val="A9DFBF"/>
                <w:sz w:val="18"/>
                <w:szCs w:val="18"/>
              </w:rPr>
              <w:t xml:space="preserve">Properties:</w:t>
            </w:r>
          </w:p>
          <w:p>
            <w:pPr>
              <w:spacing w:before="20" w:after="20"/>
            </w:pPr>
            <w:r>
              <w:rPr>
                <w:rFonts w:ascii="Courier New" w:cs="Courier New" w:eastAsia="Courier New" w:hAnsi="Courier New"/>
                <w:color w:val="A9DFBF"/>
                <w:sz w:val="18"/>
                <w:szCs w:val="18"/>
              </w:rPr>
              <w:t xml:space="preserve">  WOE &gt; 0  : bin has higher proportion of defaults than overall rate</w:t>
            </w:r>
          </w:p>
          <w:p>
            <w:pPr>
              <w:spacing w:before="20" w:after="20"/>
            </w:pPr>
            <w:r>
              <w:rPr>
                <w:rFonts w:ascii="Courier New" w:cs="Courier New" w:eastAsia="Courier New" w:hAnsi="Courier New"/>
                <w:color w:val="A9DFBF"/>
                <w:sz w:val="18"/>
                <w:szCs w:val="18"/>
              </w:rPr>
              <w:t xml:space="preserve">  WOE &lt; 0  : bin has lower proportion of defaults than overall rate</w:t>
            </w:r>
          </w:p>
          <w:p>
            <w:pPr>
              <w:spacing w:before="20" w:after="20"/>
            </w:pPr>
            <w:r>
              <w:rPr>
                <w:rFonts w:ascii="Courier New" w:cs="Courier New" w:eastAsia="Courier New" w:hAnsi="Courier New"/>
                <w:color w:val="A9DFBF"/>
                <w:sz w:val="18"/>
                <w:szCs w:val="18"/>
              </w:rPr>
              <w:t xml:space="preserve">  WOE = 0  : bin default rate equals overall portfolio rate</w:t>
            </w:r>
          </w:p>
          <w:p>
            <w:pPr>
              <w:spacing w:before="20" w:after="20"/>
            </w:pPr>
            <w:r>
              <w:rPr>
                <w:rFonts w:ascii="Courier New" w:cs="Courier New" w:eastAsia="Courier New" w:hAnsi="Courier New"/>
                <w:color w:val="A9DFBF"/>
                <w:sz w:val="18"/>
                <w:szCs w:val="18"/>
              </w:rPr>
              <w:t xml:space="preserve"/>
            </w:r>
          </w:p>
          <w:p>
            <w:pPr>
              <w:spacing w:before="20" w:after="20"/>
            </w:pPr>
            <w:r>
              <w:rPr>
                <w:rFonts w:ascii="Courier New" w:cs="Courier New" w:eastAsia="Courier New" w:hAnsi="Courier New"/>
                <w:color w:val="A9DFBF"/>
                <w:sz w:val="18"/>
                <w:szCs w:val="18"/>
              </w:rPr>
              <w:t xml:space="preserve">Information Value (IV) for feature:</w:t>
            </w:r>
          </w:p>
          <w:p>
            <w:pPr>
              <w:spacing w:before="20" w:after="20"/>
            </w:pPr>
            <w:r>
              <w:rPr>
                <w:rFonts w:ascii="Courier New" w:cs="Courier New" w:eastAsia="Courier New" w:hAnsi="Courier New"/>
                <w:color w:val="A9DFBF"/>
                <w:sz w:val="18"/>
                <w:szCs w:val="18"/>
              </w:rPr>
              <w:t xml:space="preserve">  IV = sum_i [ (Events_i/Total_Events - Non_Events_i/Total_Non_Events) * WOE_i ]</w:t>
            </w:r>
          </w:p>
          <w:p>
            <w:pPr>
              <w:spacing w:before="20" w:after="20"/>
            </w:pPr>
            <w:r>
              <w:rPr>
                <w:rFonts w:ascii="Courier New" w:cs="Courier New" w:eastAsia="Courier New" w:hAnsi="Courier New"/>
                <w:color w:val="A9DFBF"/>
                <w:sz w:val="18"/>
                <w:szCs w:val="18"/>
              </w:rPr>
              <w:t xml:space="preserve"/>
            </w:r>
          </w:p>
          <w:p>
            <w:pPr>
              <w:spacing w:before="20" w:after="20"/>
            </w:pPr>
            <w:r>
              <w:rPr>
                <w:rFonts w:ascii="Courier New" w:cs="Courier New" w:eastAsia="Courier New" w:hAnsi="Courier New"/>
                <w:color w:val="A9DFBF"/>
                <w:sz w:val="18"/>
                <w:szCs w:val="18"/>
              </w:rPr>
              <w:t xml:space="preserve">IV Interpretation:</w:t>
            </w:r>
          </w:p>
          <w:p>
            <w:pPr>
              <w:spacing w:before="20" w:after="20"/>
            </w:pPr>
            <w:r>
              <w:rPr>
                <w:rFonts w:ascii="Courier New" w:cs="Courier New" w:eastAsia="Courier New" w:hAnsi="Courier New"/>
                <w:color w:val="A9DFBF"/>
                <w:sz w:val="18"/>
                <w:szCs w:val="18"/>
              </w:rPr>
              <w:t xml:space="preserve">  IV &lt; 0.02 : Useless</w:t>
            </w:r>
          </w:p>
          <w:p>
            <w:pPr>
              <w:spacing w:before="20" w:after="20"/>
            </w:pPr>
            <w:r>
              <w:rPr>
                <w:rFonts w:ascii="Courier New" w:cs="Courier New" w:eastAsia="Courier New" w:hAnsi="Courier New"/>
                <w:color w:val="A9DFBF"/>
                <w:sz w:val="18"/>
                <w:szCs w:val="18"/>
              </w:rPr>
              <w:t xml:space="preserve">  0.02-0.10 : Weak</w:t>
            </w:r>
          </w:p>
          <w:p>
            <w:pPr>
              <w:spacing w:before="20" w:after="20"/>
            </w:pPr>
            <w:r>
              <w:rPr>
                <w:rFonts w:ascii="Courier New" w:cs="Courier New" w:eastAsia="Courier New" w:hAnsi="Courier New"/>
                <w:color w:val="A9DFBF"/>
                <w:sz w:val="18"/>
                <w:szCs w:val="18"/>
              </w:rPr>
              <w:t xml:space="preserve">  0.10-0.30 : Medium</w:t>
            </w:r>
          </w:p>
          <w:p>
            <w:pPr>
              <w:spacing w:before="20" w:after="20"/>
            </w:pPr>
            <w:r>
              <w:rPr>
                <w:rFonts w:ascii="Courier New" w:cs="Courier New" w:eastAsia="Courier New" w:hAnsi="Courier New"/>
                <w:color w:val="A9DFBF"/>
                <w:sz w:val="18"/>
                <w:szCs w:val="18"/>
              </w:rPr>
              <w:t xml:space="preserve">  0.30-0.50 : Strong</w:t>
            </w:r>
          </w:p>
          <w:p>
            <w:pPr>
              <w:spacing w:before="20" w:after="20"/>
            </w:pPr>
            <w:r>
              <w:rPr>
                <w:rFonts w:ascii="Courier New" w:cs="Courier New" w:eastAsia="Courier New" w:hAnsi="Courier New"/>
                <w:color w:val="A9DFBF"/>
                <w:sz w:val="18"/>
                <w:szCs w:val="18"/>
              </w:rPr>
              <w:t xml:space="preserve">  &gt; 0.50    : Suspicious — verify for leakage</w:t>
            </w:r>
          </w:p>
        </w:tc>
      </w:tr>
    </w:tbl>
    <w:p>
      <w:pPr>
        <w:spacing w:before="0" w:after="80"/>
      </w:pPr>
    </w:p>
    <w:p>
      <w:pPr>
        <w:spacing w:before="80" w:after="80"/>
      </w:pPr>
      <w:r>
        <w:rPr>
          <w:rFonts w:ascii="Arial" w:cs="Arial" w:eastAsia="Arial" w:hAnsi="Arial"/>
          <w:b w:val="false"/>
          <w:bCs w:val="false"/>
          <w:color w:val="1A1A1A"/>
          <w:sz w:val="22"/>
          <w:szCs w:val="22"/>
        </w:rPr>
        <w:t xml:space="preserve">WOE transformation is the bridge between EDA and scorecard development. When a binned feature is WOE-encoded, Logistic Regression becomes equivalent to an additive scorecard where each bin contributes a risk score proportional to its log-odds. This is the mathematical foundation of the Basel II Internal Ratings-Based (IRB) approach.</w:t>
      </w:r>
    </w:p>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80"/>
        <w:gridCol w:w="8080"/>
      </w:tblGrid>
      <w:tr>
        <w:tc>
          <w:tcPr>
            <w:tcW w:type="dxa" w:w="1280"/>
            <w:tcBorders>
              <w:top w:val="single" w:color="D5D8DC" w:sz="1"/>
              <w:left w:val="single" w:color="D5D8DC" w:sz="1"/>
              <w:bottom w:val="single" w:color="D5D8DC" w:sz="1"/>
              <w:right w:val="single" w:color="D5D8DC" w:sz="1"/>
            </w:tcBorders>
            <w:shd w:fill="1A7A4A" w:val="clear"/>
            <w:tcMar>
              <w:top w:type="dxa" w:w="100"/>
              <w:left w:type="dxa" w:w="120"/>
              <w:bottom w:type="dxa" w:w="100"/>
              <w:right w:type="dxa" w:w="80"/>
            </w:tcMar>
            <w:vAlign w:val="center"/>
          </w:tcPr>
          <w:p>
            <w:pPr>
              <w:jc w:val="center"/>
            </w:pPr>
            <w:r>
              <w:rPr>
                <w:rFonts w:ascii="Arial" w:cs="Arial" w:eastAsia="Arial" w:hAnsi="Arial"/>
                <w:b/>
                <w:bCs/>
                <w:color w:val="FFFFFF"/>
                <w:sz w:val="17"/>
                <w:szCs w:val="17"/>
              </w:rPr>
              <w:t xml:space="preserve">PRINCIPLE</w:t>
            </w:r>
          </w:p>
        </w:tc>
        <w:tc>
          <w:tcPr>
            <w:tcW w:type="dxa" w:w="8080"/>
            <w:tcBorders>
              <w:top w:val="single" w:color="D5D8DC" w:sz="1"/>
              <w:left w:val="single" w:color="D5D8DC" w:sz="1"/>
              <w:bottom w:val="single" w:color="D5D8DC" w:sz="1"/>
              <w:right w:val="single" w:color="D5D8DC" w:sz="1"/>
            </w:tcBorders>
            <w:shd w:fill="E8F8F5" w:val="clear"/>
            <w:tcMar>
              <w:top w:type="dxa" w:w="100"/>
              <w:left w:type="dxa" w:w="160"/>
              <w:bottom w:type="dxa" w:w="100"/>
              <w:right w:type="dxa" w:w="120"/>
            </w:tcMar>
          </w:tcPr>
          <w:p>
            <w:r>
              <w:rPr>
                <w:rFonts w:ascii="Arial" w:cs="Arial" w:eastAsia="Arial" w:hAnsi="Arial"/>
                <w:color w:val="2C3E50"/>
                <w:sz w:val="20"/>
                <w:szCs w:val="20"/>
              </w:rPr>
              <w:t xml:space="preserve">Always compute WOE bins on the training set only. Apply the bins (with corresponding WOE values) to the validation and test sets as a lookup transformation. Recomputing WOE on the full dataset constitutes target leakage.</w:t>
            </w:r>
          </w:p>
        </w:tc>
      </w:tr>
    </w:tbl>
    <w:p>
      <w:pPr>
        <w:spacing w:before="0" w:after="80"/>
      </w:pPr>
    </w:p>
    <w:p>
      <w:pPr>
        <w:pStyle w:val="Heading3"/>
        <w:spacing w:before="200" w:after="80"/>
      </w:pPr>
      <w:r>
        <w:rPr>
          <w:rFonts w:ascii="Arial" w:cs="Arial" w:eastAsia="Arial" w:hAnsi="Arial"/>
          <w:b/>
          <w:bCs/>
          <w:color w:val="1F3864"/>
          <w:sz w:val="24"/>
          <w:szCs w:val="24"/>
        </w:rPr>
        <w:t xml:space="preserve">Expected IV Values for This Dataset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80"/>
        <w:gridCol w:w="1880"/>
        <w:gridCol w:w="3200"/>
      </w:tblGrid>
      <w:tr>
        <w:tc>
          <w:tcPr>
            <w:tcW w:type="dxa" w:w="2400"/>
            <w:tcBorders>
              <w:top w:val="single" w:color="D5D8DC" w:sz="1"/>
              <w:left w:val="single" w:color="D5D8DC" w:sz="1"/>
              <w:bottom w:val="single" w:color="D5D8DC" w:sz="1"/>
              <w:right w:val="single" w:color="D5D8DC" w:sz="1"/>
            </w:tcBorders>
            <w:shd w:fill="1F3864" w:val="clear"/>
            <w:tcMar>
              <w:top w:type="dxa" w:w="90"/>
              <w:left w:type="dxa" w:w="150"/>
              <w:bottom w:type="dxa" w:w="90"/>
              <w:right w:type="dxa" w:w="100"/>
            </w:tcMar>
            <w:vAlign w:val="top"/>
          </w:tcPr>
          <w:p>
            <w:pPr>
              <w:spacing w:before="0" w:after="0"/>
              <w:jc w:val="left"/>
            </w:pPr>
            <w:r>
              <w:rPr>
                <w:rFonts w:ascii="Arial" w:cs="Arial" w:eastAsia="Arial" w:hAnsi="Arial"/>
                <w:b/>
                <w:bCs/>
                <w:color w:val="FFFFFF"/>
                <w:sz w:val="19"/>
                <w:szCs w:val="19"/>
              </w:rPr>
              <w:t xml:space="preserve">Feature</w:t>
            </w:r>
          </w:p>
        </w:tc>
        <w:tc>
          <w:tcPr>
            <w:tcW w:type="dxa" w:w="1880"/>
            <w:tcBorders>
              <w:top w:val="single" w:color="D5D8DC" w:sz="1"/>
              <w:left w:val="single" w:color="D5D8DC" w:sz="1"/>
              <w:bottom w:val="single" w:color="D5D8DC" w:sz="1"/>
              <w:right w:val="single" w:color="D5D8DC" w:sz="1"/>
            </w:tcBorders>
            <w:shd w:fill="1F3864" w:val="clear"/>
            <w:tcMar>
              <w:top w:type="dxa" w:w="90"/>
              <w:left w:type="dxa" w:w="150"/>
              <w:bottom w:type="dxa" w:w="90"/>
              <w:right w:type="dxa" w:w="100"/>
            </w:tcMar>
            <w:vAlign w:val="top"/>
          </w:tcPr>
          <w:p>
            <w:pPr>
              <w:spacing w:before="0" w:after="0"/>
              <w:jc w:val="left"/>
            </w:pPr>
            <w:r>
              <w:rPr>
                <w:rFonts w:ascii="Arial" w:cs="Arial" w:eastAsia="Arial" w:hAnsi="Arial"/>
                <w:b/>
                <w:bCs/>
                <w:color w:val="FFFFFF"/>
                <w:sz w:val="19"/>
                <w:szCs w:val="19"/>
              </w:rPr>
              <w:t xml:space="preserve">Expected IV Range</w:t>
            </w:r>
          </w:p>
        </w:tc>
        <w:tc>
          <w:tcPr>
            <w:tcW w:type="dxa" w:w="1880"/>
            <w:tcBorders>
              <w:top w:val="single" w:color="D5D8DC" w:sz="1"/>
              <w:left w:val="single" w:color="D5D8DC" w:sz="1"/>
              <w:bottom w:val="single" w:color="D5D8DC" w:sz="1"/>
              <w:right w:val="single" w:color="D5D8DC" w:sz="1"/>
            </w:tcBorders>
            <w:shd w:fill="1F3864" w:val="clear"/>
            <w:tcMar>
              <w:top w:type="dxa" w:w="90"/>
              <w:left w:type="dxa" w:w="150"/>
              <w:bottom w:type="dxa" w:w="90"/>
              <w:right w:type="dxa" w:w="100"/>
            </w:tcMar>
            <w:vAlign w:val="top"/>
          </w:tcPr>
          <w:p>
            <w:pPr>
              <w:spacing w:before="0" w:after="0"/>
              <w:jc w:val="left"/>
            </w:pPr>
            <w:r>
              <w:rPr>
                <w:rFonts w:ascii="Arial" w:cs="Arial" w:eastAsia="Arial" w:hAnsi="Arial"/>
                <w:b/>
                <w:bCs/>
                <w:color w:val="FFFFFF"/>
                <w:sz w:val="19"/>
                <w:szCs w:val="19"/>
              </w:rPr>
              <w:t xml:space="preserve">Predictive Class</w:t>
            </w:r>
          </w:p>
        </w:tc>
        <w:tc>
          <w:tcPr>
            <w:tcW w:type="dxa" w:w="3200"/>
            <w:tcBorders>
              <w:top w:val="single" w:color="D5D8DC" w:sz="1"/>
              <w:left w:val="single" w:color="D5D8DC" w:sz="1"/>
              <w:bottom w:val="single" w:color="D5D8DC" w:sz="1"/>
              <w:right w:val="single" w:color="D5D8DC" w:sz="1"/>
            </w:tcBorders>
            <w:shd w:fill="1F3864" w:val="clear"/>
            <w:tcMar>
              <w:top w:type="dxa" w:w="90"/>
              <w:left w:type="dxa" w:w="150"/>
              <w:bottom w:type="dxa" w:w="90"/>
              <w:right w:type="dxa" w:w="100"/>
            </w:tcMar>
            <w:vAlign w:val="top"/>
          </w:tcPr>
          <w:p>
            <w:pPr>
              <w:spacing w:before="0" w:after="0"/>
              <w:jc w:val="left"/>
            </w:pPr>
            <w:r>
              <w:rPr>
                <w:rFonts w:ascii="Arial" w:cs="Arial" w:eastAsia="Arial" w:hAnsi="Arial"/>
                <w:b/>
                <w:bCs/>
                <w:color w:val="FFFFFF"/>
                <w:sz w:val="19"/>
                <w:szCs w:val="19"/>
              </w:rPr>
              <w:t xml:space="preserve">Notes</w:t>
            </w:r>
          </w:p>
        </w:tc>
      </w:tr>
      <w:tr>
        <w:tc>
          <w:tcPr>
            <w:tcW w:type="dxa" w:w="2400"/>
            <w:tcBorders>
              <w:top w:val="single" w:color="D5D8DC" w:sz="1"/>
              <w:left w:val="single" w:color="D5D8DC" w:sz="1"/>
              <w:bottom w:val="single" w:color="D5D8DC" w:sz="1"/>
              <w:right w:val="single" w:color="D5D8DC" w:sz="1"/>
            </w:tcBorders>
            <w:shd w:fill="FFFFFF" w:val="clear"/>
            <w:tcMar>
              <w:top w:type="dxa" w:w="90"/>
              <w:left w:type="dxa" w:w="150"/>
              <w:bottom w:type="dxa" w:w="90"/>
              <w:right w:type="dxa" w:w="100"/>
            </w:tcMar>
            <w:vAlign w:val="top"/>
          </w:tcPr>
          <w:p>
            <w:pPr>
              <w:spacing w:before="0" w:after="0"/>
              <w:jc w:val="left"/>
            </w:pPr>
            <w:r>
              <w:rPr>
                <w:rFonts w:ascii="Arial" w:cs="Arial" w:eastAsia="Arial" w:hAnsi="Arial"/>
                <w:b w:val="false"/>
                <w:bCs w:val="false"/>
                <w:color w:val="1A1A1A"/>
                <w:sz w:val="20"/>
                <w:szCs w:val="20"/>
              </w:rPr>
              <w:t xml:space="preserve">PAY_0</w:t>
            </w:r>
          </w:p>
        </w:tc>
        <w:tc>
          <w:tcPr>
            <w:tcW w:type="dxa" w:w="1880"/>
            <w:tcBorders>
              <w:top w:val="single" w:color="D5D8DC" w:sz="1"/>
              <w:left w:val="single" w:color="D5D8DC" w:sz="1"/>
              <w:bottom w:val="single" w:color="D5D8DC" w:sz="1"/>
              <w:right w:val="single" w:color="D5D8DC" w:sz="1"/>
            </w:tcBorders>
            <w:shd w:fill="F4F6F7" w:val="clear"/>
            <w:tcMar>
              <w:top w:type="dxa" w:w="90"/>
              <w:left w:type="dxa" w:w="150"/>
              <w:bottom w:type="dxa" w:w="90"/>
              <w:right w:type="dxa" w:w="100"/>
            </w:tcMar>
            <w:vAlign w:val="top"/>
          </w:tcPr>
          <w:p>
            <w:pPr>
              <w:spacing w:before="0" w:after="0"/>
              <w:jc w:val="left"/>
            </w:pPr>
            <w:r>
              <w:rPr>
                <w:rFonts w:ascii="Arial" w:cs="Arial" w:eastAsia="Arial" w:hAnsi="Arial"/>
                <w:b w:val="false"/>
                <w:bCs w:val="false"/>
                <w:color w:val="1A1A1A"/>
                <w:sz w:val="20"/>
                <w:szCs w:val="20"/>
              </w:rPr>
              <w:t xml:space="preserve">0.50–0.80</w:t>
            </w:r>
          </w:p>
        </w:tc>
        <w:tc>
          <w:tcPr>
            <w:tcW w:type="dxa" w:w="1880"/>
            <w:tcBorders>
              <w:top w:val="single" w:color="D5D8DC" w:sz="1"/>
              <w:left w:val="single" w:color="D5D8DC" w:sz="1"/>
              <w:bottom w:val="single" w:color="D5D8DC" w:sz="1"/>
              <w:right w:val="single" w:color="D5D8DC" w:sz="1"/>
            </w:tcBorders>
            <w:shd w:fill="1A7A4A" w:val="clear"/>
            <w:tcMar>
              <w:top w:type="dxa" w:w="90"/>
              <w:left w:type="dxa" w:w="150"/>
              <w:bottom w:type="dxa" w:w="90"/>
              <w:right w:type="dxa" w:w="100"/>
            </w:tcMar>
            <w:vAlign w:val="top"/>
          </w:tcPr>
          <w:p>
            <w:pPr>
              <w:spacing w:before="0" w:after="0"/>
              <w:jc w:val="left"/>
            </w:pPr>
            <w:r>
              <w:rPr>
                <w:rFonts w:ascii="Arial" w:cs="Arial" w:eastAsia="Arial" w:hAnsi="Arial"/>
                <w:b/>
                <w:bCs/>
                <w:color w:val="FFFFFF"/>
                <w:sz w:val="20"/>
                <w:szCs w:val="20"/>
              </w:rPr>
              <w:t xml:space="preserve">Very Strong</w:t>
            </w:r>
          </w:p>
        </w:tc>
        <w:tc>
          <w:tcPr>
            <w:tcW w:type="dxa" w:w="3200"/>
            <w:tcBorders>
              <w:top w:val="single" w:color="D5D8DC" w:sz="1"/>
              <w:left w:val="single" w:color="D5D8DC" w:sz="1"/>
              <w:bottom w:val="single" w:color="D5D8DC" w:sz="1"/>
              <w:right w:val="single" w:color="D5D8DC" w:sz="1"/>
            </w:tcBorders>
            <w:shd w:fill="FFFFFF" w:val="clear"/>
            <w:tcMar>
              <w:top w:type="dxa" w:w="90"/>
              <w:left w:type="dxa" w:w="150"/>
              <w:bottom w:type="dxa" w:w="90"/>
              <w:right w:type="dxa" w:w="100"/>
            </w:tcMar>
            <w:vAlign w:val="top"/>
          </w:tcPr>
          <w:p>
            <w:pPr>
              <w:spacing w:before="0" w:after="0"/>
              <w:jc w:val="left"/>
            </w:pPr>
            <w:r>
              <w:rPr>
                <w:rFonts w:ascii="Arial" w:cs="Arial" w:eastAsia="Arial" w:hAnsi="Arial"/>
                <w:b w:val="false"/>
                <w:bCs w:val="false"/>
                <w:color w:val="1A1A1A"/>
                <w:sz w:val="20"/>
                <w:szCs w:val="20"/>
              </w:rPr>
              <w:t xml:space="preserve">Strongest single feature. Verify no leakage from post-origination bank actions.</w:t>
            </w:r>
          </w:p>
        </w:tc>
      </w:tr>
      <w:tr>
        <w:tc>
          <w:tcPr>
            <w:tcW w:type="dxa" w:w="2400"/>
            <w:tcBorders>
              <w:top w:val="single" w:color="D5D8DC" w:sz="1"/>
              <w:left w:val="single" w:color="D5D8DC" w:sz="1"/>
              <w:bottom w:val="single" w:color="D5D8DC" w:sz="1"/>
              <w:right w:val="single" w:color="D5D8DC" w:sz="1"/>
            </w:tcBorders>
            <w:shd w:fill="FFFFFF" w:val="clear"/>
            <w:tcMar>
              <w:top w:type="dxa" w:w="90"/>
              <w:left w:type="dxa" w:w="150"/>
              <w:bottom w:type="dxa" w:w="90"/>
              <w:right w:type="dxa" w:w="100"/>
            </w:tcMar>
            <w:vAlign w:val="top"/>
          </w:tcPr>
          <w:p>
            <w:pPr>
              <w:spacing w:before="0" w:after="0"/>
              <w:jc w:val="left"/>
            </w:pPr>
            <w:r>
              <w:rPr>
                <w:rFonts w:ascii="Arial" w:cs="Arial" w:eastAsia="Arial" w:hAnsi="Arial"/>
                <w:b w:val="false"/>
                <w:bCs w:val="false"/>
                <w:color w:val="1A1A1A"/>
                <w:sz w:val="20"/>
                <w:szCs w:val="20"/>
              </w:rPr>
              <w:t xml:space="preserve">MAX_DELAY</w:t>
            </w:r>
          </w:p>
        </w:tc>
        <w:tc>
          <w:tcPr>
            <w:tcW w:type="dxa" w:w="1880"/>
            <w:tcBorders>
              <w:top w:val="single" w:color="D5D8DC" w:sz="1"/>
              <w:left w:val="single" w:color="D5D8DC" w:sz="1"/>
              <w:bottom w:val="single" w:color="D5D8DC" w:sz="1"/>
              <w:right w:val="single" w:color="D5D8DC" w:sz="1"/>
            </w:tcBorders>
            <w:shd w:fill="F4F6F7" w:val="clear"/>
            <w:tcMar>
              <w:top w:type="dxa" w:w="90"/>
              <w:left w:type="dxa" w:w="150"/>
              <w:bottom w:type="dxa" w:w="90"/>
              <w:right w:type="dxa" w:w="100"/>
            </w:tcMar>
            <w:vAlign w:val="top"/>
          </w:tcPr>
          <w:p>
            <w:pPr>
              <w:spacing w:before="0" w:after="0"/>
              <w:jc w:val="left"/>
            </w:pPr>
            <w:r>
              <w:rPr>
                <w:rFonts w:ascii="Arial" w:cs="Arial" w:eastAsia="Arial" w:hAnsi="Arial"/>
                <w:b w:val="false"/>
                <w:bCs w:val="false"/>
                <w:color w:val="1A1A1A"/>
                <w:sz w:val="20"/>
                <w:szCs w:val="20"/>
              </w:rPr>
              <w:t xml:space="preserve">0.45–0.75</w:t>
            </w:r>
          </w:p>
        </w:tc>
        <w:tc>
          <w:tcPr>
            <w:tcW w:type="dxa" w:w="1880"/>
            <w:tcBorders>
              <w:top w:val="single" w:color="D5D8DC" w:sz="1"/>
              <w:left w:val="single" w:color="D5D8DC" w:sz="1"/>
              <w:bottom w:val="single" w:color="D5D8DC" w:sz="1"/>
              <w:right w:val="single" w:color="D5D8DC" w:sz="1"/>
            </w:tcBorders>
            <w:shd w:fill="1A7A4A" w:val="clear"/>
            <w:tcMar>
              <w:top w:type="dxa" w:w="90"/>
              <w:left w:type="dxa" w:w="150"/>
              <w:bottom w:type="dxa" w:w="90"/>
              <w:right w:type="dxa" w:w="100"/>
            </w:tcMar>
            <w:vAlign w:val="top"/>
          </w:tcPr>
          <w:p>
            <w:pPr>
              <w:spacing w:before="0" w:after="0"/>
              <w:jc w:val="left"/>
            </w:pPr>
            <w:r>
              <w:rPr>
                <w:rFonts w:ascii="Arial" w:cs="Arial" w:eastAsia="Arial" w:hAnsi="Arial"/>
                <w:b/>
                <w:bCs/>
                <w:color w:val="FFFFFF"/>
                <w:sz w:val="20"/>
                <w:szCs w:val="20"/>
              </w:rPr>
              <w:t xml:space="preserve">Very Strong</w:t>
            </w:r>
          </w:p>
        </w:tc>
        <w:tc>
          <w:tcPr>
            <w:tcW w:type="dxa" w:w="3200"/>
            <w:tcBorders>
              <w:top w:val="single" w:color="D5D8DC" w:sz="1"/>
              <w:left w:val="single" w:color="D5D8DC" w:sz="1"/>
              <w:bottom w:val="single" w:color="D5D8DC" w:sz="1"/>
              <w:right w:val="single" w:color="D5D8DC" w:sz="1"/>
            </w:tcBorders>
            <w:shd w:fill="FFFFFF" w:val="clear"/>
            <w:tcMar>
              <w:top w:type="dxa" w:w="90"/>
              <w:left w:type="dxa" w:w="150"/>
              <w:bottom w:type="dxa" w:w="90"/>
              <w:right w:type="dxa" w:w="100"/>
            </w:tcMar>
            <w:vAlign w:val="top"/>
          </w:tcPr>
          <w:p>
            <w:pPr>
              <w:spacing w:before="0" w:after="0"/>
              <w:jc w:val="left"/>
            </w:pPr>
            <w:r>
              <w:rPr>
                <w:rFonts w:ascii="Arial" w:cs="Arial" w:eastAsia="Arial" w:hAnsi="Arial"/>
                <w:b w:val="false"/>
                <w:bCs w:val="false"/>
                <w:color w:val="1A1A1A"/>
                <w:sz w:val="20"/>
                <w:szCs w:val="20"/>
              </w:rPr>
              <w:t xml:space="preserve">Engineered from PAY vars. Naturally high IV.</w:t>
            </w:r>
          </w:p>
        </w:tc>
      </w:tr>
      <w:tr>
        <w:tc>
          <w:tcPr>
            <w:tcW w:type="dxa" w:w="2400"/>
            <w:tcBorders>
              <w:top w:val="single" w:color="D5D8DC" w:sz="1"/>
              <w:left w:val="single" w:color="D5D8DC" w:sz="1"/>
              <w:bottom w:val="single" w:color="D5D8DC" w:sz="1"/>
              <w:right w:val="single" w:color="D5D8DC" w:sz="1"/>
            </w:tcBorders>
            <w:shd w:fill="FFFFFF" w:val="clear"/>
            <w:tcMar>
              <w:top w:type="dxa" w:w="90"/>
              <w:left w:type="dxa" w:w="150"/>
              <w:bottom w:type="dxa" w:w="90"/>
              <w:right w:type="dxa" w:w="100"/>
            </w:tcMar>
            <w:vAlign w:val="top"/>
          </w:tcPr>
          <w:p>
            <w:pPr>
              <w:spacing w:before="0" w:after="0"/>
              <w:jc w:val="left"/>
            </w:pPr>
            <w:r>
              <w:rPr>
                <w:rFonts w:ascii="Arial" w:cs="Arial" w:eastAsia="Arial" w:hAnsi="Arial"/>
                <w:b w:val="false"/>
                <w:bCs w:val="false"/>
                <w:color w:val="1A1A1A"/>
                <w:sz w:val="20"/>
                <w:szCs w:val="20"/>
              </w:rPr>
              <w:t xml:space="preserve">NUM_DELAYS</w:t>
            </w:r>
          </w:p>
        </w:tc>
        <w:tc>
          <w:tcPr>
            <w:tcW w:type="dxa" w:w="1880"/>
            <w:tcBorders>
              <w:top w:val="single" w:color="D5D8DC" w:sz="1"/>
              <w:left w:val="single" w:color="D5D8DC" w:sz="1"/>
              <w:bottom w:val="single" w:color="D5D8DC" w:sz="1"/>
              <w:right w:val="single" w:color="D5D8DC" w:sz="1"/>
            </w:tcBorders>
            <w:shd w:fill="F4F6F7" w:val="clear"/>
            <w:tcMar>
              <w:top w:type="dxa" w:w="90"/>
              <w:left w:type="dxa" w:w="150"/>
              <w:bottom w:type="dxa" w:w="90"/>
              <w:right w:type="dxa" w:w="100"/>
            </w:tcMar>
            <w:vAlign w:val="top"/>
          </w:tcPr>
          <w:p>
            <w:pPr>
              <w:spacing w:before="0" w:after="0"/>
              <w:jc w:val="left"/>
            </w:pPr>
            <w:r>
              <w:rPr>
                <w:rFonts w:ascii="Arial" w:cs="Arial" w:eastAsia="Arial" w:hAnsi="Arial"/>
                <w:b w:val="false"/>
                <w:bCs w:val="false"/>
                <w:color w:val="1A1A1A"/>
                <w:sz w:val="20"/>
                <w:szCs w:val="20"/>
              </w:rPr>
              <w:t xml:space="preserve">0.35–0.55</w:t>
            </w:r>
          </w:p>
        </w:tc>
        <w:tc>
          <w:tcPr>
            <w:tcW w:type="dxa" w:w="1880"/>
            <w:tcBorders>
              <w:top w:val="single" w:color="D5D8DC" w:sz="1"/>
              <w:left w:val="single" w:color="D5D8DC" w:sz="1"/>
              <w:bottom w:val="single" w:color="D5D8DC" w:sz="1"/>
              <w:right w:val="single" w:color="D5D8DC" w:sz="1"/>
            </w:tcBorders>
            <w:shd w:fill="1B6CA8" w:val="clear"/>
            <w:tcMar>
              <w:top w:type="dxa" w:w="90"/>
              <w:left w:type="dxa" w:w="150"/>
              <w:bottom w:type="dxa" w:w="90"/>
              <w:right w:type="dxa" w:w="100"/>
            </w:tcMar>
            <w:vAlign w:val="top"/>
          </w:tcPr>
          <w:p>
            <w:pPr>
              <w:spacing w:before="0" w:after="0"/>
              <w:jc w:val="left"/>
            </w:pPr>
            <w:r>
              <w:rPr>
                <w:rFonts w:ascii="Arial" w:cs="Arial" w:eastAsia="Arial" w:hAnsi="Arial"/>
                <w:b/>
                <w:bCs/>
                <w:color w:val="FFFFFF"/>
                <w:sz w:val="20"/>
                <w:szCs w:val="20"/>
              </w:rPr>
              <w:t xml:space="preserve">Strong</w:t>
            </w:r>
          </w:p>
        </w:tc>
        <w:tc>
          <w:tcPr>
            <w:tcW w:type="dxa" w:w="3200"/>
            <w:tcBorders>
              <w:top w:val="single" w:color="D5D8DC" w:sz="1"/>
              <w:left w:val="single" w:color="D5D8DC" w:sz="1"/>
              <w:bottom w:val="single" w:color="D5D8DC" w:sz="1"/>
              <w:right w:val="single" w:color="D5D8DC" w:sz="1"/>
            </w:tcBorders>
            <w:shd w:fill="FFFFFF" w:val="clear"/>
            <w:tcMar>
              <w:top w:type="dxa" w:w="90"/>
              <w:left w:type="dxa" w:w="150"/>
              <w:bottom w:type="dxa" w:w="90"/>
              <w:right w:type="dxa" w:w="100"/>
            </w:tcMar>
            <w:vAlign w:val="top"/>
          </w:tcPr>
          <w:p>
            <w:pPr>
              <w:spacing w:before="0" w:after="0"/>
              <w:jc w:val="left"/>
            </w:pPr>
            <w:r>
              <w:rPr>
                <w:rFonts w:ascii="Arial" w:cs="Arial" w:eastAsia="Arial" w:hAnsi="Arial"/>
                <w:b w:val="false"/>
                <w:bCs w:val="false"/>
                <w:color w:val="1A1A1A"/>
                <w:sz w:val="20"/>
                <w:szCs w:val="20"/>
              </w:rPr>
              <w:t xml:space="preserve">Frequency of delinquency. Complementary to MAX_DELAY.</w:t>
            </w:r>
          </w:p>
        </w:tc>
      </w:tr>
      <w:tr>
        <w:tc>
          <w:tcPr>
            <w:tcW w:type="dxa" w:w="2400"/>
            <w:tcBorders>
              <w:top w:val="single" w:color="D5D8DC" w:sz="1"/>
              <w:left w:val="single" w:color="D5D8DC" w:sz="1"/>
              <w:bottom w:val="single" w:color="D5D8DC" w:sz="1"/>
              <w:right w:val="single" w:color="D5D8DC" w:sz="1"/>
            </w:tcBorders>
            <w:shd w:fill="FFFFFF" w:val="clear"/>
            <w:tcMar>
              <w:top w:type="dxa" w:w="90"/>
              <w:left w:type="dxa" w:w="150"/>
              <w:bottom w:type="dxa" w:w="90"/>
              <w:right w:type="dxa" w:w="100"/>
            </w:tcMar>
            <w:vAlign w:val="top"/>
          </w:tcPr>
          <w:p>
            <w:pPr>
              <w:spacing w:before="0" w:after="0"/>
              <w:jc w:val="left"/>
            </w:pPr>
            <w:r>
              <w:rPr>
                <w:rFonts w:ascii="Arial" w:cs="Arial" w:eastAsia="Arial" w:hAnsi="Arial"/>
                <w:b w:val="false"/>
                <w:bCs w:val="false"/>
                <w:color w:val="1A1A1A"/>
                <w:sz w:val="20"/>
                <w:szCs w:val="20"/>
              </w:rPr>
              <w:t xml:space="preserve">PAY_BILL_RATIO_1</w:t>
            </w:r>
          </w:p>
        </w:tc>
        <w:tc>
          <w:tcPr>
            <w:tcW w:type="dxa" w:w="1880"/>
            <w:tcBorders>
              <w:top w:val="single" w:color="D5D8DC" w:sz="1"/>
              <w:left w:val="single" w:color="D5D8DC" w:sz="1"/>
              <w:bottom w:val="single" w:color="D5D8DC" w:sz="1"/>
              <w:right w:val="single" w:color="D5D8DC" w:sz="1"/>
            </w:tcBorders>
            <w:shd w:fill="F4F6F7" w:val="clear"/>
            <w:tcMar>
              <w:top w:type="dxa" w:w="90"/>
              <w:left w:type="dxa" w:w="150"/>
              <w:bottom w:type="dxa" w:w="90"/>
              <w:right w:type="dxa" w:w="100"/>
            </w:tcMar>
            <w:vAlign w:val="top"/>
          </w:tcPr>
          <w:p>
            <w:pPr>
              <w:spacing w:before="0" w:after="0"/>
              <w:jc w:val="left"/>
            </w:pPr>
            <w:r>
              <w:rPr>
                <w:rFonts w:ascii="Arial" w:cs="Arial" w:eastAsia="Arial" w:hAnsi="Arial"/>
                <w:b w:val="false"/>
                <w:bCs w:val="false"/>
                <w:color w:val="1A1A1A"/>
                <w:sz w:val="20"/>
                <w:szCs w:val="20"/>
              </w:rPr>
              <w:t xml:space="preserve">0.30–0.50</w:t>
            </w:r>
          </w:p>
        </w:tc>
        <w:tc>
          <w:tcPr>
            <w:tcW w:type="dxa" w:w="1880"/>
            <w:tcBorders>
              <w:top w:val="single" w:color="D5D8DC" w:sz="1"/>
              <w:left w:val="single" w:color="D5D8DC" w:sz="1"/>
              <w:bottom w:val="single" w:color="D5D8DC" w:sz="1"/>
              <w:right w:val="single" w:color="D5D8DC" w:sz="1"/>
            </w:tcBorders>
            <w:shd w:fill="1B6CA8" w:val="clear"/>
            <w:tcMar>
              <w:top w:type="dxa" w:w="90"/>
              <w:left w:type="dxa" w:w="150"/>
              <w:bottom w:type="dxa" w:w="90"/>
              <w:right w:type="dxa" w:w="100"/>
            </w:tcMar>
            <w:vAlign w:val="top"/>
          </w:tcPr>
          <w:p>
            <w:pPr>
              <w:spacing w:before="0" w:after="0"/>
              <w:jc w:val="left"/>
            </w:pPr>
            <w:r>
              <w:rPr>
                <w:rFonts w:ascii="Arial" w:cs="Arial" w:eastAsia="Arial" w:hAnsi="Arial"/>
                <w:b/>
                <w:bCs/>
                <w:color w:val="FFFFFF"/>
                <w:sz w:val="20"/>
                <w:szCs w:val="20"/>
              </w:rPr>
              <w:t xml:space="preserve">Strong</w:t>
            </w:r>
          </w:p>
        </w:tc>
        <w:tc>
          <w:tcPr>
            <w:tcW w:type="dxa" w:w="3200"/>
            <w:tcBorders>
              <w:top w:val="single" w:color="D5D8DC" w:sz="1"/>
              <w:left w:val="single" w:color="D5D8DC" w:sz="1"/>
              <w:bottom w:val="single" w:color="D5D8DC" w:sz="1"/>
              <w:right w:val="single" w:color="D5D8DC" w:sz="1"/>
            </w:tcBorders>
            <w:shd w:fill="FFFFFF" w:val="clear"/>
            <w:tcMar>
              <w:top w:type="dxa" w:w="90"/>
              <w:left w:type="dxa" w:w="150"/>
              <w:bottom w:type="dxa" w:w="90"/>
              <w:right w:type="dxa" w:w="100"/>
            </w:tcMar>
            <w:vAlign w:val="top"/>
          </w:tcPr>
          <w:p>
            <w:pPr>
              <w:spacing w:before="0" w:after="0"/>
              <w:jc w:val="left"/>
            </w:pPr>
            <w:r>
              <w:rPr>
                <w:rFonts w:ascii="Arial" w:cs="Arial" w:eastAsia="Arial" w:hAnsi="Arial"/>
                <w:b w:val="false"/>
                <w:bCs w:val="false"/>
                <w:color w:val="1A1A1A"/>
                <w:sz w:val="20"/>
                <w:szCs w:val="20"/>
              </w:rPr>
              <w:t xml:space="preserve">Most recent repayment ratio.</w:t>
            </w:r>
          </w:p>
        </w:tc>
      </w:tr>
      <w:tr>
        <w:tc>
          <w:tcPr>
            <w:tcW w:type="dxa" w:w="2400"/>
            <w:tcBorders>
              <w:top w:val="single" w:color="D5D8DC" w:sz="1"/>
              <w:left w:val="single" w:color="D5D8DC" w:sz="1"/>
              <w:bottom w:val="single" w:color="D5D8DC" w:sz="1"/>
              <w:right w:val="single" w:color="D5D8DC" w:sz="1"/>
            </w:tcBorders>
            <w:shd w:fill="FFFFFF" w:val="clear"/>
            <w:tcMar>
              <w:top w:type="dxa" w:w="90"/>
              <w:left w:type="dxa" w:w="150"/>
              <w:bottom w:type="dxa" w:w="90"/>
              <w:right w:type="dxa" w:w="100"/>
            </w:tcMar>
            <w:vAlign w:val="top"/>
          </w:tcPr>
          <w:p>
            <w:pPr>
              <w:spacing w:before="0" w:after="0"/>
              <w:jc w:val="left"/>
            </w:pPr>
            <w:r>
              <w:rPr>
                <w:rFonts w:ascii="Arial" w:cs="Arial" w:eastAsia="Arial" w:hAnsi="Arial"/>
                <w:b w:val="false"/>
                <w:bCs w:val="false"/>
                <w:color w:val="1A1A1A"/>
                <w:sz w:val="20"/>
                <w:szCs w:val="20"/>
              </w:rPr>
              <w:t xml:space="preserve">NUM_ZERO_PAYMENTS</w:t>
            </w:r>
          </w:p>
        </w:tc>
        <w:tc>
          <w:tcPr>
            <w:tcW w:type="dxa" w:w="1880"/>
            <w:tcBorders>
              <w:top w:val="single" w:color="D5D8DC" w:sz="1"/>
              <w:left w:val="single" w:color="D5D8DC" w:sz="1"/>
              <w:bottom w:val="single" w:color="D5D8DC" w:sz="1"/>
              <w:right w:val="single" w:color="D5D8DC" w:sz="1"/>
            </w:tcBorders>
            <w:shd w:fill="F4F6F7" w:val="clear"/>
            <w:tcMar>
              <w:top w:type="dxa" w:w="90"/>
              <w:left w:type="dxa" w:w="150"/>
              <w:bottom w:type="dxa" w:w="90"/>
              <w:right w:type="dxa" w:w="100"/>
            </w:tcMar>
            <w:vAlign w:val="top"/>
          </w:tcPr>
          <w:p>
            <w:pPr>
              <w:spacing w:before="0" w:after="0"/>
              <w:jc w:val="left"/>
            </w:pPr>
            <w:r>
              <w:rPr>
                <w:rFonts w:ascii="Arial" w:cs="Arial" w:eastAsia="Arial" w:hAnsi="Arial"/>
                <w:b w:val="false"/>
                <w:bCs w:val="false"/>
                <w:color w:val="1A1A1A"/>
                <w:sz w:val="20"/>
                <w:szCs w:val="20"/>
              </w:rPr>
              <w:t xml:space="preserve">0.25–0.45</w:t>
            </w:r>
          </w:p>
        </w:tc>
        <w:tc>
          <w:tcPr>
            <w:tcW w:type="dxa" w:w="1880"/>
            <w:tcBorders>
              <w:top w:val="single" w:color="D5D8DC" w:sz="1"/>
              <w:left w:val="single" w:color="D5D8DC" w:sz="1"/>
              <w:bottom w:val="single" w:color="D5D8DC" w:sz="1"/>
              <w:right w:val="single" w:color="D5D8DC" w:sz="1"/>
            </w:tcBorders>
            <w:shd w:fill="1B6CA8" w:val="clear"/>
            <w:tcMar>
              <w:top w:type="dxa" w:w="90"/>
              <w:left w:type="dxa" w:w="150"/>
              <w:bottom w:type="dxa" w:w="90"/>
              <w:right w:type="dxa" w:w="100"/>
            </w:tcMar>
            <w:vAlign w:val="top"/>
          </w:tcPr>
          <w:p>
            <w:pPr>
              <w:spacing w:before="0" w:after="0"/>
              <w:jc w:val="left"/>
            </w:pPr>
            <w:r>
              <w:rPr>
                <w:rFonts w:ascii="Arial" w:cs="Arial" w:eastAsia="Arial" w:hAnsi="Arial"/>
                <w:b/>
                <w:bCs/>
                <w:color w:val="FFFFFF"/>
                <w:sz w:val="20"/>
                <w:szCs w:val="20"/>
              </w:rPr>
              <w:t xml:space="preserve">Strong</w:t>
            </w:r>
          </w:p>
        </w:tc>
        <w:tc>
          <w:tcPr>
            <w:tcW w:type="dxa" w:w="3200"/>
            <w:tcBorders>
              <w:top w:val="single" w:color="D5D8DC" w:sz="1"/>
              <w:left w:val="single" w:color="D5D8DC" w:sz="1"/>
              <w:bottom w:val="single" w:color="D5D8DC" w:sz="1"/>
              <w:right w:val="single" w:color="D5D8DC" w:sz="1"/>
            </w:tcBorders>
            <w:shd w:fill="FFFFFF" w:val="clear"/>
            <w:tcMar>
              <w:top w:type="dxa" w:w="90"/>
              <w:left w:type="dxa" w:w="150"/>
              <w:bottom w:type="dxa" w:w="90"/>
              <w:right w:type="dxa" w:w="100"/>
            </w:tcMar>
            <w:vAlign w:val="top"/>
          </w:tcPr>
          <w:p>
            <w:pPr>
              <w:spacing w:before="0" w:after="0"/>
              <w:jc w:val="left"/>
            </w:pPr>
            <w:r>
              <w:rPr>
                <w:rFonts w:ascii="Arial" w:cs="Arial" w:eastAsia="Arial" w:hAnsi="Arial"/>
                <w:b w:val="false"/>
                <w:bCs w:val="false"/>
                <w:color w:val="1A1A1A"/>
                <w:sz w:val="20"/>
                <w:szCs w:val="20"/>
              </w:rPr>
              <w:t xml:space="preserve">Zero-payment frequency.</w:t>
            </w:r>
          </w:p>
        </w:tc>
      </w:tr>
      <w:tr>
        <w:tc>
          <w:tcPr>
            <w:tcW w:type="dxa" w:w="2400"/>
            <w:tcBorders>
              <w:top w:val="single" w:color="D5D8DC" w:sz="1"/>
              <w:left w:val="single" w:color="D5D8DC" w:sz="1"/>
              <w:bottom w:val="single" w:color="D5D8DC" w:sz="1"/>
              <w:right w:val="single" w:color="D5D8DC" w:sz="1"/>
            </w:tcBorders>
            <w:shd w:fill="FFFFFF" w:val="clear"/>
            <w:tcMar>
              <w:top w:type="dxa" w:w="90"/>
              <w:left w:type="dxa" w:w="150"/>
              <w:bottom w:type="dxa" w:w="90"/>
              <w:right w:type="dxa" w:w="100"/>
            </w:tcMar>
            <w:vAlign w:val="top"/>
          </w:tcPr>
          <w:p>
            <w:pPr>
              <w:spacing w:before="0" w:after="0"/>
              <w:jc w:val="left"/>
            </w:pPr>
            <w:r>
              <w:rPr>
                <w:rFonts w:ascii="Arial" w:cs="Arial" w:eastAsia="Arial" w:hAnsi="Arial"/>
                <w:b w:val="false"/>
                <w:bCs w:val="false"/>
                <w:color w:val="1A1A1A"/>
                <w:sz w:val="20"/>
                <w:szCs w:val="20"/>
              </w:rPr>
              <w:t xml:space="preserve">LIMIT_BAL</w:t>
            </w:r>
          </w:p>
        </w:tc>
        <w:tc>
          <w:tcPr>
            <w:tcW w:type="dxa" w:w="1880"/>
            <w:tcBorders>
              <w:top w:val="single" w:color="D5D8DC" w:sz="1"/>
              <w:left w:val="single" w:color="D5D8DC" w:sz="1"/>
              <w:bottom w:val="single" w:color="D5D8DC" w:sz="1"/>
              <w:right w:val="single" w:color="D5D8DC" w:sz="1"/>
            </w:tcBorders>
            <w:shd w:fill="F4F6F7" w:val="clear"/>
            <w:tcMar>
              <w:top w:type="dxa" w:w="90"/>
              <w:left w:type="dxa" w:w="150"/>
              <w:bottom w:type="dxa" w:w="90"/>
              <w:right w:type="dxa" w:w="100"/>
            </w:tcMar>
            <w:vAlign w:val="top"/>
          </w:tcPr>
          <w:p>
            <w:pPr>
              <w:spacing w:before="0" w:after="0"/>
              <w:jc w:val="left"/>
            </w:pPr>
            <w:r>
              <w:rPr>
                <w:rFonts w:ascii="Arial" w:cs="Arial" w:eastAsia="Arial" w:hAnsi="Arial"/>
                <w:b w:val="false"/>
                <w:bCs w:val="false"/>
                <w:color w:val="1A1A1A"/>
                <w:sz w:val="20"/>
                <w:szCs w:val="20"/>
              </w:rPr>
              <w:t xml:space="preserve">0.20–0.35</w:t>
            </w:r>
          </w:p>
        </w:tc>
        <w:tc>
          <w:tcPr>
            <w:tcW w:type="dxa" w:w="1880"/>
            <w:tcBorders>
              <w:top w:val="single" w:color="D5D8DC" w:sz="1"/>
              <w:left w:val="single" w:color="D5D8DC" w:sz="1"/>
              <w:bottom w:val="single" w:color="D5D8DC" w:sz="1"/>
              <w:right w:val="single" w:color="D5D8DC" w:sz="1"/>
            </w:tcBorders>
            <w:shd w:fill="2E75B6" w:val="clear"/>
            <w:tcMar>
              <w:top w:type="dxa" w:w="90"/>
              <w:left w:type="dxa" w:w="150"/>
              <w:bottom w:type="dxa" w:w="90"/>
              <w:right w:type="dxa" w:w="100"/>
            </w:tcMar>
            <w:vAlign w:val="top"/>
          </w:tcPr>
          <w:p>
            <w:pPr>
              <w:spacing w:before="0" w:after="0"/>
              <w:jc w:val="left"/>
            </w:pPr>
            <w:r>
              <w:rPr>
                <w:rFonts w:ascii="Arial" w:cs="Arial" w:eastAsia="Arial" w:hAnsi="Arial"/>
                <w:b/>
                <w:bCs/>
                <w:color w:val="FFFFFF"/>
                <w:sz w:val="20"/>
                <w:szCs w:val="20"/>
              </w:rPr>
              <w:t xml:space="preserve">Medium–Strong</w:t>
            </w:r>
          </w:p>
        </w:tc>
        <w:tc>
          <w:tcPr>
            <w:tcW w:type="dxa" w:w="3200"/>
            <w:tcBorders>
              <w:top w:val="single" w:color="D5D8DC" w:sz="1"/>
              <w:left w:val="single" w:color="D5D8DC" w:sz="1"/>
              <w:bottom w:val="single" w:color="D5D8DC" w:sz="1"/>
              <w:right w:val="single" w:color="D5D8DC" w:sz="1"/>
            </w:tcBorders>
            <w:shd w:fill="FFFFFF" w:val="clear"/>
            <w:tcMar>
              <w:top w:type="dxa" w:w="90"/>
              <w:left w:type="dxa" w:w="150"/>
              <w:bottom w:type="dxa" w:w="90"/>
              <w:right w:type="dxa" w:w="100"/>
            </w:tcMar>
            <w:vAlign w:val="top"/>
          </w:tcPr>
          <w:p>
            <w:pPr>
              <w:spacing w:before="0" w:after="0"/>
              <w:jc w:val="left"/>
            </w:pPr>
            <w:r>
              <w:rPr>
                <w:rFonts w:ascii="Arial" w:cs="Arial" w:eastAsia="Arial" w:hAnsi="Arial"/>
                <w:b w:val="false"/>
                <w:bCs w:val="false"/>
                <w:color w:val="1A1A1A"/>
                <w:sz w:val="20"/>
                <w:szCs w:val="20"/>
              </w:rPr>
              <w:t xml:space="preserve">Inverse relationship with default. Higher after log-transform and binning.</w:t>
            </w:r>
          </w:p>
        </w:tc>
      </w:tr>
      <w:tr>
        <w:tc>
          <w:tcPr>
            <w:tcW w:type="dxa" w:w="2400"/>
            <w:tcBorders>
              <w:top w:val="single" w:color="D5D8DC" w:sz="1"/>
              <w:left w:val="single" w:color="D5D8DC" w:sz="1"/>
              <w:bottom w:val="single" w:color="D5D8DC" w:sz="1"/>
              <w:right w:val="single" w:color="D5D8DC" w:sz="1"/>
            </w:tcBorders>
            <w:shd w:fill="FFFFFF" w:val="clear"/>
            <w:tcMar>
              <w:top w:type="dxa" w:w="90"/>
              <w:left w:type="dxa" w:w="150"/>
              <w:bottom w:type="dxa" w:w="90"/>
              <w:right w:type="dxa" w:w="100"/>
            </w:tcMar>
            <w:vAlign w:val="top"/>
          </w:tcPr>
          <w:p>
            <w:pPr>
              <w:spacing w:before="0" w:after="0"/>
              <w:jc w:val="left"/>
            </w:pPr>
            <w:r>
              <w:rPr>
                <w:rFonts w:ascii="Arial" w:cs="Arial" w:eastAsia="Arial" w:hAnsi="Arial"/>
                <w:b w:val="false"/>
                <w:bCs w:val="false"/>
                <w:color w:val="1A1A1A"/>
                <w:sz w:val="20"/>
                <w:szCs w:val="20"/>
              </w:rPr>
              <w:t xml:space="preserve">EDUCATION</w:t>
            </w:r>
          </w:p>
        </w:tc>
        <w:tc>
          <w:tcPr>
            <w:tcW w:type="dxa" w:w="1880"/>
            <w:tcBorders>
              <w:top w:val="single" w:color="D5D8DC" w:sz="1"/>
              <w:left w:val="single" w:color="D5D8DC" w:sz="1"/>
              <w:bottom w:val="single" w:color="D5D8DC" w:sz="1"/>
              <w:right w:val="single" w:color="D5D8DC" w:sz="1"/>
            </w:tcBorders>
            <w:shd w:fill="F4F6F7" w:val="clear"/>
            <w:tcMar>
              <w:top w:type="dxa" w:w="90"/>
              <w:left w:type="dxa" w:w="150"/>
              <w:bottom w:type="dxa" w:w="90"/>
              <w:right w:type="dxa" w:w="100"/>
            </w:tcMar>
            <w:vAlign w:val="top"/>
          </w:tcPr>
          <w:p>
            <w:pPr>
              <w:spacing w:before="0" w:after="0"/>
              <w:jc w:val="left"/>
            </w:pPr>
            <w:r>
              <w:rPr>
                <w:rFonts w:ascii="Arial" w:cs="Arial" w:eastAsia="Arial" w:hAnsi="Arial"/>
                <w:b w:val="false"/>
                <w:bCs w:val="false"/>
                <w:color w:val="1A1A1A"/>
                <w:sz w:val="20"/>
                <w:szCs w:val="20"/>
              </w:rPr>
              <w:t xml:space="preserve">0.05–0.12</w:t>
            </w:r>
          </w:p>
        </w:tc>
        <w:tc>
          <w:tcPr>
            <w:tcW w:type="dxa" w:w="1880"/>
            <w:tcBorders>
              <w:top w:val="single" w:color="D5D8DC" w:sz="1"/>
              <w:left w:val="single" w:color="D5D8DC" w:sz="1"/>
              <w:bottom w:val="single" w:color="D5D8DC" w:sz="1"/>
              <w:right w:val="single" w:color="D5D8DC" w:sz="1"/>
            </w:tcBorders>
            <w:shd w:fill="FFFFFF" w:val="clear"/>
            <w:tcMar>
              <w:top w:type="dxa" w:w="90"/>
              <w:left w:type="dxa" w:w="150"/>
              <w:bottom w:type="dxa" w:w="90"/>
              <w:right w:type="dxa" w:w="100"/>
            </w:tcMar>
            <w:vAlign w:val="top"/>
          </w:tcPr>
          <w:p>
            <w:pPr>
              <w:spacing w:before="0" w:after="0"/>
              <w:jc w:val="left"/>
            </w:pPr>
            <w:r>
              <w:rPr>
                <w:rFonts w:ascii="Arial" w:cs="Arial" w:eastAsia="Arial" w:hAnsi="Arial"/>
                <w:b/>
                <w:bCs/>
                <w:color w:val="1A1A1A"/>
                <w:sz w:val="20"/>
                <w:szCs w:val="20"/>
              </w:rPr>
              <w:t xml:space="preserve">Weak–Medium</w:t>
            </w:r>
          </w:p>
        </w:tc>
        <w:tc>
          <w:tcPr>
            <w:tcW w:type="dxa" w:w="3200"/>
            <w:tcBorders>
              <w:top w:val="single" w:color="D5D8DC" w:sz="1"/>
              <w:left w:val="single" w:color="D5D8DC" w:sz="1"/>
              <w:bottom w:val="single" w:color="D5D8DC" w:sz="1"/>
              <w:right w:val="single" w:color="D5D8DC" w:sz="1"/>
            </w:tcBorders>
            <w:shd w:fill="FFFFFF" w:val="clear"/>
            <w:tcMar>
              <w:top w:type="dxa" w:w="90"/>
              <w:left w:type="dxa" w:w="150"/>
              <w:bottom w:type="dxa" w:w="90"/>
              <w:right w:type="dxa" w:w="100"/>
            </w:tcMar>
            <w:vAlign w:val="top"/>
          </w:tcPr>
          <w:p>
            <w:pPr>
              <w:spacing w:before="0" w:after="0"/>
              <w:jc w:val="left"/>
            </w:pPr>
            <w:r>
              <w:rPr>
                <w:rFonts w:ascii="Arial" w:cs="Arial" w:eastAsia="Arial" w:hAnsi="Arial"/>
                <w:b w:val="false"/>
                <w:bCs w:val="false"/>
                <w:color w:val="1A1A1A"/>
                <w:sz w:val="20"/>
                <w:szCs w:val="20"/>
              </w:rPr>
              <w:t xml:space="preserve">Gradient in default rates. Retain with WOE encoding.</w:t>
            </w:r>
          </w:p>
        </w:tc>
      </w:tr>
      <w:tr>
        <w:tc>
          <w:tcPr>
            <w:tcW w:type="dxa" w:w="2400"/>
            <w:tcBorders>
              <w:top w:val="single" w:color="D5D8DC" w:sz="1"/>
              <w:left w:val="single" w:color="D5D8DC" w:sz="1"/>
              <w:bottom w:val="single" w:color="D5D8DC" w:sz="1"/>
              <w:right w:val="single" w:color="D5D8DC" w:sz="1"/>
            </w:tcBorders>
            <w:shd w:fill="FFFFFF" w:val="clear"/>
            <w:tcMar>
              <w:top w:type="dxa" w:w="90"/>
              <w:left w:type="dxa" w:w="150"/>
              <w:bottom w:type="dxa" w:w="90"/>
              <w:right w:type="dxa" w:w="100"/>
            </w:tcMar>
            <w:vAlign w:val="top"/>
          </w:tcPr>
          <w:p>
            <w:pPr>
              <w:spacing w:before="0" w:after="0"/>
              <w:jc w:val="left"/>
            </w:pPr>
            <w:r>
              <w:rPr>
                <w:rFonts w:ascii="Arial" w:cs="Arial" w:eastAsia="Arial" w:hAnsi="Arial"/>
                <w:b w:val="false"/>
                <w:bCs w:val="false"/>
                <w:color w:val="1A1A1A"/>
                <w:sz w:val="20"/>
                <w:szCs w:val="20"/>
              </w:rPr>
              <w:t xml:space="preserve">AGE</w:t>
            </w:r>
          </w:p>
        </w:tc>
        <w:tc>
          <w:tcPr>
            <w:tcW w:type="dxa" w:w="1880"/>
            <w:tcBorders>
              <w:top w:val="single" w:color="D5D8DC" w:sz="1"/>
              <w:left w:val="single" w:color="D5D8DC" w:sz="1"/>
              <w:bottom w:val="single" w:color="D5D8DC" w:sz="1"/>
              <w:right w:val="single" w:color="D5D8DC" w:sz="1"/>
            </w:tcBorders>
            <w:shd w:fill="F4F6F7" w:val="clear"/>
            <w:tcMar>
              <w:top w:type="dxa" w:w="90"/>
              <w:left w:type="dxa" w:w="150"/>
              <w:bottom w:type="dxa" w:w="90"/>
              <w:right w:type="dxa" w:w="100"/>
            </w:tcMar>
            <w:vAlign w:val="top"/>
          </w:tcPr>
          <w:p>
            <w:pPr>
              <w:spacing w:before="0" w:after="0"/>
              <w:jc w:val="left"/>
            </w:pPr>
            <w:r>
              <w:rPr>
                <w:rFonts w:ascii="Arial" w:cs="Arial" w:eastAsia="Arial" w:hAnsi="Arial"/>
                <w:b w:val="false"/>
                <w:bCs w:val="false"/>
                <w:color w:val="1A1A1A"/>
                <w:sz w:val="20"/>
                <w:szCs w:val="20"/>
              </w:rPr>
              <w:t xml:space="preserve">0.05–0.12</w:t>
            </w:r>
          </w:p>
        </w:tc>
        <w:tc>
          <w:tcPr>
            <w:tcW w:type="dxa" w:w="1880"/>
            <w:tcBorders>
              <w:top w:val="single" w:color="D5D8DC" w:sz="1"/>
              <w:left w:val="single" w:color="D5D8DC" w:sz="1"/>
              <w:bottom w:val="single" w:color="D5D8DC" w:sz="1"/>
              <w:right w:val="single" w:color="D5D8DC" w:sz="1"/>
            </w:tcBorders>
            <w:shd w:fill="FFFFFF" w:val="clear"/>
            <w:tcMar>
              <w:top w:type="dxa" w:w="90"/>
              <w:left w:type="dxa" w:w="150"/>
              <w:bottom w:type="dxa" w:w="90"/>
              <w:right w:type="dxa" w:w="100"/>
            </w:tcMar>
            <w:vAlign w:val="top"/>
          </w:tcPr>
          <w:p>
            <w:pPr>
              <w:spacing w:before="0" w:after="0"/>
              <w:jc w:val="left"/>
            </w:pPr>
            <w:r>
              <w:rPr>
                <w:rFonts w:ascii="Arial" w:cs="Arial" w:eastAsia="Arial" w:hAnsi="Arial"/>
                <w:b/>
                <w:bCs/>
                <w:color w:val="1A1A1A"/>
                <w:sz w:val="20"/>
                <w:szCs w:val="20"/>
              </w:rPr>
              <w:t xml:space="preserve">Weak–Medium</w:t>
            </w:r>
          </w:p>
        </w:tc>
        <w:tc>
          <w:tcPr>
            <w:tcW w:type="dxa" w:w="3200"/>
            <w:tcBorders>
              <w:top w:val="single" w:color="D5D8DC" w:sz="1"/>
              <w:left w:val="single" w:color="D5D8DC" w:sz="1"/>
              <w:bottom w:val="single" w:color="D5D8DC" w:sz="1"/>
              <w:right w:val="single" w:color="D5D8DC" w:sz="1"/>
            </w:tcBorders>
            <w:shd w:fill="FFFFFF" w:val="clear"/>
            <w:tcMar>
              <w:top w:type="dxa" w:w="90"/>
              <w:left w:type="dxa" w:w="150"/>
              <w:bottom w:type="dxa" w:w="90"/>
              <w:right w:type="dxa" w:w="100"/>
            </w:tcMar>
            <w:vAlign w:val="top"/>
          </w:tcPr>
          <w:p>
            <w:pPr>
              <w:spacing w:before="0" w:after="0"/>
              <w:jc w:val="left"/>
            </w:pPr>
            <w:r>
              <w:rPr>
                <w:rFonts w:ascii="Arial" w:cs="Arial" w:eastAsia="Arial" w:hAnsi="Arial"/>
                <w:b w:val="false"/>
                <w:bCs w:val="false"/>
                <w:color w:val="1A1A1A"/>
                <w:sz w:val="20"/>
                <w:szCs w:val="20"/>
              </w:rPr>
              <w:t xml:space="preserve">Non-linear shape — requires binning to capture U-curve.</w:t>
            </w:r>
          </w:p>
        </w:tc>
      </w:tr>
      <w:tr>
        <w:tc>
          <w:tcPr>
            <w:tcW w:type="dxa" w:w="2400"/>
            <w:tcBorders>
              <w:top w:val="single" w:color="D5D8DC" w:sz="1"/>
              <w:left w:val="single" w:color="D5D8DC" w:sz="1"/>
              <w:bottom w:val="single" w:color="D5D8DC" w:sz="1"/>
              <w:right w:val="single" w:color="D5D8DC" w:sz="1"/>
            </w:tcBorders>
            <w:shd w:fill="FFFFFF" w:val="clear"/>
            <w:tcMar>
              <w:top w:type="dxa" w:w="90"/>
              <w:left w:type="dxa" w:w="150"/>
              <w:bottom w:type="dxa" w:w="90"/>
              <w:right w:type="dxa" w:w="100"/>
            </w:tcMar>
            <w:vAlign w:val="top"/>
          </w:tcPr>
          <w:p>
            <w:pPr>
              <w:spacing w:before="0" w:after="0"/>
              <w:jc w:val="left"/>
            </w:pPr>
            <w:r>
              <w:rPr>
                <w:rFonts w:ascii="Arial" w:cs="Arial" w:eastAsia="Arial" w:hAnsi="Arial"/>
                <w:b w:val="false"/>
                <w:bCs w:val="false"/>
                <w:color w:val="1A1A1A"/>
                <w:sz w:val="20"/>
                <w:szCs w:val="20"/>
              </w:rPr>
              <w:t xml:space="preserve">GENDER</w:t>
            </w:r>
          </w:p>
        </w:tc>
        <w:tc>
          <w:tcPr>
            <w:tcW w:type="dxa" w:w="1880"/>
            <w:tcBorders>
              <w:top w:val="single" w:color="D5D8DC" w:sz="1"/>
              <w:left w:val="single" w:color="D5D8DC" w:sz="1"/>
              <w:bottom w:val="single" w:color="D5D8DC" w:sz="1"/>
              <w:right w:val="single" w:color="D5D8DC" w:sz="1"/>
            </w:tcBorders>
            <w:shd w:fill="F4F6F7" w:val="clear"/>
            <w:tcMar>
              <w:top w:type="dxa" w:w="90"/>
              <w:left w:type="dxa" w:w="150"/>
              <w:bottom w:type="dxa" w:w="90"/>
              <w:right w:type="dxa" w:w="100"/>
            </w:tcMar>
            <w:vAlign w:val="top"/>
          </w:tcPr>
          <w:p>
            <w:pPr>
              <w:spacing w:before="0" w:after="0"/>
              <w:jc w:val="left"/>
            </w:pPr>
            <w:r>
              <w:rPr>
                <w:rFonts w:ascii="Arial" w:cs="Arial" w:eastAsia="Arial" w:hAnsi="Arial"/>
                <w:b w:val="false"/>
                <w:bCs w:val="false"/>
                <w:color w:val="1A1A1A"/>
                <w:sz w:val="20"/>
                <w:szCs w:val="20"/>
              </w:rPr>
              <w:t xml:space="preserve">0.01–0.03</w:t>
            </w:r>
          </w:p>
        </w:tc>
        <w:tc>
          <w:tcPr>
            <w:tcW w:type="dxa" w:w="1880"/>
            <w:tcBorders>
              <w:top w:val="single" w:color="D5D8DC" w:sz="1"/>
              <w:left w:val="single" w:color="D5D8DC" w:sz="1"/>
              <w:bottom w:val="single" w:color="D5D8DC" w:sz="1"/>
              <w:right w:val="single" w:color="D5D8DC" w:sz="1"/>
            </w:tcBorders>
            <w:shd w:fill="C96A0A" w:val="clear"/>
            <w:tcMar>
              <w:top w:type="dxa" w:w="90"/>
              <w:left w:type="dxa" w:w="150"/>
              <w:bottom w:type="dxa" w:w="90"/>
              <w:right w:type="dxa" w:w="100"/>
            </w:tcMar>
            <w:vAlign w:val="top"/>
          </w:tcPr>
          <w:p>
            <w:pPr>
              <w:spacing w:before="0" w:after="0"/>
              <w:jc w:val="left"/>
            </w:pPr>
            <w:r>
              <w:rPr>
                <w:rFonts w:ascii="Arial" w:cs="Arial" w:eastAsia="Arial" w:hAnsi="Arial"/>
                <w:b/>
                <w:bCs/>
                <w:color w:val="FFFFFF"/>
                <w:sz w:val="20"/>
                <w:szCs w:val="20"/>
              </w:rPr>
              <w:t xml:space="preserve">Weak</w:t>
            </w:r>
          </w:p>
        </w:tc>
        <w:tc>
          <w:tcPr>
            <w:tcW w:type="dxa" w:w="3200"/>
            <w:tcBorders>
              <w:top w:val="single" w:color="D5D8DC" w:sz="1"/>
              <w:left w:val="single" w:color="D5D8DC" w:sz="1"/>
              <w:bottom w:val="single" w:color="D5D8DC" w:sz="1"/>
              <w:right w:val="single" w:color="D5D8DC" w:sz="1"/>
            </w:tcBorders>
            <w:shd w:fill="FFFFFF" w:val="clear"/>
            <w:tcMar>
              <w:top w:type="dxa" w:w="90"/>
              <w:left w:type="dxa" w:w="150"/>
              <w:bottom w:type="dxa" w:w="90"/>
              <w:right w:type="dxa" w:w="100"/>
            </w:tcMar>
            <w:vAlign w:val="top"/>
          </w:tcPr>
          <w:p>
            <w:pPr>
              <w:spacing w:before="0" w:after="0"/>
              <w:jc w:val="left"/>
            </w:pPr>
            <w:r>
              <w:rPr>
                <w:rFonts w:ascii="Arial" w:cs="Arial" w:eastAsia="Arial" w:hAnsi="Arial"/>
                <w:b w:val="false"/>
                <w:bCs w:val="false"/>
                <w:color w:val="1A1A1A"/>
                <w:sz w:val="20"/>
                <w:szCs w:val="20"/>
              </w:rPr>
              <w:t xml:space="preserve">Near IV threshold. Subject to regulatory review.</w:t>
            </w:r>
          </w:p>
        </w:tc>
      </w:tr>
      <w:tr>
        <w:tc>
          <w:tcPr>
            <w:tcW w:type="dxa" w:w="2400"/>
            <w:tcBorders>
              <w:top w:val="single" w:color="D5D8DC" w:sz="1"/>
              <w:left w:val="single" w:color="D5D8DC" w:sz="1"/>
              <w:bottom w:val="single" w:color="D5D8DC" w:sz="1"/>
              <w:right w:val="single" w:color="D5D8DC" w:sz="1"/>
            </w:tcBorders>
            <w:shd w:fill="FFFFFF" w:val="clear"/>
            <w:tcMar>
              <w:top w:type="dxa" w:w="90"/>
              <w:left w:type="dxa" w:w="150"/>
              <w:bottom w:type="dxa" w:w="90"/>
              <w:right w:type="dxa" w:w="100"/>
            </w:tcMar>
            <w:vAlign w:val="top"/>
          </w:tcPr>
          <w:p>
            <w:pPr>
              <w:spacing w:before="0" w:after="0"/>
              <w:jc w:val="left"/>
            </w:pPr>
            <w:r>
              <w:rPr>
                <w:rFonts w:ascii="Arial" w:cs="Arial" w:eastAsia="Arial" w:hAnsi="Arial"/>
                <w:b w:val="false"/>
                <w:bCs w:val="false"/>
                <w:color w:val="1A1A1A"/>
                <w:sz w:val="20"/>
                <w:szCs w:val="20"/>
              </w:rPr>
              <w:t xml:space="preserve">MARRIAGE</w:t>
            </w:r>
          </w:p>
        </w:tc>
        <w:tc>
          <w:tcPr>
            <w:tcW w:type="dxa" w:w="1880"/>
            <w:tcBorders>
              <w:top w:val="single" w:color="D5D8DC" w:sz="1"/>
              <w:left w:val="single" w:color="D5D8DC" w:sz="1"/>
              <w:bottom w:val="single" w:color="D5D8DC" w:sz="1"/>
              <w:right w:val="single" w:color="D5D8DC" w:sz="1"/>
            </w:tcBorders>
            <w:shd w:fill="F4F6F7" w:val="clear"/>
            <w:tcMar>
              <w:top w:type="dxa" w:w="90"/>
              <w:left w:type="dxa" w:w="150"/>
              <w:bottom w:type="dxa" w:w="90"/>
              <w:right w:type="dxa" w:w="100"/>
            </w:tcMar>
            <w:vAlign w:val="top"/>
          </w:tcPr>
          <w:p>
            <w:pPr>
              <w:spacing w:before="0" w:after="0"/>
              <w:jc w:val="left"/>
            </w:pPr>
            <w:r>
              <w:rPr>
                <w:rFonts w:ascii="Arial" w:cs="Arial" w:eastAsia="Arial" w:hAnsi="Arial"/>
                <w:b w:val="false"/>
                <w:bCs w:val="false"/>
                <w:color w:val="1A1A1A"/>
                <w:sz w:val="20"/>
                <w:szCs w:val="20"/>
              </w:rPr>
              <w:t xml:space="preserve">0.01–0.04</w:t>
            </w:r>
          </w:p>
        </w:tc>
        <w:tc>
          <w:tcPr>
            <w:tcW w:type="dxa" w:w="1880"/>
            <w:tcBorders>
              <w:top w:val="single" w:color="D5D8DC" w:sz="1"/>
              <w:left w:val="single" w:color="D5D8DC" w:sz="1"/>
              <w:bottom w:val="single" w:color="D5D8DC" w:sz="1"/>
              <w:right w:val="single" w:color="D5D8DC" w:sz="1"/>
            </w:tcBorders>
            <w:shd w:fill="C96A0A" w:val="clear"/>
            <w:tcMar>
              <w:top w:type="dxa" w:w="90"/>
              <w:left w:type="dxa" w:w="150"/>
              <w:bottom w:type="dxa" w:w="90"/>
              <w:right w:type="dxa" w:w="100"/>
            </w:tcMar>
            <w:vAlign w:val="top"/>
          </w:tcPr>
          <w:p>
            <w:pPr>
              <w:spacing w:before="0" w:after="0"/>
              <w:jc w:val="left"/>
            </w:pPr>
            <w:r>
              <w:rPr>
                <w:rFonts w:ascii="Arial" w:cs="Arial" w:eastAsia="Arial" w:hAnsi="Arial"/>
                <w:b/>
                <w:bCs/>
                <w:color w:val="FFFFFF"/>
                <w:sz w:val="20"/>
                <w:szCs w:val="20"/>
              </w:rPr>
              <w:t xml:space="preserve">Weak</w:t>
            </w:r>
          </w:p>
        </w:tc>
        <w:tc>
          <w:tcPr>
            <w:tcW w:type="dxa" w:w="3200"/>
            <w:tcBorders>
              <w:top w:val="single" w:color="D5D8DC" w:sz="1"/>
              <w:left w:val="single" w:color="D5D8DC" w:sz="1"/>
              <w:bottom w:val="single" w:color="D5D8DC" w:sz="1"/>
              <w:right w:val="single" w:color="D5D8DC" w:sz="1"/>
            </w:tcBorders>
            <w:shd w:fill="FFFFFF" w:val="clear"/>
            <w:tcMar>
              <w:top w:type="dxa" w:w="90"/>
              <w:left w:type="dxa" w:w="150"/>
              <w:bottom w:type="dxa" w:w="90"/>
              <w:right w:type="dxa" w:w="100"/>
            </w:tcMar>
            <w:vAlign w:val="top"/>
          </w:tcPr>
          <w:p>
            <w:pPr>
              <w:spacing w:before="0" w:after="0"/>
              <w:jc w:val="left"/>
            </w:pPr>
            <w:r>
              <w:rPr>
                <w:rFonts w:ascii="Arial" w:cs="Arial" w:eastAsia="Arial" w:hAnsi="Arial"/>
                <w:b w:val="false"/>
                <w:bCs w:val="false"/>
                <w:color w:val="1A1A1A"/>
                <w:sz w:val="20"/>
                <w:szCs w:val="20"/>
              </w:rPr>
              <w:t xml:space="preserve">Marginal. Retain for completeness; monitor IV.</w:t>
            </w:r>
          </w:p>
        </w:tc>
      </w:tr>
    </w:tbl>
    <w:p>
      <w:pPr>
        <w:spacing w:before="0" w:after="200"/>
      </w:pPr>
    </w:p>
    <w:p>
      <w:r>
        <w:br w:type="page"/>
      </w:r>
    </w:p>
    <w:p>
      <w:pPr>
        <w:pStyle w:val="Heading1"/>
        <w:pBdr>
          <w:bottom w:val="single" w:color="2E75B6" w:sz="6"/>
        </w:pBdr>
        <w:spacing w:before="400" w:after="160"/>
      </w:pPr>
      <w:r>
        <w:rPr>
          <w:rFonts w:ascii="Arial" w:cs="Arial" w:eastAsia="Arial" w:hAnsi="Arial"/>
          <w:b/>
          <w:bCs/>
          <w:color w:val="1F3864"/>
          <w:sz w:val="36"/>
          <w:szCs w:val="36"/>
        </w:rPr>
        <w:t xml:space="preserve">Section 5: Categorical Variable Engineering</w:t>
      </w:r>
    </w:p>
    <w:p>
      <w:pPr>
        <w:spacing w:before="80" w:after="80"/>
      </w:pPr>
      <w:r>
        <w:rPr>
          <w:rFonts w:ascii="Arial" w:cs="Arial" w:eastAsia="Arial" w:hAnsi="Arial"/>
          <w:b w:val="false"/>
          <w:bCs w:val="false"/>
          <w:color w:val="1A1A1A"/>
          <w:sz w:val="22"/>
          <w:szCs w:val="22"/>
        </w:rPr>
        <w:t xml:space="preserve">Categorical variable encoding is a critical and often underestimated step in credit risk modeling. The choice of encoding strategy directly affects model stability, interpretability, regulatory compliance, and the risk of information leakage. This dataset contains four categorical variables (GENDER, EDUCATION, MARRIAGE) and one quasi-ordinal variable (AGE after binning) — each warranting a specific strategy.</w:t>
      </w:r>
    </w:p>
    <w:p>
      <w:pPr>
        <w:spacing w:before="0" w:after="120"/>
      </w:pPr>
    </w:p>
    <w:p>
      <w:pPr>
        <w:pStyle w:val="Heading2"/>
        <w:spacing w:before="280" w:after="120"/>
      </w:pPr>
      <w:r>
        <w:rPr>
          <w:rFonts w:ascii="Arial" w:cs="Arial" w:eastAsia="Arial" w:hAnsi="Arial"/>
          <w:b/>
          <w:bCs/>
          <w:color w:val="1B6CA8"/>
          <w:sz w:val="28"/>
          <w:szCs w:val="28"/>
        </w:rPr>
        <w:t xml:space="preserve">5.1 Encoding Strategy Comparison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2200"/>
        <w:gridCol w:w="2560"/>
      </w:tblGrid>
      <w:tr>
        <w:tc>
          <w:tcPr>
            <w:tcW w:type="dxa" w:w="1800"/>
            <w:tcBorders>
              <w:top w:val="single" w:color="D5D8DC" w:sz="1"/>
              <w:left w:val="single" w:color="D5D8DC" w:sz="1"/>
              <w:bottom w:val="single" w:color="D5D8DC" w:sz="1"/>
              <w:right w:val="single" w:color="D5D8DC" w:sz="1"/>
            </w:tcBorders>
            <w:shd w:fill="1F3864" w:val="clear"/>
            <w:tcMar>
              <w:top w:type="dxa" w:w="90"/>
              <w:left w:type="dxa" w:w="150"/>
              <w:bottom w:type="dxa" w:w="90"/>
              <w:right w:type="dxa" w:w="100"/>
            </w:tcMar>
            <w:vAlign w:val="top"/>
          </w:tcPr>
          <w:p>
            <w:pPr>
              <w:spacing w:before="0" w:after="0"/>
              <w:jc w:val="left"/>
            </w:pPr>
            <w:r>
              <w:rPr>
                <w:rFonts w:ascii="Arial" w:cs="Arial" w:eastAsia="Arial" w:hAnsi="Arial"/>
                <w:b/>
                <w:bCs/>
                <w:color w:val="FFFFFF"/>
                <w:sz w:val="19"/>
                <w:szCs w:val="19"/>
              </w:rPr>
              <w:t xml:space="preserve">Method</w:t>
            </w:r>
          </w:p>
        </w:tc>
        <w:tc>
          <w:tcPr>
            <w:tcW w:type="dxa" w:w="2800"/>
            <w:tcBorders>
              <w:top w:val="single" w:color="D5D8DC" w:sz="1"/>
              <w:left w:val="single" w:color="D5D8DC" w:sz="1"/>
              <w:bottom w:val="single" w:color="D5D8DC" w:sz="1"/>
              <w:right w:val="single" w:color="D5D8DC" w:sz="1"/>
            </w:tcBorders>
            <w:shd w:fill="1F3864" w:val="clear"/>
            <w:tcMar>
              <w:top w:type="dxa" w:w="90"/>
              <w:left w:type="dxa" w:w="150"/>
              <w:bottom w:type="dxa" w:w="90"/>
              <w:right w:type="dxa" w:w="100"/>
            </w:tcMar>
            <w:vAlign w:val="top"/>
          </w:tcPr>
          <w:p>
            <w:pPr>
              <w:spacing w:before="0" w:after="0"/>
              <w:jc w:val="left"/>
            </w:pPr>
            <w:r>
              <w:rPr>
                <w:rFonts w:ascii="Arial" w:cs="Arial" w:eastAsia="Arial" w:hAnsi="Arial"/>
                <w:b/>
                <w:bCs/>
                <w:color w:val="FFFFFF"/>
                <w:sz w:val="19"/>
                <w:szCs w:val="19"/>
              </w:rPr>
              <w:t xml:space="preserve">How It Works</w:t>
            </w:r>
          </w:p>
        </w:tc>
        <w:tc>
          <w:tcPr>
            <w:tcW w:type="dxa" w:w="2200"/>
            <w:tcBorders>
              <w:top w:val="single" w:color="D5D8DC" w:sz="1"/>
              <w:left w:val="single" w:color="D5D8DC" w:sz="1"/>
              <w:bottom w:val="single" w:color="D5D8DC" w:sz="1"/>
              <w:right w:val="single" w:color="D5D8DC" w:sz="1"/>
            </w:tcBorders>
            <w:shd w:fill="1F3864" w:val="clear"/>
            <w:tcMar>
              <w:top w:type="dxa" w:w="90"/>
              <w:left w:type="dxa" w:w="150"/>
              <w:bottom w:type="dxa" w:w="90"/>
              <w:right w:type="dxa" w:w="100"/>
            </w:tcMar>
            <w:vAlign w:val="top"/>
          </w:tcPr>
          <w:p>
            <w:pPr>
              <w:spacing w:before="0" w:after="0"/>
              <w:jc w:val="left"/>
            </w:pPr>
            <w:r>
              <w:rPr>
                <w:rFonts w:ascii="Arial" w:cs="Arial" w:eastAsia="Arial" w:hAnsi="Arial"/>
                <w:b/>
                <w:bCs/>
                <w:color w:val="FFFFFF"/>
                <w:sz w:val="19"/>
                <w:szCs w:val="19"/>
              </w:rPr>
              <w:t xml:space="preserve">Best Used For</w:t>
            </w:r>
          </w:p>
        </w:tc>
        <w:tc>
          <w:tcPr>
            <w:tcW w:type="dxa" w:w="2560"/>
            <w:tcBorders>
              <w:top w:val="single" w:color="D5D8DC" w:sz="1"/>
              <w:left w:val="single" w:color="D5D8DC" w:sz="1"/>
              <w:bottom w:val="single" w:color="D5D8DC" w:sz="1"/>
              <w:right w:val="single" w:color="D5D8DC" w:sz="1"/>
            </w:tcBorders>
            <w:shd w:fill="1F3864" w:val="clear"/>
            <w:tcMar>
              <w:top w:type="dxa" w:w="90"/>
              <w:left w:type="dxa" w:w="150"/>
              <w:bottom w:type="dxa" w:w="90"/>
              <w:right w:type="dxa" w:w="100"/>
            </w:tcMar>
            <w:vAlign w:val="top"/>
          </w:tcPr>
          <w:p>
            <w:pPr>
              <w:spacing w:before="0" w:after="0"/>
              <w:jc w:val="left"/>
            </w:pPr>
            <w:r>
              <w:rPr>
                <w:rFonts w:ascii="Arial" w:cs="Arial" w:eastAsia="Arial" w:hAnsi="Arial"/>
                <w:b/>
                <w:bCs/>
                <w:color w:val="FFFFFF"/>
                <w:sz w:val="19"/>
                <w:szCs w:val="19"/>
              </w:rPr>
              <w:t xml:space="preserve">Risks</w:t>
            </w:r>
          </w:p>
        </w:tc>
      </w:tr>
      <w:tr>
        <w:tc>
          <w:tcPr>
            <w:tcW w:type="dxa" w:w="1800"/>
            <w:tcBorders>
              <w:top w:val="single" w:color="D5D8DC" w:sz="1"/>
              <w:left w:val="single" w:color="D5D8DC" w:sz="1"/>
              <w:bottom w:val="single" w:color="D5D8DC" w:sz="1"/>
              <w:right w:val="single" w:color="D5D8DC" w:sz="1"/>
            </w:tcBorders>
            <w:shd w:fill="FFFFFF" w:val="clear"/>
            <w:tcMar>
              <w:top w:type="dxa" w:w="90"/>
              <w:left w:type="dxa" w:w="150"/>
              <w:bottom w:type="dxa" w:w="90"/>
              <w:right w:type="dxa" w:w="100"/>
            </w:tcMar>
            <w:vAlign w:val="top"/>
          </w:tcPr>
          <w:p>
            <w:pPr>
              <w:spacing w:before="0" w:after="0"/>
              <w:jc w:val="left"/>
            </w:pPr>
            <w:r>
              <w:rPr>
                <w:rFonts w:ascii="Arial" w:cs="Arial" w:eastAsia="Arial" w:hAnsi="Arial"/>
                <w:b/>
                <w:bCs/>
                <w:color w:val="1A1A1A"/>
                <w:sz w:val="20"/>
                <w:szCs w:val="20"/>
              </w:rPr>
              <w:t xml:space="preserve">One-Hot Encoding</w:t>
            </w:r>
          </w:p>
        </w:tc>
        <w:tc>
          <w:tcPr>
            <w:tcW w:type="dxa" w:w="2800"/>
            <w:tcBorders>
              <w:top w:val="single" w:color="D5D8DC" w:sz="1"/>
              <w:left w:val="single" w:color="D5D8DC" w:sz="1"/>
              <w:bottom w:val="single" w:color="D5D8DC" w:sz="1"/>
              <w:right w:val="single" w:color="D5D8DC" w:sz="1"/>
            </w:tcBorders>
            <w:shd w:fill="F4F6F7" w:val="clear"/>
            <w:tcMar>
              <w:top w:type="dxa" w:w="90"/>
              <w:left w:type="dxa" w:w="150"/>
              <w:bottom w:type="dxa" w:w="90"/>
              <w:right w:type="dxa" w:w="100"/>
            </w:tcMar>
            <w:vAlign w:val="top"/>
          </w:tcPr>
          <w:p>
            <w:pPr>
              <w:spacing w:before="0" w:after="0"/>
              <w:jc w:val="left"/>
            </w:pPr>
            <w:r>
              <w:rPr>
                <w:rFonts w:ascii="Arial" w:cs="Arial" w:eastAsia="Arial" w:hAnsi="Arial"/>
                <w:b w:val="false"/>
                <w:bCs w:val="false"/>
                <w:color w:val="1A1A1A"/>
                <w:sz w:val="20"/>
                <w:szCs w:val="20"/>
              </w:rPr>
              <w:t xml:space="preserve">Creates binary dummy columns for each category. k-1 columns for k categories (drop one to avoid perfect multicollinearity).</w:t>
            </w:r>
          </w:p>
        </w:tc>
        <w:tc>
          <w:tcPr>
            <w:tcW w:type="dxa" w:w="2200"/>
            <w:tcBorders>
              <w:top w:val="single" w:color="D5D8DC" w:sz="1"/>
              <w:left w:val="single" w:color="D5D8DC" w:sz="1"/>
              <w:bottom w:val="single" w:color="D5D8DC" w:sz="1"/>
              <w:right w:val="single" w:color="D5D8DC" w:sz="1"/>
            </w:tcBorders>
            <w:shd w:fill="F4F6F7" w:val="clear"/>
            <w:tcMar>
              <w:top w:type="dxa" w:w="90"/>
              <w:left w:type="dxa" w:w="150"/>
              <w:bottom w:type="dxa" w:w="90"/>
              <w:right w:type="dxa" w:w="100"/>
            </w:tcMar>
            <w:vAlign w:val="top"/>
          </w:tcPr>
          <w:p>
            <w:pPr>
              <w:spacing w:before="0" w:after="0"/>
              <w:jc w:val="left"/>
            </w:pPr>
            <w:r>
              <w:rPr>
                <w:rFonts w:ascii="Arial" w:cs="Arial" w:eastAsia="Arial" w:hAnsi="Arial"/>
                <w:b w:val="false"/>
                <w:bCs w:val="false"/>
                <w:color w:val="1A1A1A"/>
                <w:sz w:val="20"/>
                <w:szCs w:val="20"/>
              </w:rPr>
              <w:t xml:space="preserve">Tree-based models; low-cardinality categoricals (&lt; 5 categories); when no risk ordering exists.</w:t>
            </w:r>
          </w:p>
        </w:tc>
        <w:tc>
          <w:tcPr>
            <w:tcW w:type="dxa" w:w="2560"/>
            <w:tcBorders>
              <w:top w:val="single" w:color="D5D8DC" w:sz="1"/>
              <w:left w:val="single" w:color="D5D8DC" w:sz="1"/>
              <w:bottom w:val="single" w:color="D5D8DC" w:sz="1"/>
              <w:right w:val="single" w:color="D5D8DC" w:sz="1"/>
            </w:tcBorders>
            <w:shd w:fill="F4F6F7" w:val="clear"/>
            <w:tcMar>
              <w:top w:type="dxa" w:w="90"/>
              <w:left w:type="dxa" w:w="150"/>
              <w:bottom w:type="dxa" w:w="90"/>
              <w:right w:type="dxa" w:w="100"/>
            </w:tcMar>
            <w:vAlign w:val="top"/>
          </w:tcPr>
          <w:p>
            <w:pPr>
              <w:spacing w:before="0" w:after="0"/>
              <w:jc w:val="left"/>
            </w:pPr>
            <w:r>
              <w:rPr>
                <w:rFonts w:ascii="Arial" w:cs="Arial" w:eastAsia="Arial" w:hAnsi="Arial"/>
                <w:b w:val="false"/>
                <w:bCs w:val="false"/>
                <w:color w:val="1A1A1A"/>
                <w:sz w:val="20"/>
                <w:szCs w:val="20"/>
              </w:rPr>
              <w:t xml:space="preserve">Sparse matrix for high cardinality. No risk ordering — misses monotonicity. Interaction effects invisible.</w:t>
            </w:r>
          </w:p>
        </w:tc>
      </w:tr>
      <w:tr>
        <w:tc>
          <w:tcPr>
            <w:tcW w:type="dxa" w:w="1800"/>
            <w:tcBorders>
              <w:top w:val="single" w:color="D5D8DC" w:sz="1"/>
              <w:left w:val="single" w:color="D5D8DC" w:sz="1"/>
              <w:bottom w:val="single" w:color="D5D8DC" w:sz="1"/>
              <w:right w:val="single" w:color="D5D8DC" w:sz="1"/>
            </w:tcBorders>
            <w:shd w:fill="FFFFFF" w:val="clear"/>
            <w:tcMar>
              <w:top w:type="dxa" w:w="90"/>
              <w:left w:type="dxa" w:w="150"/>
              <w:bottom w:type="dxa" w:w="90"/>
              <w:right w:type="dxa" w:w="100"/>
            </w:tcMar>
            <w:vAlign w:val="top"/>
          </w:tcPr>
          <w:p>
            <w:pPr>
              <w:spacing w:before="0" w:after="0"/>
              <w:jc w:val="left"/>
            </w:pPr>
            <w:r>
              <w:rPr>
                <w:rFonts w:ascii="Arial" w:cs="Arial" w:eastAsia="Arial" w:hAnsi="Arial"/>
                <w:b/>
                <w:bCs/>
                <w:color w:val="1A1A1A"/>
                <w:sz w:val="20"/>
                <w:szCs w:val="20"/>
              </w:rPr>
              <w:t xml:space="preserve">Ordinal Encoding</w:t>
            </w:r>
          </w:p>
        </w:tc>
        <w:tc>
          <w:tcPr>
            <w:tcW w:type="dxa" w:w="2800"/>
            <w:tcBorders>
              <w:top w:val="single" w:color="D5D8DC" w:sz="1"/>
              <w:left w:val="single" w:color="D5D8DC" w:sz="1"/>
              <w:bottom w:val="single" w:color="D5D8DC" w:sz="1"/>
              <w:right w:val="single" w:color="D5D8DC" w:sz="1"/>
            </w:tcBorders>
            <w:shd w:fill="F4F6F7" w:val="clear"/>
            <w:tcMar>
              <w:top w:type="dxa" w:w="90"/>
              <w:left w:type="dxa" w:w="150"/>
              <w:bottom w:type="dxa" w:w="90"/>
              <w:right w:type="dxa" w:w="100"/>
            </w:tcMar>
            <w:vAlign w:val="top"/>
          </w:tcPr>
          <w:p>
            <w:pPr>
              <w:spacing w:before="0" w:after="0"/>
              <w:jc w:val="left"/>
            </w:pPr>
            <w:r>
              <w:rPr>
                <w:rFonts w:ascii="Arial" w:cs="Arial" w:eastAsia="Arial" w:hAnsi="Arial"/>
                <w:b w:val="false"/>
                <w:bCs w:val="false"/>
                <w:color w:val="1A1A1A"/>
                <w:sz w:val="20"/>
                <w:szCs w:val="20"/>
              </w:rPr>
              <w:t xml:space="preserve">Maps categories to integers preserving natural order (e.g., High School=1, University=2, Graduate=3).</w:t>
            </w:r>
          </w:p>
        </w:tc>
        <w:tc>
          <w:tcPr>
            <w:tcW w:type="dxa" w:w="2200"/>
            <w:tcBorders>
              <w:top w:val="single" w:color="D5D8DC" w:sz="1"/>
              <w:left w:val="single" w:color="D5D8DC" w:sz="1"/>
              <w:bottom w:val="single" w:color="D5D8DC" w:sz="1"/>
              <w:right w:val="single" w:color="D5D8DC" w:sz="1"/>
            </w:tcBorders>
            <w:shd w:fill="F4F6F7" w:val="clear"/>
            <w:tcMar>
              <w:top w:type="dxa" w:w="90"/>
              <w:left w:type="dxa" w:w="150"/>
              <w:bottom w:type="dxa" w:w="90"/>
              <w:right w:type="dxa" w:w="100"/>
            </w:tcMar>
            <w:vAlign w:val="top"/>
          </w:tcPr>
          <w:p>
            <w:pPr>
              <w:spacing w:before="0" w:after="0"/>
              <w:jc w:val="left"/>
            </w:pPr>
            <w:r>
              <w:rPr>
                <w:rFonts w:ascii="Arial" w:cs="Arial" w:eastAsia="Arial" w:hAnsi="Arial"/>
                <w:b w:val="false"/>
                <w:bCs w:val="false"/>
                <w:color w:val="1A1A1A"/>
                <w:sz w:val="20"/>
                <w:szCs w:val="20"/>
              </w:rPr>
              <w:t xml:space="preserve">Features with a well-defined and validated risk ordering (Education level; Delay categories).</w:t>
            </w:r>
          </w:p>
        </w:tc>
        <w:tc>
          <w:tcPr>
            <w:tcW w:type="dxa" w:w="2560"/>
            <w:tcBorders>
              <w:top w:val="single" w:color="D5D8DC" w:sz="1"/>
              <w:left w:val="single" w:color="D5D8DC" w:sz="1"/>
              <w:bottom w:val="single" w:color="D5D8DC" w:sz="1"/>
              <w:right w:val="single" w:color="D5D8DC" w:sz="1"/>
            </w:tcBorders>
            <w:shd w:fill="F4F6F7" w:val="clear"/>
            <w:tcMar>
              <w:top w:type="dxa" w:w="90"/>
              <w:left w:type="dxa" w:w="150"/>
              <w:bottom w:type="dxa" w:w="90"/>
              <w:right w:type="dxa" w:w="100"/>
            </w:tcMar>
            <w:vAlign w:val="top"/>
          </w:tcPr>
          <w:p>
            <w:pPr>
              <w:spacing w:before="0" w:after="0"/>
              <w:jc w:val="left"/>
            </w:pPr>
            <w:r>
              <w:rPr>
                <w:rFonts w:ascii="Arial" w:cs="Arial" w:eastAsia="Arial" w:hAnsi="Arial"/>
                <w:b w:val="false"/>
                <w:bCs w:val="false"/>
                <w:color w:val="1A1A1A"/>
                <w:sz w:val="20"/>
                <w:szCs w:val="20"/>
              </w:rPr>
              <w:t xml:space="preserve">Assumes equal spacing between categories — not always true. Verify with actual default rates.</w:t>
            </w:r>
          </w:p>
        </w:tc>
      </w:tr>
      <w:tr>
        <w:tc>
          <w:tcPr>
            <w:tcW w:type="dxa" w:w="1800"/>
            <w:tcBorders>
              <w:top w:val="single" w:color="D5D8DC" w:sz="1"/>
              <w:left w:val="single" w:color="D5D8DC" w:sz="1"/>
              <w:bottom w:val="single" w:color="D5D8DC" w:sz="1"/>
              <w:right w:val="single" w:color="D5D8DC" w:sz="1"/>
            </w:tcBorders>
            <w:shd w:fill="FFFFFF" w:val="clear"/>
            <w:tcMar>
              <w:top w:type="dxa" w:w="90"/>
              <w:left w:type="dxa" w:w="150"/>
              <w:bottom w:type="dxa" w:w="90"/>
              <w:right w:type="dxa" w:w="100"/>
            </w:tcMar>
            <w:vAlign w:val="top"/>
          </w:tcPr>
          <w:p>
            <w:pPr>
              <w:spacing w:before="0" w:after="0"/>
              <w:jc w:val="left"/>
            </w:pPr>
            <w:r>
              <w:rPr>
                <w:rFonts w:ascii="Arial" w:cs="Arial" w:eastAsia="Arial" w:hAnsi="Arial"/>
                <w:b/>
                <w:bCs/>
                <w:color w:val="1A1A1A"/>
                <w:sz w:val="20"/>
                <w:szCs w:val="20"/>
              </w:rPr>
              <w:t xml:space="preserve">WOE Encoding</w:t>
            </w:r>
          </w:p>
        </w:tc>
        <w:tc>
          <w:tcPr>
            <w:tcW w:type="dxa" w:w="2800"/>
            <w:tcBorders>
              <w:top w:val="single" w:color="D5D8DC" w:sz="1"/>
              <w:left w:val="single" w:color="D5D8DC" w:sz="1"/>
              <w:bottom w:val="single" w:color="D5D8DC" w:sz="1"/>
              <w:right w:val="single" w:color="D5D8DC" w:sz="1"/>
            </w:tcBorders>
            <w:shd w:fill="F4F6F7" w:val="clear"/>
            <w:tcMar>
              <w:top w:type="dxa" w:w="90"/>
              <w:left w:type="dxa" w:w="150"/>
              <w:bottom w:type="dxa" w:w="90"/>
              <w:right w:type="dxa" w:w="100"/>
            </w:tcMar>
            <w:vAlign w:val="top"/>
          </w:tcPr>
          <w:p>
            <w:pPr>
              <w:spacing w:before="0" w:after="0"/>
              <w:jc w:val="left"/>
            </w:pPr>
            <w:r>
              <w:rPr>
                <w:rFonts w:ascii="Arial" w:cs="Arial" w:eastAsia="Arial" w:hAnsi="Arial"/>
                <w:b w:val="false"/>
                <w:bCs w:val="false"/>
                <w:color w:val="1A1A1A"/>
                <w:sz w:val="20"/>
                <w:szCs w:val="20"/>
              </w:rPr>
              <w:t xml:space="preserve">Replaces each category with the natural log of (event rate in category / non-event rate in category).</w:t>
            </w:r>
          </w:p>
        </w:tc>
        <w:tc>
          <w:tcPr>
            <w:tcW w:type="dxa" w:w="2200"/>
            <w:tcBorders>
              <w:top w:val="single" w:color="D5D8DC" w:sz="1"/>
              <w:left w:val="single" w:color="D5D8DC" w:sz="1"/>
              <w:bottom w:val="single" w:color="D5D8DC" w:sz="1"/>
              <w:right w:val="single" w:color="D5D8DC" w:sz="1"/>
            </w:tcBorders>
            <w:shd w:fill="F4F6F7" w:val="clear"/>
            <w:tcMar>
              <w:top w:type="dxa" w:w="90"/>
              <w:left w:type="dxa" w:w="150"/>
              <w:bottom w:type="dxa" w:w="90"/>
              <w:right w:type="dxa" w:w="100"/>
            </w:tcMar>
            <w:vAlign w:val="top"/>
          </w:tcPr>
          <w:p>
            <w:pPr>
              <w:spacing w:before="0" w:after="0"/>
              <w:jc w:val="left"/>
            </w:pPr>
            <w:r>
              <w:rPr>
                <w:rFonts w:ascii="Arial" w:cs="Arial" w:eastAsia="Arial" w:hAnsi="Arial"/>
                <w:b w:val="false"/>
                <w:bCs w:val="false"/>
                <w:color w:val="1A1A1A"/>
                <w:sz w:val="20"/>
                <w:szCs w:val="20"/>
              </w:rPr>
              <w:t xml:space="preserve">Logistic Regression scorecards; ordinal features with monotonic or near-monotonic default rate patterns; regulatory models.</w:t>
            </w:r>
          </w:p>
        </w:tc>
        <w:tc>
          <w:tcPr>
            <w:tcW w:type="dxa" w:w="2560"/>
            <w:tcBorders>
              <w:top w:val="single" w:color="D5D8DC" w:sz="1"/>
              <w:left w:val="single" w:color="D5D8DC" w:sz="1"/>
              <w:bottom w:val="single" w:color="D5D8DC" w:sz="1"/>
              <w:right w:val="single" w:color="D5D8DC" w:sz="1"/>
            </w:tcBorders>
            <w:shd w:fill="F4F6F7" w:val="clear"/>
            <w:tcMar>
              <w:top w:type="dxa" w:w="90"/>
              <w:left w:type="dxa" w:w="150"/>
              <w:bottom w:type="dxa" w:w="90"/>
              <w:right w:type="dxa" w:w="100"/>
            </w:tcMar>
            <w:vAlign w:val="top"/>
          </w:tcPr>
          <w:p>
            <w:pPr>
              <w:spacing w:before="0" w:after="0"/>
              <w:jc w:val="left"/>
            </w:pPr>
            <w:r>
              <w:rPr>
                <w:rFonts w:ascii="Arial" w:cs="Arial" w:eastAsia="Arial" w:hAnsi="Arial"/>
                <w:b w:val="false"/>
                <w:bCs w:val="false"/>
                <w:color w:val="1A1A1A"/>
                <w:sz w:val="20"/>
                <w:szCs w:val="20"/>
              </w:rPr>
              <w:t xml:space="preserve">Requires minimum event count per bin (&gt;=5% of events). Risk of overfitting if bins are too fine. Must be fitted on training set only.</w:t>
            </w:r>
          </w:p>
        </w:tc>
      </w:tr>
      <w:tr>
        <w:tc>
          <w:tcPr>
            <w:tcW w:type="dxa" w:w="1800"/>
            <w:tcBorders>
              <w:top w:val="single" w:color="D5D8DC" w:sz="1"/>
              <w:left w:val="single" w:color="D5D8DC" w:sz="1"/>
              <w:bottom w:val="single" w:color="D5D8DC" w:sz="1"/>
              <w:right w:val="single" w:color="D5D8DC" w:sz="1"/>
            </w:tcBorders>
            <w:shd w:fill="FFFFFF" w:val="clear"/>
            <w:tcMar>
              <w:top w:type="dxa" w:w="90"/>
              <w:left w:type="dxa" w:w="150"/>
              <w:bottom w:type="dxa" w:w="90"/>
              <w:right w:type="dxa" w:w="100"/>
            </w:tcMar>
            <w:vAlign w:val="top"/>
          </w:tcPr>
          <w:p>
            <w:pPr>
              <w:spacing w:before="0" w:after="0"/>
              <w:jc w:val="left"/>
            </w:pPr>
            <w:r>
              <w:rPr>
                <w:rFonts w:ascii="Arial" w:cs="Arial" w:eastAsia="Arial" w:hAnsi="Arial"/>
                <w:b/>
                <w:bCs/>
                <w:color w:val="1A1A1A"/>
                <w:sz w:val="20"/>
                <w:szCs w:val="20"/>
              </w:rPr>
              <w:t xml:space="preserve">Target Encoding</w:t>
            </w:r>
          </w:p>
        </w:tc>
        <w:tc>
          <w:tcPr>
            <w:tcW w:type="dxa" w:w="2800"/>
            <w:tcBorders>
              <w:top w:val="single" w:color="D5D8DC" w:sz="1"/>
              <w:left w:val="single" w:color="D5D8DC" w:sz="1"/>
              <w:bottom w:val="single" w:color="D5D8DC" w:sz="1"/>
              <w:right w:val="single" w:color="D5D8DC" w:sz="1"/>
            </w:tcBorders>
            <w:shd w:fill="F4F6F7" w:val="clear"/>
            <w:tcMar>
              <w:top w:type="dxa" w:w="90"/>
              <w:left w:type="dxa" w:w="150"/>
              <w:bottom w:type="dxa" w:w="90"/>
              <w:right w:type="dxa" w:w="100"/>
            </w:tcMar>
            <w:vAlign w:val="top"/>
          </w:tcPr>
          <w:p>
            <w:pPr>
              <w:spacing w:before="0" w:after="0"/>
              <w:jc w:val="left"/>
            </w:pPr>
            <w:r>
              <w:rPr>
                <w:rFonts w:ascii="Arial" w:cs="Arial" w:eastAsia="Arial" w:hAnsi="Arial"/>
                <w:b w:val="false"/>
                <w:bCs w:val="false"/>
                <w:color w:val="1A1A1A"/>
                <w:sz w:val="20"/>
                <w:szCs w:val="20"/>
              </w:rPr>
              <w:t xml:space="preserve">Replaces each category with the mean target rate for that category. Often smoothed with a global prior.</w:t>
            </w:r>
          </w:p>
        </w:tc>
        <w:tc>
          <w:tcPr>
            <w:tcW w:type="dxa" w:w="2200"/>
            <w:tcBorders>
              <w:top w:val="single" w:color="D5D8DC" w:sz="1"/>
              <w:left w:val="single" w:color="D5D8DC" w:sz="1"/>
              <w:bottom w:val="single" w:color="D5D8DC" w:sz="1"/>
              <w:right w:val="single" w:color="D5D8DC" w:sz="1"/>
            </w:tcBorders>
            <w:shd w:fill="F4F6F7" w:val="clear"/>
            <w:tcMar>
              <w:top w:type="dxa" w:w="90"/>
              <w:left w:type="dxa" w:w="150"/>
              <w:bottom w:type="dxa" w:w="90"/>
              <w:right w:type="dxa" w:w="100"/>
            </w:tcMar>
            <w:vAlign w:val="top"/>
          </w:tcPr>
          <w:p>
            <w:pPr>
              <w:spacing w:before="0" w:after="0"/>
              <w:jc w:val="left"/>
            </w:pPr>
            <w:r>
              <w:rPr>
                <w:rFonts w:ascii="Arial" w:cs="Arial" w:eastAsia="Arial" w:hAnsi="Arial"/>
                <w:b w:val="false"/>
                <w:bCs w:val="false"/>
                <w:color w:val="1A1A1A"/>
                <w:sz w:val="20"/>
                <w:szCs w:val="20"/>
              </w:rPr>
              <w:t xml:space="preserve">High-cardinality categoricals (e.g., occupation, region) for tree models. Not suitable for LR.</w:t>
            </w:r>
          </w:p>
        </w:tc>
        <w:tc>
          <w:tcPr>
            <w:tcW w:type="dxa" w:w="2560"/>
            <w:tcBorders>
              <w:top w:val="single" w:color="D5D8DC" w:sz="1"/>
              <w:left w:val="single" w:color="D5D8DC" w:sz="1"/>
              <w:bottom w:val="single" w:color="D5D8DC" w:sz="1"/>
              <w:right w:val="single" w:color="D5D8DC" w:sz="1"/>
            </w:tcBorders>
            <w:shd w:fill="F4F6F7" w:val="clear"/>
            <w:tcMar>
              <w:top w:type="dxa" w:w="90"/>
              <w:left w:type="dxa" w:w="150"/>
              <w:bottom w:type="dxa" w:w="90"/>
              <w:right w:type="dxa" w:w="100"/>
            </w:tcMar>
            <w:vAlign w:val="top"/>
          </w:tcPr>
          <w:p>
            <w:pPr>
              <w:spacing w:before="0" w:after="0"/>
              <w:jc w:val="left"/>
            </w:pPr>
            <w:r>
              <w:rPr>
                <w:rFonts w:ascii="Arial" w:cs="Arial" w:eastAsia="Arial" w:hAnsi="Arial"/>
                <w:b w:val="false"/>
                <w:bCs w:val="false"/>
                <w:color w:val="1A1A1A"/>
                <w:sz w:val="20"/>
                <w:szCs w:val="20"/>
              </w:rPr>
              <w:t xml:space="preserve">High leakage risk if not computed within cross-validation folds. Produces biased estimates on small categories.</w:t>
            </w:r>
          </w:p>
        </w:tc>
      </w:tr>
      <w:tr>
        <w:tc>
          <w:tcPr>
            <w:tcW w:type="dxa" w:w="1800"/>
            <w:tcBorders>
              <w:top w:val="single" w:color="D5D8DC" w:sz="1"/>
              <w:left w:val="single" w:color="D5D8DC" w:sz="1"/>
              <w:bottom w:val="single" w:color="D5D8DC" w:sz="1"/>
              <w:right w:val="single" w:color="D5D8DC" w:sz="1"/>
            </w:tcBorders>
            <w:shd w:fill="FFFFFF" w:val="clear"/>
            <w:tcMar>
              <w:top w:type="dxa" w:w="90"/>
              <w:left w:type="dxa" w:w="150"/>
              <w:bottom w:type="dxa" w:w="90"/>
              <w:right w:type="dxa" w:w="100"/>
            </w:tcMar>
            <w:vAlign w:val="top"/>
          </w:tcPr>
          <w:p>
            <w:pPr>
              <w:spacing w:before="0" w:after="0"/>
              <w:jc w:val="left"/>
            </w:pPr>
            <w:r>
              <w:rPr>
                <w:rFonts w:ascii="Arial" w:cs="Arial" w:eastAsia="Arial" w:hAnsi="Arial"/>
                <w:b/>
                <w:bCs/>
                <w:color w:val="1A1A1A"/>
                <w:sz w:val="20"/>
                <w:szCs w:val="20"/>
              </w:rPr>
              <w:t xml:space="preserve">Frequency Encoding</w:t>
            </w:r>
          </w:p>
        </w:tc>
        <w:tc>
          <w:tcPr>
            <w:tcW w:type="dxa" w:w="2800"/>
            <w:tcBorders>
              <w:top w:val="single" w:color="D5D8DC" w:sz="1"/>
              <w:left w:val="single" w:color="D5D8DC" w:sz="1"/>
              <w:bottom w:val="single" w:color="D5D8DC" w:sz="1"/>
              <w:right w:val="single" w:color="D5D8DC" w:sz="1"/>
            </w:tcBorders>
            <w:shd w:fill="F4F6F7" w:val="clear"/>
            <w:tcMar>
              <w:top w:type="dxa" w:w="90"/>
              <w:left w:type="dxa" w:w="150"/>
              <w:bottom w:type="dxa" w:w="90"/>
              <w:right w:type="dxa" w:w="100"/>
            </w:tcMar>
            <w:vAlign w:val="top"/>
          </w:tcPr>
          <w:p>
            <w:pPr>
              <w:spacing w:before="0" w:after="0"/>
              <w:jc w:val="left"/>
            </w:pPr>
            <w:r>
              <w:rPr>
                <w:rFonts w:ascii="Arial" w:cs="Arial" w:eastAsia="Arial" w:hAnsi="Arial"/>
                <w:b w:val="false"/>
                <w:bCs w:val="false"/>
                <w:color w:val="1A1A1A"/>
                <w:sz w:val="20"/>
                <w:szCs w:val="20"/>
              </w:rPr>
              <w:t xml:space="preserve">Replaces each category with its frequency count or proportion in the training set.</w:t>
            </w:r>
          </w:p>
        </w:tc>
        <w:tc>
          <w:tcPr>
            <w:tcW w:type="dxa" w:w="2200"/>
            <w:tcBorders>
              <w:top w:val="single" w:color="D5D8DC" w:sz="1"/>
              <w:left w:val="single" w:color="D5D8DC" w:sz="1"/>
              <w:bottom w:val="single" w:color="D5D8DC" w:sz="1"/>
              <w:right w:val="single" w:color="D5D8DC" w:sz="1"/>
            </w:tcBorders>
            <w:shd w:fill="F4F6F7" w:val="clear"/>
            <w:tcMar>
              <w:top w:type="dxa" w:w="90"/>
              <w:left w:type="dxa" w:w="150"/>
              <w:bottom w:type="dxa" w:w="90"/>
              <w:right w:type="dxa" w:w="100"/>
            </w:tcMar>
            <w:vAlign w:val="top"/>
          </w:tcPr>
          <w:p>
            <w:pPr>
              <w:spacing w:before="0" w:after="0"/>
              <w:jc w:val="left"/>
            </w:pPr>
            <w:r>
              <w:rPr>
                <w:rFonts w:ascii="Arial" w:cs="Arial" w:eastAsia="Arial" w:hAnsi="Arial"/>
                <w:b w:val="false"/>
                <w:bCs w:val="false"/>
                <w:color w:val="1A1A1A"/>
                <w:sz w:val="20"/>
                <w:szCs w:val="20"/>
              </w:rPr>
              <w:t xml:space="preserve">Tree models only; useful when category popularity is informative (e.g., rare professions).</w:t>
            </w:r>
          </w:p>
        </w:tc>
        <w:tc>
          <w:tcPr>
            <w:tcW w:type="dxa" w:w="2560"/>
            <w:tcBorders>
              <w:top w:val="single" w:color="D5D8DC" w:sz="1"/>
              <w:left w:val="single" w:color="D5D8DC" w:sz="1"/>
              <w:bottom w:val="single" w:color="D5D8DC" w:sz="1"/>
              <w:right w:val="single" w:color="D5D8DC" w:sz="1"/>
            </w:tcBorders>
            <w:shd w:fill="F4F6F7" w:val="clear"/>
            <w:tcMar>
              <w:top w:type="dxa" w:w="90"/>
              <w:left w:type="dxa" w:w="150"/>
              <w:bottom w:type="dxa" w:w="90"/>
              <w:right w:type="dxa" w:w="100"/>
            </w:tcMar>
            <w:vAlign w:val="top"/>
          </w:tcPr>
          <w:p>
            <w:pPr>
              <w:spacing w:before="0" w:after="0"/>
              <w:jc w:val="left"/>
            </w:pPr>
            <w:r>
              <w:rPr>
                <w:rFonts w:ascii="Arial" w:cs="Arial" w:eastAsia="Arial" w:hAnsi="Arial"/>
                <w:b w:val="false"/>
                <w:bCs w:val="false"/>
                <w:color w:val="1A1A1A"/>
                <w:sz w:val="20"/>
                <w:szCs w:val="20"/>
              </w:rPr>
              <w:t xml:space="preserve">No direct relationship with target. Should not be used in isolation for credit risk.</w:t>
            </w:r>
          </w:p>
        </w:tc>
      </w:tr>
    </w:tbl>
    <w:p>
      <w:pPr>
        <w:spacing w:before="0" w:after="140"/>
      </w:pPr>
    </w:p>
    <w:p>
      <w:pPr>
        <w:pStyle w:val="Heading2"/>
        <w:spacing w:before="280" w:after="120"/>
      </w:pPr>
      <w:r>
        <w:rPr>
          <w:rFonts w:ascii="Arial" w:cs="Arial" w:eastAsia="Arial" w:hAnsi="Arial"/>
          <w:b/>
          <w:bCs/>
          <w:color w:val="1B6CA8"/>
          <w:sz w:val="28"/>
          <w:szCs w:val="28"/>
        </w:rPr>
        <w:t xml:space="preserve">5.2 Recommended Encoding by Feature and Model Type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2400"/>
        <w:gridCol w:w="2760"/>
      </w:tblGrid>
      <w:tr>
        <w:tc>
          <w:tcPr>
            <w:tcW w:type="dxa" w:w="1800"/>
            <w:tcBorders>
              <w:top w:val="single" w:color="D5D8DC" w:sz="1"/>
              <w:left w:val="single" w:color="D5D8DC" w:sz="1"/>
              <w:bottom w:val="single" w:color="D5D8DC" w:sz="1"/>
              <w:right w:val="single" w:color="D5D8DC" w:sz="1"/>
            </w:tcBorders>
            <w:shd w:fill="1F3864" w:val="clear"/>
            <w:tcMar>
              <w:top w:type="dxa" w:w="90"/>
              <w:left w:type="dxa" w:w="150"/>
              <w:bottom w:type="dxa" w:w="90"/>
              <w:right w:type="dxa" w:w="100"/>
            </w:tcMar>
            <w:vAlign w:val="top"/>
          </w:tcPr>
          <w:p>
            <w:pPr>
              <w:spacing w:before="0" w:after="0"/>
              <w:jc w:val="left"/>
            </w:pPr>
            <w:r>
              <w:rPr>
                <w:rFonts w:ascii="Arial" w:cs="Arial" w:eastAsia="Arial" w:hAnsi="Arial"/>
                <w:b/>
                <w:bCs/>
                <w:color w:val="FFFFFF"/>
                <w:sz w:val="19"/>
                <w:szCs w:val="19"/>
              </w:rPr>
              <w:t xml:space="preserve">Feature</w:t>
            </w:r>
          </w:p>
        </w:tc>
        <w:tc>
          <w:tcPr>
            <w:tcW w:type="dxa" w:w="2400"/>
            <w:tcBorders>
              <w:top w:val="single" w:color="D5D8DC" w:sz="1"/>
              <w:left w:val="single" w:color="D5D8DC" w:sz="1"/>
              <w:bottom w:val="single" w:color="D5D8DC" w:sz="1"/>
              <w:right w:val="single" w:color="D5D8DC" w:sz="1"/>
            </w:tcBorders>
            <w:shd w:fill="1F3864" w:val="clear"/>
            <w:tcMar>
              <w:top w:type="dxa" w:w="90"/>
              <w:left w:type="dxa" w:w="150"/>
              <w:bottom w:type="dxa" w:w="90"/>
              <w:right w:type="dxa" w:w="100"/>
            </w:tcMar>
            <w:vAlign w:val="top"/>
          </w:tcPr>
          <w:p>
            <w:pPr>
              <w:spacing w:before="0" w:after="0"/>
              <w:jc w:val="left"/>
            </w:pPr>
            <w:r>
              <w:rPr>
                <w:rFonts w:ascii="Arial" w:cs="Arial" w:eastAsia="Arial" w:hAnsi="Arial"/>
                <w:b/>
                <w:bCs/>
                <w:color w:val="FFFFFF"/>
                <w:sz w:val="19"/>
                <w:szCs w:val="19"/>
              </w:rPr>
              <w:t xml:space="preserve">For Logistic Regression / Scorecard</w:t>
            </w:r>
          </w:p>
        </w:tc>
        <w:tc>
          <w:tcPr>
            <w:tcW w:type="dxa" w:w="2400"/>
            <w:tcBorders>
              <w:top w:val="single" w:color="D5D8DC" w:sz="1"/>
              <w:left w:val="single" w:color="D5D8DC" w:sz="1"/>
              <w:bottom w:val="single" w:color="D5D8DC" w:sz="1"/>
              <w:right w:val="single" w:color="D5D8DC" w:sz="1"/>
            </w:tcBorders>
            <w:shd w:fill="1F3864" w:val="clear"/>
            <w:tcMar>
              <w:top w:type="dxa" w:w="90"/>
              <w:left w:type="dxa" w:w="150"/>
              <w:bottom w:type="dxa" w:w="90"/>
              <w:right w:type="dxa" w:w="100"/>
            </w:tcMar>
            <w:vAlign w:val="top"/>
          </w:tcPr>
          <w:p>
            <w:pPr>
              <w:spacing w:before="0" w:after="0"/>
              <w:jc w:val="left"/>
            </w:pPr>
            <w:r>
              <w:rPr>
                <w:rFonts w:ascii="Arial" w:cs="Arial" w:eastAsia="Arial" w:hAnsi="Arial"/>
                <w:b/>
                <w:bCs/>
                <w:color w:val="FFFFFF"/>
                <w:sz w:val="19"/>
                <w:szCs w:val="19"/>
              </w:rPr>
              <w:t xml:space="preserve">For XGBoost / LightGBM</w:t>
            </w:r>
          </w:p>
        </w:tc>
        <w:tc>
          <w:tcPr>
            <w:tcW w:type="dxa" w:w="2760"/>
            <w:tcBorders>
              <w:top w:val="single" w:color="D5D8DC" w:sz="1"/>
              <w:left w:val="single" w:color="D5D8DC" w:sz="1"/>
              <w:bottom w:val="single" w:color="D5D8DC" w:sz="1"/>
              <w:right w:val="single" w:color="D5D8DC" w:sz="1"/>
            </w:tcBorders>
            <w:shd w:fill="1F3864" w:val="clear"/>
            <w:tcMar>
              <w:top w:type="dxa" w:w="90"/>
              <w:left w:type="dxa" w:w="150"/>
              <w:bottom w:type="dxa" w:w="90"/>
              <w:right w:type="dxa" w:w="100"/>
            </w:tcMar>
            <w:vAlign w:val="top"/>
          </w:tcPr>
          <w:p>
            <w:pPr>
              <w:spacing w:before="0" w:after="0"/>
              <w:jc w:val="left"/>
            </w:pPr>
            <w:r>
              <w:rPr>
                <w:rFonts w:ascii="Arial" w:cs="Arial" w:eastAsia="Arial" w:hAnsi="Arial"/>
                <w:b/>
                <w:bCs/>
                <w:color w:val="FFFFFF"/>
                <w:sz w:val="19"/>
                <w:szCs w:val="19"/>
              </w:rPr>
              <w:t xml:space="preserve">Rationale</w:t>
            </w:r>
          </w:p>
        </w:tc>
      </w:tr>
      <w:tr>
        <w:tc>
          <w:tcPr>
            <w:tcW w:type="dxa" w:w="1800"/>
            <w:tcBorders>
              <w:top w:val="single" w:color="D5D8DC" w:sz="1"/>
              <w:left w:val="single" w:color="D5D8DC" w:sz="1"/>
              <w:bottom w:val="single" w:color="D5D8DC" w:sz="1"/>
              <w:right w:val="single" w:color="D5D8DC" w:sz="1"/>
            </w:tcBorders>
            <w:shd w:fill="FFFFFF" w:val="clear"/>
            <w:tcMar>
              <w:top w:type="dxa" w:w="90"/>
              <w:left w:type="dxa" w:w="150"/>
              <w:bottom w:type="dxa" w:w="90"/>
              <w:right w:type="dxa" w:w="100"/>
            </w:tcMar>
            <w:vAlign w:val="top"/>
          </w:tcPr>
          <w:p>
            <w:pPr>
              <w:spacing w:before="0" w:after="0"/>
              <w:jc w:val="left"/>
            </w:pPr>
            <w:r>
              <w:rPr>
                <w:rFonts w:ascii="Arial" w:cs="Arial" w:eastAsia="Arial" w:hAnsi="Arial"/>
                <w:b w:val="false"/>
                <w:bCs w:val="false"/>
                <w:color w:val="1A1A1A"/>
                <w:sz w:val="20"/>
                <w:szCs w:val="20"/>
              </w:rPr>
              <w:t xml:space="preserve">EDUCATION</w:t>
            </w:r>
          </w:p>
        </w:tc>
        <w:tc>
          <w:tcPr>
            <w:tcW w:type="dxa" w:w="2400"/>
            <w:tcBorders>
              <w:top w:val="single" w:color="D5D8DC" w:sz="1"/>
              <w:left w:val="single" w:color="D5D8DC" w:sz="1"/>
              <w:bottom w:val="single" w:color="D5D8DC" w:sz="1"/>
              <w:right w:val="single" w:color="D5D8DC" w:sz="1"/>
            </w:tcBorders>
            <w:shd w:fill="F4F6F7" w:val="clear"/>
            <w:tcMar>
              <w:top w:type="dxa" w:w="90"/>
              <w:left w:type="dxa" w:w="150"/>
              <w:bottom w:type="dxa" w:w="90"/>
              <w:right w:type="dxa" w:w="100"/>
            </w:tcMar>
            <w:vAlign w:val="top"/>
          </w:tcPr>
          <w:p>
            <w:pPr>
              <w:spacing w:before="0" w:after="0"/>
              <w:jc w:val="left"/>
            </w:pPr>
            <w:r>
              <w:rPr>
                <w:rFonts w:ascii="Arial" w:cs="Arial" w:eastAsia="Arial" w:hAnsi="Arial"/>
                <w:b w:val="false"/>
                <w:bCs w:val="false"/>
                <w:color w:val="1A1A1A"/>
                <w:sz w:val="20"/>
                <w:szCs w:val="20"/>
              </w:rPr>
              <w:t xml:space="preserve">WOE encoding (after fine/coarse binning)</w:t>
            </w:r>
          </w:p>
        </w:tc>
        <w:tc>
          <w:tcPr>
            <w:tcW w:type="dxa" w:w="2400"/>
            <w:tcBorders>
              <w:top w:val="single" w:color="D5D8DC" w:sz="1"/>
              <w:left w:val="single" w:color="D5D8DC" w:sz="1"/>
              <w:bottom w:val="single" w:color="D5D8DC" w:sz="1"/>
              <w:right w:val="single" w:color="D5D8DC" w:sz="1"/>
            </w:tcBorders>
            <w:shd w:fill="F4F6F7" w:val="clear"/>
            <w:tcMar>
              <w:top w:type="dxa" w:w="90"/>
              <w:left w:type="dxa" w:w="150"/>
              <w:bottom w:type="dxa" w:w="90"/>
              <w:right w:type="dxa" w:w="100"/>
            </w:tcMar>
            <w:vAlign w:val="top"/>
          </w:tcPr>
          <w:p>
            <w:pPr>
              <w:spacing w:before="0" w:after="0"/>
              <w:jc w:val="left"/>
            </w:pPr>
            <w:r>
              <w:rPr>
                <w:rFonts w:ascii="Arial" w:cs="Arial" w:eastAsia="Arial" w:hAnsi="Arial"/>
                <w:b w:val="false"/>
                <w:bCs w:val="false"/>
                <w:color w:val="1A1A1A"/>
                <w:sz w:val="20"/>
                <w:szCs w:val="20"/>
              </w:rPr>
              <w:t xml:space="preserve">Ordinal integer or leave as categorical</w:t>
            </w:r>
          </w:p>
        </w:tc>
        <w:tc>
          <w:tcPr>
            <w:tcW w:type="dxa" w:w="2760"/>
            <w:tcBorders>
              <w:top w:val="single" w:color="D5D8DC" w:sz="1"/>
              <w:left w:val="single" w:color="D5D8DC" w:sz="1"/>
              <w:bottom w:val="single" w:color="D5D8DC" w:sz="1"/>
              <w:right w:val="single" w:color="D5D8DC" w:sz="1"/>
            </w:tcBorders>
            <w:shd w:fill="FFFFFF" w:val="clear"/>
            <w:tcMar>
              <w:top w:type="dxa" w:w="90"/>
              <w:left w:type="dxa" w:w="150"/>
              <w:bottom w:type="dxa" w:w="90"/>
              <w:right w:type="dxa" w:w="100"/>
            </w:tcMar>
            <w:vAlign w:val="top"/>
          </w:tcPr>
          <w:p>
            <w:pPr>
              <w:spacing w:before="0" w:after="0"/>
              <w:jc w:val="left"/>
            </w:pPr>
            <w:r>
              <w:rPr>
                <w:rFonts w:ascii="Arial" w:cs="Arial" w:eastAsia="Arial" w:hAnsi="Arial"/>
                <w:b w:val="false"/>
                <w:bCs w:val="false"/>
                <w:color w:val="1A1A1A"/>
                <w:sz w:val="20"/>
                <w:szCs w:val="20"/>
              </w:rPr>
              <w:t xml:space="preserve">Clear gradient in default rates supports WOE. Tree handles ordinal natively.</w:t>
            </w:r>
          </w:p>
        </w:tc>
      </w:tr>
      <w:tr>
        <w:tc>
          <w:tcPr>
            <w:tcW w:type="dxa" w:w="1800"/>
            <w:tcBorders>
              <w:top w:val="single" w:color="D5D8DC" w:sz="1"/>
              <w:left w:val="single" w:color="D5D8DC" w:sz="1"/>
              <w:bottom w:val="single" w:color="D5D8DC" w:sz="1"/>
              <w:right w:val="single" w:color="D5D8DC" w:sz="1"/>
            </w:tcBorders>
            <w:shd w:fill="FFFFFF" w:val="clear"/>
            <w:tcMar>
              <w:top w:type="dxa" w:w="90"/>
              <w:left w:type="dxa" w:w="150"/>
              <w:bottom w:type="dxa" w:w="90"/>
              <w:right w:type="dxa" w:w="100"/>
            </w:tcMar>
            <w:vAlign w:val="top"/>
          </w:tcPr>
          <w:p>
            <w:pPr>
              <w:spacing w:before="0" w:after="0"/>
              <w:jc w:val="left"/>
            </w:pPr>
            <w:r>
              <w:rPr>
                <w:rFonts w:ascii="Arial" w:cs="Arial" w:eastAsia="Arial" w:hAnsi="Arial"/>
                <w:b w:val="false"/>
                <w:bCs w:val="false"/>
                <w:color w:val="1A1A1A"/>
                <w:sz w:val="20"/>
                <w:szCs w:val="20"/>
              </w:rPr>
              <w:t xml:space="preserve">MARRIAGE</w:t>
            </w:r>
          </w:p>
        </w:tc>
        <w:tc>
          <w:tcPr>
            <w:tcW w:type="dxa" w:w="2400"/>
            <w:tcBorders>
              <w:top w:val="single" w:color="D5D8DC" w:sz="1"/>
              <w:left w:val="single" w:color="D5D8DC" w:sz="1"/>
              <w:bottom w:val="single" w:color="D5D8DC" w:sz="1"/>
              <w:right w:val="single" w:color="D5D8DC" w:sz="1"/>
            </w:tcBorders>
            <w:shd w:fill="F4F6F7" w:val="clear"/>
            <w:tcMar>
              <w:top w:type="dxa" w:w="90"/>
              <w:left w:type="dxa" w:w="150"/>
              <w:bottom w:type="dxa" w:w="90"/>
              <w:right w:type="dxa" w:w="100"/>
            </w:tcMar>
            <w:vAlign w:val="top"/>
          </w:tcPr>
          <w:p>
            <w:pPr>
              <w:spacing w:before="0" w:after="0"/>
              <w:jc w:val="left"/>
            </w:pPr>
            <w:r>
              <w:rPr>
                <w:rFonts w:ascii="Arial" w:cs="Arial" w:eastAsia="Arial" w:hAnsi="Arial"/>
                <w:b w:val="false"/>
                <w:bCs w:val="false"/>
                <w:color w:val="1A1A1A"/>
                <w:sz w:val="20"/>
                <w:szCs w:val="20"/>
              </w:rPr>
              <w:t xml:space="preserve">WOE encoding</w:t>
            </w:r>
          </w:p>
        </w:tc>
        <w:tc>
          <w:tcPr>
            <w:tcW w:type="dxa" w:w="2400"/>
            <w:tcBorders>
              <w:top w:val="single" w:color="D5D8DC" w:sz="1"/>
              <w:left w:val="single" w:color="D5D8DC" w:sz="1"/>
              <w:bottom w:val="single" w:color="D5D8DC" w:sz="1"/>
              <w:right w:val="single" w:color="D5D8DC" w:sz="1"/>
            </w:tcBorders>
            <w:shd w:fill="F4F6F7" w:val="clear"/>
            <w:tcMar>
              <w:top w:type="dxa" w:w="90"/>
              <w:left w:type="dxa" w:w="150"/>
              <w:bottom w:type="dxa" w:w="90"/>
              <w:right w:type="dxa" w:w="100"/>
            </w:tcMar>
            <w:vAlign w:val="top"/>
          </w:tcPr>
          <w:p>
            <w:pPr>
              <w:spacing w:before="0" w:after="0"/>
              <w:jc w:val="left"/>
            </w:pPr>
            <w:r>
              <w:rPr>
                <w:rFonts w:ascii="Arial" w:cs="Arial" w:eastAsia="Arial" w:hAnsi="Arial"/>
                <w:b w:val="false"/>
                <w:bCs w:val="false"/>
                <w:color w:val="1A1A1A"/>
                <w:sz w:val="20"/>
                <w:szCs w:val="20"/>
              </w:rPr>
              <w:t xml:space="preserve">One-hot (3 categories) or label encode</w:t>
            </w:r>
          </w:p>
        </w:tc>
        <w:tc>
          <w:tcPr>
            <w:tcW w:type="dxa" w:w="2760"/>
            <w:tcBorders>
              <w:top w:val="single" w:color="D5D8DC" w:sz="1"/>
              <w:left w:val="single" w:color="D5D8DC" w:sz="1"/>
              <w:bottom w:val="single" w:color="D5D8DC" w:sz="1"/>
              <w:right w:val="single" w:color="D5D8DC" w:sz="1"/>
            </w:tcBorders>
            <w:shd w:fill="FFFFFF" w:val="clear"/>
            <w:tcMar>
              <w:top w:type="dxa" w:w="90"/>
              <w:left w:type="dxa" w:w="150"/>
              <w:bottom w:type="dxa" w:w="90"/>
              <w:right w:type="dxa" w:w="100"/>
            </w:tcMar>
            <w:vAlign w:val="top"/>
          </w:tcPr>
          <w:p>
            <w:pPr>
              <w:spacing w:before="0" w:after="0"/>
              <w:jc w:val="left"/>
            </w:pPr>
            <w:r>
              <w:rPr>
                <w:rFonts w:ascii="Arial" w:cs="Arial" w:eastAsia="Arial" w:hAnsi="Arial"/>
                <w:b w:val="false"/>
                <w:bCs w:val="false"/>
                <w:color w:val="1A1A1A"/>
                <w:sz w:val="20"/>
                <w:szCs w:val="20"/>
              </w:rPr>
              <w:t xml:space="preserve">Small number of categories; WOE appropriate for scorecard.</w:t>
            </w:r>
          </w:p>
        </w:tc>
      </w:tr>
      <w:tr>
        <w:tc>
          <w:tcPr>
            <w:tcW w:type="dxa" w:w="1800"/>
            <w:tcBorders>
              <w:top w:val="single" w:color="D5D8DC" w:sz="1"/>
              <w:left w:val="single" w:color="D5D8DC" w:sz="1"/>
              <w:bottom w:val="single" w:color="D5D8DC" w:sz="1"/>
              <w:right w:val="single" w:color="D5D8DC" w:sz="1"/>
            </w:tcBorders>
            <w:shd w:fill="FFFFFF" w:val="clear"/>
            <w:tcMar>
              <w:top w:type="dxa" w:w="90"/>
              <w:left w:type="dxa" w:w="150"/>
              <w:bottom w:type="dxa" w:w="90"/>
              <w:right w:type="dxa" w:w="100"/>
            </w:tcMar>
            <w:vAlign w:val="top"/>
          </w:tcPr>
          <w:p>
            <w:pPr>
              <w:spacing w:before="0" w:after="0"/>
              <w:jc w:val="left"/>
            </w:pPr>
            <w:r>
              <w:rPr>
                <w:rFonts w:ascii="Arial" w:cs="Arial" w:eastAsia="Arial" w:hAnsi="Arial"/>
                <w:b w:val="false"/>
                <w:bCs w:val="false"/>
                <w:color w:val="1A1A1A"/>
                <w:sz w:val="20"/>
                <w:szCs w:val="20"/>
              </w:rPr>
              <w:t xml:space="preserve">GENDER</w:t>
            </w:r>
          </w:p>
        </w:tc>
        <w:tc>
          <w:tcPr>
            <w:tcW w:type="dxa" w:w="2400"/>
            <w:tcBorders>
              <w:top w:val="single" w:color="D5D8DC" w:sz="1"/>
              <w:left w:val="single" w:color="D5D8DC" w:sz="1"/>
              <w:bottom w:val="single" w:color="D5D8DC" w:sz="1"/>
              <w:right w:val="single" w:color="D5D8DC" w:sz="1"/>
            </w:tcBorders>
            <w:shd w:fill="F4F6F7" w:val="clear"/>
            <w:tcMar>
              <w:top w:type="dxa" w:w="90"/>
              <w:left w:type="dxa" w:w="150"/>
              <w:bottom w:type="dxa" w:w="90"/>
              <w:right w:type="dxa" w:w="100"/>
            </w:tcMar>
            <w:vAlign w:val="top"/>
          </w:tcPr>
          <w:p>
            <w:pPr>
              <w:spacing w:before="0" w:after="0"/>
              <w:jc w:val="left"/>
            </w:pPr>
            <w:r>
              <w:rPr>
                <w:rFonts w:ascii="Arial" w:cs="Arial" w:eastAsia="Arial" w:hAnsi="Arial"/>
                <w:b w:val="false"/>
                <w:bCs w:val="false"/>
                <w:color w:val="1A1A1A"/>
                <w:sz w:val="20"/>
                <w:szCs w:val="20"/>
              </w:rPr>
              <w:t xml:space="preserve">WOE encoding (if retained)</w:t>
            </w:r>
          </w:p>
        </w:tc>
        <w:tc>
          <w:tcPr>
            <w:tcW w:type="dxa" w:w="2400"/>
            <w:tcBorders>
              <w:top w:val="single" w:color="D5D8DC" w:sz="1"/>
              <w:left w:val="single" w:color="D5D8DC" w:sz="1"/>
              <w:bottom w:val="single" w:color="D5D8DC" w:sz="1"/>
              <w:right w:val="single" w:color="D5D8DC" w:sz="1"/>
            </w:tcBorders>
            <w:shd w:fill="F4F6F7" w:val="clear"/>
            <w:tcMar>
              <w:top w:type="dxa" w:w="90"/>
              <w:left w:type="dxa" w:w="150"/>
              <w:bottom w:type="dxa" w:w="90"/>
              <w:right w:type="dxa" w:w="100"/>
            </w:tcMar>
            <w:vAlign w:val="top"/>
          </w:tcPr>
          <w:p>
            <w:pPr>
              <w:spacing w:before="0" w:after="0"/>
              <w:jc w:val="left"/>
            </w:pPr>
            <w:r>
              <w:rPr>
                <w:rFonts w:ascii="Arial" w:cs="Arial" w:eastAsia="Arial" w:hAnsi="Arial"/>
                <w:b w:val="false"/>
                <w:bCs w:val="false"/>
                <w:color w:val="1A1A1A"/>
                <w:sz w:val="20"/>
                <w:szCs w:val="20"/>
              </w:rPr>
              <w:t xml:space="preserve">One-hot (binary)</w:t>
            </w:r>
          </w:p>
        </w:tc>
        <w:tc>
          <w:tcPr>
            <w:tcW w:type="dxa" w:w="2760"/>
            <w:tcBorders>
              <w:top w:val="single" w:color="D5D8DC" w:sz="1"/>
              <w:left w:val="single" w:color="D5D8DC" w:sz="1"/>
              <w:bottom w:val="single" w:color="D5D8DC" w:sz="1"/>
              <w:right w:val="single" w:color="D5D8DC" w:sz="1"/>
            </w:tcBorders>
            <w:shd w:fill="FFFFFF" w:val="clear"/>
            <w:tcMar>
              <w:top w:type="dxa" w:w="90"/>
              <w:left w:type="dxa" w:w="150"/>
              <w:bottom w:type="dxa" w:w="90"/>
              <w:right w:type="dxa" w:w="100"/>
            </w:tcMar>
            <w:vAlign w:val="top"/>
          </w:tcPr>
          <w:p>
            <w:pPr>
              <w:spacing w:before="0" w:after="0"/>
              <w:jc w:val="left"/>
            </w:pPr>
            <w:r>
              <w:rPr>
                <w:rFonts w:ascii="Arial" w:cs="Arial" w:eastAsia="Arial" w:hAnsi="Arial"/>
                <w:b w:val="false"/>
                <w:bCs w:val="false"/>
                <w:color w:val="1A1A1A"/>
                <w:sz w:val="20"/>
                <w:szCs w:val="20"/>
              </w:rPr>
              <w:t xml:space="preserve">Binary variable. One-hot and WOE produce equivalent results for binary features.</w:t>
            </w:r>
          </w:p>
        </w:tc>
      </w:tr>
      <w:tr>
        <w:tc>
          <w:tcPr>
            <w:tcW w:type="dxa" w:w="1800"/>
            <w:tcBorders>
              <w:top w:val="single" w:color="D5D8DC" w:sz="1"/>
              <w:left w:val="single" w:color="D5D8DC" w:sz="1"/>
              <w:bottom w:val="single" w:color="D5D8DC" w:sz="1"/>
              <w:right w:val="single" w:color="D5D8DC" w:sz="1"/>
            </w:tcBorders>
            <w:shd w:fill="FFFFFF" w:val="clear"/>
            <w:tcMar>
              <w:top w:type="dxa" w:w="90"/>
              <w:left w:type="dxa" w:w="150"/>
              <w:bottom w:type="dxa" w:w="90"/>
              <w:right w:type="dxa" w:w="100"/>
            </w:tcMar>
            <w:vAlign w:val="top"/>
          </w:tcPr>
          <w:p>
            <w:pPr>
              <w:spacing w:before="0" w:after="0"/>
              <w:jc w:val="left"/>
            </w:pPr>
            <w:r>
              <w:rPr>
                <w:rFonts w:ascii="Arial" w:cs="Arial" w:eastAsia="Arial" w:hAnsi="Arial"/>
                <w:b w:val="false"/>
                <w:bCs w:val="false"/>
                <w:color w:val="1A1A1A"/>
                <w:sz w:val="20"/>
                <w:szCs w:val="20"/>
              </w:rPr>
              <w:t xml:space="preserve">AGE (after binning)</w:t>
            </w:r>
          </w:p>
        </w:tc>
        <w:tc>
          <w:tcPr>
            <w:tcW w:type="dxa" w:w="2400"/>
            <w:tcBorders>
              <w:top w:val="single" w:color="D5D8DC" w:sz="1"/>
              <w:left w:val="single" w:color="D5D8DC" w:sz="1"/>
              <w:bottom w:val="single" w:color="D5D8DC" w:sz="1"/>
              <w:right w:val="single" w:color="D5D8DC" w:sz="1"/>
            </w:tcBorders>
            <w:shd w:fill="F4F6F7" w:val="clear"/>
            <w:tcMar>
              <w:top w:type="dxa" w:w="90"/>
              <w:left w:type="dxa" w:w="150"/>
              <w:bottom w:type="dxa" w:w="90"/>
              <w:right w:type="dxa" w:w="100"/>
            </w:tcMar>
            <w:vAlign w:val="top"/>
          </w:tcPr>
          <w:p>
            <w:pPr>
              <w:spacing w:before="0" w:after="0"/>
              <w:jc w:val="left"/>
            </w:pPr>
            <w:r>
              <w:rPr>
                <w:rFonts w:ascii="Arial" w:cs="Arial" w:eastAsia="Arial" w:hAnsi="Arial"/>
                <w:b w:val="false"/>
                <w:bCs w:val="false"/>
                <w:color w:val="1A1A1A"/>
                <w:sz w:val="20"/>
                <w:szCs w:val="20"/>
              </w:rPr>
              <w:t xml:space="preserve">WOE encoding per age band</w:t>
            </w:r>
          </w:p>
        </w:tc>
        <w:tc>
          <w:tcPr>
            <w:tcW w:type="dxa" w:w="2400"/>
            <w:tcBorders>
              <w:top w:val="single" w:color="D5D8DC" w:sz="1"/>
              <w:left w:val="single" w:color="D5D8DC" w:sz="1"/>
              <w:bottom w:val="single" w:color="D5D8DC" w:sz="1"/>
              <w:right w:val="single" w:color="D5D8DC" w:sz="1"/>
            </w:tcBorders>
            <w:shd w:fill="F4F6F7" w:val="clear"/>
            <w:tcMar>
              <w:top w:type="dxa" w:w="90"/>
              <w:left w:type="dxa" w:w="150"/>
              <w:bottom w:type="dxa" w:w="90"/>
              <w:right w:type="dxa" w:w="100"/>
            </w:tcMar>
            <w:vAlign w:val="top"/>
          </w:tcPr>
          <w:p>
            <w:pPr>
              <w:spacing w:before="0" w:after="0"/>
              <w:jc w:val="left"/>
            </w:pPr>
            <w:r>
              <w:rPr>
                <w:rFonts w:ascii="Arial" w:cs="Arial" w:eastAsia="Arial" w:hAnsi="Arial"/>
                <w:b w:val="false"/>
                <w:bCs w:val="false"/>
                <w:color w:val="1A1A1A"/>
                <w:sz w:val="20"/>
                <w:szCs w:val="20"/>
              </w:rPr>
              <w:t xml:space="preserve">Binned ordinal or raw continuous</w:t>
            </w:r>
          </w:p>
        </w:tc>
        <w:tc>
          <w:tcPr>
            <w:tcW w:type="dxa" w:w="2760"/>
            <w:tcBorders>
              <w:top w:val="single" w:color="D5D8DC" w:sz="1"/>
              <w:left w:val="single" w:color="D5D8DC" w:sz="1"/>
              <w:bottom w:val="single" w:color="D5D8DC" w:sz="1"/>
              <w:right w:val="single" w:color="D5D8DC" w:sz="1"/>
            </w:tcBorders>
            <w:shd w:fill="FFFFFF" w:val="clear"/>
            <w:tcMar>
              <w:top w:type="dxa" w:w="90"/>
              <w:left w:type="dxa" w:w="150"/>
              <w:bottom w:type="dxa" w:w="90"/>
              <w:right w:type="dxa" w:w="100"/>
            </w:tcMar>
            <w:vAlign w:val="top"/>
          </w:tcPr>
          <w:p>
            <w:pPr>
              <w:spacing w:before="0" w:after="0"/>
              <w:jc w:val="left"/>
            </w:pPr>
            <w:r>
              <w:rPr>
                <w:rFonts w:ascii="Arial" w:cs="Arial" w:eastAsia="Arial" w:hAnsi="Arial"/>
                <w:b w:val="false"/>
                <w:bCs w:val="false"/>
                <w:color w:val="1A1A1A"/>
                <w:sz w:val="20"/>
                <w:szCs w:val="20"/>
              </w:rPr>
              <w:t xml:space="preserve">Non-linear age-default relationship requires binning before encoding for LR.</w:t>
            </w:r>
          </w:p>
        </w:tc>
      </w:tr>
      <w:tr>
        <w:tc>
          <w:tcPr>
            <w:tcW w:type="dxa" w:w="1800"/>
            <w:tcBorders>
              <w:top w:val="single" w:color="D5D8DC" w:sz="1"/>
              <w:left w:val="single" w:color="D5D8DC" w:sz="1"/>
              <w:bottom w:val="single" w:color="D5D8DC" w:sz="1"/>
              <w:right w:val="single" w:color="D5D8DC" w:sz="1"/>
            </w:tcBorders>
            <w:shd w:fill="FFFFFF" w:val="clear"/>
            <w:tcMar>
              <w:top w:type="dxa" w:w="90"/>
              <w:left w:type="dxa" w:w="150"/>
              <w:bottom w:type="dxa" w:w="90"/>
              <w:right w:type="dxa" w:w="100"/>
            </w:tcMar>
            <w:vAlign w:val="top"/>
          </w:tcPr>
          <w:p>
            <w:pPr>
              <w:spacing w:before="0" w:after="0"/>
              <w:jc w:val="left"/>
            </w:pPr>
            <w:r>
              <w:rPr>
                <w:rFonts w:ascii="Arial" w:cs="Arial" w:eastAsia="Arial" w:hAnsi="Arial"/>
                <w:b w:val="false"/>
                <w:bCs w:val="false"/>
                <w:color w:val="1A1A1A"/>
                <w:sz w:val="20"/>
                <w:szCs w:val="20"/>
              </w:rPr>
              <w:t xml:space="preserve">PAY_0 to PAY_6</w:t>
            </w:r>
          </w:p>
        </w:tc>
        <w:tc>
          <w:tcPr>
            <w:tcW w:type="dxa" w:w="2400"/>
            <w:tcBorders>
              <w:top w:val="single" w:color="D5D8DC" w:sz="1"/>
              <w:left w:val="single" w:color="D5D8DC" w:sz="1"/>
              <w:bottom w:val="single" w:color="D5D8DC" w:sz="1"/>
              <w:right w:val="single" w:color="D5D8DC" w:sz="1"/>
            </w:tcBorders>
            <w:shd w:fill="F4F6F7" w:val="clear"/>
            <w:tcMar>
              <w:top w:type="dxa" w:w="90"/>
              <w:left w:type="dxa" w:w="150"/>
              <w:bottom w:type="dxa" w:w="90"/>
              <w:right w:type="dxa" w:w="100"/>
            </w:tcMar>
            <w:vAlign w:val="top"/>
          </w:tcPr>
          <w:p>
            <w:pPr>
              <w:spacing w:before="0" w:after="0"/>
              <w:jc w:val="left"/>
            </w:pPr>
            <w:r>
              <w:rPr>
                <w:rFonts w:ascii="Arial" w:cs="Arial" w:eastAsia="Arial" w:hAnsi="Arial"/>
                <w:b w:val="false"/>
                <w:bCs w:val="false"/>
                <w:color w:val="1A1A1A"/>
                <w:sz w:val="20"/>
                <w:szCs w:val="20"/>
              </w:rPr>
              <w:t xml:space="preserve">WOE encoding (bins: {≤-1},{0},{1},{2},{3+})</w:t>
            </w:r>
          </w:p>
        </w:tc>
        <w:tc>
          <w:tcPr>
            <w:tcW w:type="dxa" w:w="2400"/>
            <w:tcBorders>
              <w:top w:val="single" w:color="D5D8DC" w:sz="1"/>
              <w:left w:val="single" w:color="D5D8DC" w:sz="1"/>
              <w:bottom w:val="single" w:color="D5D8DC" w:sz="1"/>
              <w:right w:val="single" w:color="D5D8DC" w:sz="1"/>
            </w:tcBorders>
            <w:shd w:fill="F4F6F7" w:val="clear"/>
            <w:tcMar>
              <w:top w:type="dxa" w:w="90"/>
              <w:left w:type="dxa" w:w="150"/>
              <w:bottom w:type="dxa" w:w="90"/>
              <w:right w:type="dxa" w:w="100"/>
            </w:tcMar>
            <w:vAlign w:val="top"/>
          </w:tcPr>
          <w:p>
            <w:pPr>
              <w:spacing w:before="0" w:after="0"/>
              <w:jc w:val="left"/>
            </w:pPr>
            <w:r>
              <w:rPr>
                <w:rFonts w:ascii="Arial" w:cs="Arial" w:eastAsia="Arial" w:hAnsi="Arial"/>
                <w:b w:val="false"/>
                <w:bCs w:val="false"/>
                <w:color w:val="1A1A1A"/>
                <w:sz w:val="20"/>
                <w:szCs w:val="20"/>
              </w:rPr>
              <w:t xml:space="preserve">Raw ordinal integer values</w:t>
            </w:r>
          </w:p>
        </w:tc>
        <w:tc>
          <w:tcPr>
            <w:tcW w:type="dxa" w:w="2760"/>
            <w:tcBorders>
              <w:top w:val="single" w:color="D5D8DC" w:sz="1"/>
              <w:left w:val="single" w:color="D5D8DC" w:sz="1"/>
              <w:bottom w:val="single" w:color="D5D8DC" w:sz="1"/>
              <w:right w:val="single" w:color="D5D8DC" w:sz="1"/>
            </w:tcBorders>
            <w:shd w:fill="FFFFFF" w:val="clear"/>
            <w:tcMar>
              <w:top w:type="dxa" w:w="90"/>
              <w:left w:type="dxa" w:w="150"/>
              <w:bottom w:type="dxa" w:w="90"/>
              <w:right w:type="dxa" w:w="100"/>
            </w:tcMar>
            <w:vAlign w:val="top"/>
          </w:tcPr>
          <w:p>
            <w:pPr>
              <w:spacing w:before="0" w:after="0"/>
              <w:jc w:val="left"/>
            </w:pPr>
            <w:r>
              <w:rPr>
                <w:rFonts w:ascii="Arial" w:cs="Arial" w:eastAsia="Arial" w:hAnsi="Arial"/>
                <w:b w:val="false"/>
                <w:bCs w:val="false"/>
                <w:color w:val="1A1A1A"/>
                <w:sz w:val="20"/>
                <w:szCs w:val="20"/>
              </w:rPr>
              <w:t xml:space="preserve">WOE bins capture monotonic risk gradient for LR. Trees split natively on ordinal values.</w:t>
            </w:r>
          </w:p>
        </w:tc>
      </w:tr>
    </w:tbl>
    <w:p>
      <w:pPr>
        <w:spacing w:before="0" w:after="140"/>
      </w:pPr>
    </w:p>
    <w:p>
      <w:pPr>
        <w:pStyle w:val="Heading2"/>
        <w:spacing w:before="280" w:after="120"/>
      </w:pPr>
      <w:r>
        <w:rPr>
          <w:rFonts w:ascii="Arial" w:cs="Arial" w:eastAsia="Arial" w:hAnsi="Arial"/>
          <w:b/>
          <w:bCs/>
          <w:color w:val="1B6CA8"/>
          <w:sz w:val="28"/>
          <w:szCs w:val="28"/>
        </w:rPr>
        <w:t xml:space="preserve">5.3 WOE Encoding — Practical Implementation Guidelines</w:t>
      </w:r>
    </w:p>
    <w:p>
      <w:pPr>
        <w:spacing w:before="80" w:after="80"/>
      </w:pPr>
      <w:r>
        <w:rPr>
          <w:rFonts w:ascii="Arial" w:cs="Arial" w:eastAsia="Arial" w:hAnsi="Arial"/>
          <w:b w:val="false"/>
          <w:bCs w:val="false"/>
          <w:color w:val="1A1A1A"/>
          <w:sz w:val="22"/>
          <w:szCs w:val="22"/>
        </w:rPr>
        <w:t xml:space="preserve">To implement WOE encoding correctly in a production credit risk pipeline:</w:t>
      </w:r>
    </w:p>
    <w:p>
      <w:pPr>
        <w:pStyle w:val="ListParagraph"/>
        <w:numPr>
          <w:ilvl w:val="0"/>
          <w:numId w:val="3"/>
        </w:numPr>
        <w:spacing w:before="50" w:after="50"/>
      </w:pPr>
      <w:r>
        <w:rPr>
          <w:rFonts w:ascii="Arial" w:cs="Arial" w:eastAsia="Arial" w:hAnsi="Arial"/>
          <w:color w:val="1A1A1A"/>
          <w:sz w:val="22"/>
          <w:szCs w:val="22"/>
        </w:rPr>
        <w:t xml:space="preserve">Compute fine bins (20+ bins) separately for each categorical/ordinal feature using only the training set.</w:t>
      </w:r>
    </w:p>
    <w:p>
      <w:pPr>
        <w:pStyle w:val="ListParagraph"/>
        <w:numPr>
          <w:ilvl w:val="0"/>
          <w:numId w:val="3"/>
        </w:numPr>
        <w:spacing w:before="50" w:after="50"/>
      </w:pPr>
      <w:r>
        <w:rPr>
          <w:rFonts w:ascii="Arial" w:cs="Arial" w:eastAsia="Arial" w:hAnsi="Arial"/>
          <w:color w:val="1A1A1A"/>
          <w:sz w:val="22"/>
          <w:szCs w:val="22"/>
        </w:rPr>
        <w:t xml:space="preserve">Check event count per bin — minimum threshold is max(5% of total events, 10 observations). Merge bins below threshold with the nearest WOE neighbor.</w:t>
      </w:r>
    </w:p>
    <w:p>
      <w:pPr>
        <w:pStyle w:val="ListParagraph"/>
        <w:numPr>
          <w:ilvl w:val="0"/>
          <w:numId w:val="3"/>
        </w:numPr>
        <w:spacing w:before="50" w:after="50"/>
      </w:pPr>
      <w:r>
        <w:rPr>
          <w:rFonts w:ascii="Arial" w:cs="Arial" w:eastAsia="Arial" w:hAnsi="Arial"/>
          <w:color w:val="1A1A1A"/>
          <w:sz w:val="22"/>
          <w:szCs w:val="22"/>
        </w:rPr>
        <w:t xml:space="preserve">Plot WOE values per bin against the feature scale. Verify that the direction (positive/negative) is consistent with theoretical expectations.</w:t>
      </w:r>
    </w:p>
    <w:p>
      <w:pPr>
        <w:pStyle w:val="ListParagraph"/>
        <w:numPr>
          <w:ilvl w:val="0"/>
          <w:numId w:val="3"/>
        </w:numPr>
        <w:spacing w:before="50" w:after="50"/>
      </w:pPr>
      <w:r>
        <w:rPr>
          <w:rFonts w:ascii="Arial" w:cs="Arial" w:eastAsia="Arial" w:hAnsi="Arial"/>
          <w:color w:val="1A1A1A"/>
          <w:sz w:val="22"/>
          <w:szCs w:val="22"/>
        </w:rPr>
        <w:t xml:space="preserve">Apply monotonicity constraint if business logic requires it (e.g., higher education = lower WOE for default).</w:t>
      </w:r>
    </w:p>
    <w:p>
      <w:pPr>
        <w:pStyle w:val="ListParagraph"/>
        <w:numPr>
          <w:ilvl w:val="0"/>
          <w:numId w:val="3"/>
        </w:numPr>
        <w:spacing w:before="50" w:after="50"/>
      </w:pPr>
      <w:r>
        <w:rPr>
          <w:rFonts w:ascii="Arial" w:cs="Arial" w:eastAsia="Arial" w:hAnsi="Arial"/>
          <w:color w:val="1A1A1A"/>
          <w:sz w:val="22"/>
          <w:szCs w:val="22"/>
        </w:rPr>
        <w:t xml:space="preserve">Store the bin boundaries and WOE values as lookup tables. Apply these exact values to validation and test sets — never recompute on test data.</w:t>
      </w:r>
    </w:p>
    <w:p>
      <w:pPr>
        <w:pStyle w:val="ListParagraph"/>
        <w:numPr>
          <w:ilvl w:val="0"/>
          <w:numId w:val="3"/>
        </w:numPr>
        <w:spacing w:before="50" w:after="50"/>
      </w:pPr>
      <w:r>
        <w:rPr>
          <w:rFonts w:ascii="Arial" w:cs="Arial" w:eastAsia="Arial" w:hAnsi="Arial"/>
          <w:color w:val="1A1A1A"/>
          <w:sz w:val="22"/>
          <w:szCs w:val="22"/>
        </w:rPr>
        <w:t xml:space="preserve">In production, when a new observation falls outside all training bins, assign the WOE of the nearest boundary bin. Do not assign the overall mean.</w:t>
      </w:r>
    </w:p>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80"/>
        <w:gridCol w:w="8080"/>
      </w:tblGrid>
      <w:tr>
        <w:tc>
          <w:tcPr>
            <w:tcW w:type="dxa" w:w="1280"/>
            <w:tcBorders>
              <w:top w:val="single" w:color="D5D8DC" w:sz="1"/>
              <w:left w:val="single" w:color="D5D8DC" w:sz="1"/>
              <w:bottom w:val="single" w:color="D5D8DC" w:sz="1"/>
              <w:right w:val="single" w:color="D5D8DC" w:sz="1"/>
            </w:tcBorders>
            <w:shd w:fill="C96A0A" w:val="clear"/>
            <w:tcMar>
              <w:top w:type="dxa" w:w="100"/>
              <w:left w:type="dxa" w:w="120"/>
              <w:bottom w:type="dxa" w:w="100"/>
              <w:right w:type="dxa" w:w="80"/>
            </w:tcMar>
            <w:vAlign w:val="center"/>
          </w:tcPr>
          <w:p>
            <w:pPr>
              <w:jc w:val="center"/>
            </w:pPr>
            <w:r>
              <w:rPr>
                <w:rFonts w:ascii="Arial" w:cs="Arial" w:eastAsia="Arial" w:hAnsi="Arial"/>
                <w:b/>
                <w:bCs/>
                <w:color w:val="FFFFFF"/>
                <w:sz w:val="17"/>
                <w:szCs w:val="17"/>
              </w:rPr>
              <w:t xml:space="preserve">⚠ WARNING</w:t>
            </w:r>
          </w:p>
        </w:tc>
        <w:tc>
          <w:tcPr>
            <w:tcW w:type="dxa" w:w="8080"/>
            <w:tcBorders>
              <w:top w:val="single" w:color="D5D8DC" w:sz="1"/>
              <w:left w:val="single" w:color="D5D8DC" w:sz="1"/>
              <w:bottom w:val="single" w:color="D5D8DC" w:sz="1"/>
              <w:right w:val="single" w:color="D5D8DC" w:sz="1"/>
            </w:tcBorders>
            <w:shd w:fill="FEF5E7" w:val="clear"/>
            <w:tcMar>
              <w:top w:type="dxa" w:w="100"/>
              <w:left w:type="dxa" w:w="160"/>
              <w:bottom w:type="dxa" w:w="100"/>
              <w:right w:type="dxa" w:w="120"/>
            </w:tcMar>
          </w:tcPr>
          <w:p>
            <w:r>
              <w:rPr>
                <w:rFonts w:ascii="Arial" w:cs="Arial" w:eastAsia="Arial" w:hAnsi="Arial"/>
                <w:color w:val="2C3E50"/>
                <w:sz w:val="20"/>
                <w:szCs w:val="20"/>
              </w:rPr>
              <w:t xml:space="preserve">Target encoding and WOE encoding are both susceptible to data leakage if computed on the full dataset before splitting. ALWAYS compute encoding parameters exclusively on the training fold within each cross-validation iteration. This is the most common implementation error in credit risk projects.</w:t>
            </w:r>
          </w:p>
        </w:tc>
      </w:tr>
    </w:tbl>
    <w:p>
      <w:pPr>
        <w:spacing w:before="0" w:after="200"/>
      </w:pPr>
    </w:p>
    <w:p>
      <w:r>
        <w:br w:type="page"/>
      </w:r>
    </w:p>
    <w:p>
      <w:pPr>
        <w:pStyle w:val="Heading1"/>
        <w:pBdr>
          <w:bottom w:val="single" w:color="2E75B6" w:sz="6"/>
        </w:pBdr>
        <w:spacing w:before="400" w:after="160"/>
      </w:pPr>
      <w:r>
        <w:rPr>
          <w:rFonts w:ascii="Arial" w:cs="Arial" w:eastAsia="Arial" w:hAnsi="Arial"/>
          <w:b/>
          <w:bCs/>
          <w:color w:val="1F3864"/>
          <w:sz w:val="36"/>
          <w:szCs w:val="36"/>
        </w:rPr>
        <w:t xml:space="preserve">Section 6: Feature Stability and Regulatory Considerations</w:t>
      </w:r>
    </w:p>
    <w:p>
      <w:pPr>
        <w:spacing w:before="80" w:after="80"/>
      </w:pPr>
      <w:r>
        <w:rPr>
          <w:rFonts w:ascii="Arial" w:cs="Arial" w:eastAsia="Arial" w:hAnsi="Arial"/>
          <w:b w:val="false"/>
          <w:bCs w:val="false"/>
          <w:color w:val="1A1A1A"/>
          <w:sz w:val="22"/>
          <w:szCs w:val="22"/>
        </w:rPr>
        <w:t xml:space="preserve">In banking credit risk models, a feature's stability over time is as important as its in-sample predictive power. A model trained on a 2005 dataset and deployed in 2006 must remain accurate as the portfolio's demographic and behavioural composition evolves. Regulatory frameworks (Basel II/III, IFRS9, SR 11-7) explicitly require ongoing model monitoring and documentation of feature stability.</w:t>
      </w:r>
    </w:p>
    <w:p>
      <w:pPr>
        <w:spacing w:before="0" w:after="120"/>
      </w:pPr>
    </w:p>
    <w:p>
      <w:pPr>
        <w:pStyle w:val="Heading2"/>
        <w:spacing w:before="280" w:after="120"/>
      </w:pPr>
      <w:r>
        <w:rPr>
          <w:rFonts w:ascii="Arial" w:cs="Arial" w:eastAsia="Arial" w:hAnsi="Arial"/>
          <w:b/>
          <w:bCs/>
          <w:color w:val="1B6CA8"/>
          <w:sz w:val="28"/>
          <w:szCs w:val="28"/>
        </w:rPr>
        <w:t xml:space="preserve">6.1 Population Stability Index (PSI)</w:t>
      </w:r>
    </w:p>
    <w:p>
      <w:pPr>
        <w:spacing w:before="80" w:after="80"/>
      </w:pPr>
      <w:r>
        <w:rPr>
          <w:rFonts w:ascii="Arial" w:cs="Arial" w:eastAsia="Arial" w:hAnsi="Arial"/>
          <w:b w:val="false"/>
          <w:bCs w:val="false"/>
          <w:color w:val="1A1A1A"/>
          <w:sz w:val="22"/>
          <w:szCs w:val="22"/>
        </w:rPr>
        <w:t xml:space="preserve">PSI measures the distributional shift in a feature between a reference period (typically training data) and a current monitoring period (recently scored population). It is the industry standard for detecting population drift in scoring models.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5D8DC" w:sz="1"/>
              <w:left w:val="single" w:color="D5D8DC" w:sz="1"/>
              <w:bottom w:val="single" w:color="D5D8DC" w:sz="1"/>
              <w:right w:val="single" w:color="D5D8DC" w:sz="1"/>
            </w:tcBorders>
            <w:shd w:fill="2C3E50" w:val="clear"/>
            <w:tcMar>
              <w:top w:type="dxa" w:w="120"/>
              <w:left w:type="dxa" w:w="200"/>
              <w:bottom w:type="dxa" w:w="120"/>
              <w:right w:type="dxa" w:w="160"/>
            </w:tcMar>
          </w:tcPr>
          <w:p>
            <w:pPr>
              <w:spacing w:before="20" w:after="20"/>
            </w:pPr>
            <w:r>
              <w:rPr>
                <w:rFonts w:ascii="Courier New" w:cs="Courier New" w:eastAsia="Courier New" w:hAnsi="Courier New"/>
                <w:color w:val="A9DFBF"/>
                <w:sz w:val="18"/>
                <w:szCs w:val="18"/>
              </w:rPr>
              <w:t xml:space="preserve">PSI = sum_i [ (Actual_i% - Expected_i%) * ln(Actual_i% / Expected_i%) ]</w:t>
            </w:r>
          </w:p>
          <w:p>
            <w:pPr>
              <w:spacing w:before="20" w:after="20"/>
            </w:pPr>
            <w:r>
              <w:rPr>
                <w:rFonts w:ascii="Courier New" w:cs="Courier New" w:eastAsia="Courier New" w:hAnsi="Courier New"/>
                <w:color w:val="A9DFBF"/>
                <w:sz w:val="18"/>
                <w:szCs w:val="18"/>
              </w:rPr>
              <w:t xml:space="preserve"/>
            </w:r>
          </w:p>
          <w:p>
            <w:pPr>
              <w:spacing w:before="20" w:after="20"/>
            </w:pPr>
            <w:r>
              <w:rPr>
                <w:rFonts w:ascii="Courier New" w:cs="Courier New" w:eastAsia="Courier New" w:hAnsi="Courier New"/>
                <w:color w:val="A9DFBF"/>
                <w:sz w:val="18"/>
                <w:szCs w:val="18"/>
              </w:rPr>
              <w:t xml:space="preserve">Where i indexes the WOE bins or deciles of the feature</w:t>
            </w:r>
          </w:p>
          <w:p>
            <w:pPr>
              <w:spacing w:before="20" w:after="20"/>
            </w:pPr>
            <w:r>
              <w:rPr>
                <w:rFonts w:ascii="Courier New" w:cs="Courier New" w:eastAsia="Courier New" w:hAnsi="Courier New"/>
                <w:color w:val="A9DFBF"/>
                <w:sz w:val="18"/>
                <w:szCs w:val="18"/>
              </w:rPr>
              <w:t xml:space="preserve"/>
            </w:r>
          </w:p>
          <w:p>
            <w:pPr>
              <w:spacing w:before="20" w:after="20"/>
            </w:pPr>
            <w:r>
              <w:rPr>
                <w:rFonts w:ascii="Courier New" w:cs="Courier New" w:eastAsia="Courier New" w:hAnsi="Courier New"/>
                <w:color w:val="A9DFBF"/>
                <w:sz w:val="18"/>
                <w:szCs w:val="18"/>
              </w:rPr>
              <w:t xml:space="preserve">Interpretation:</w:t>
            </w:r>
          </w:p>
          <w:p>
            <w:pPr>
              <w:spacing w:before="20" w:after="20"/>
            </w:pPr>
            <w:r>
              <w:rPr>
                <w:rFonts w:ascii="Courier New" w:cs="Courier New" w:eastAsia="Courier New" w:hAnsi="Courier New"/>
                <w:color w:val="A9DFBF"/>
                <w:sz w:val="18"/>
                <w:szCs w:val="18"/>
              </w:rPr>
              <w:t xml:space="preserve">  PSI &lt; 0.10 : Stable — no action required</w:t>
            </w:r>
          </w:p>
          <w:p>
            <w:pPr>
              <w:spacing w:before="20" w:after="20"/>
            </w:pPr>
            <w:r>
              <w:rPr>
                <w:rFonts w:ascii="Courier New" w:cs="Courier New" w:eastAsia="Courier New" w:hAnsi="Courier New"/>
                <w:color w:val="A9DFBF"/>
                <w:sz w:val="18"/>
                <w:szCs w:val="18"/>
              </w:rPr>
              <w:t xml:space="preserve">  PSI 0.10-0.25 : Minor shift — monitor, investigate cause</w:t>
            </w:r>
          </w:p>
          <w:p>
            <w:pPr>
              <w:spacing w:before="20" w:after="20"/>
            </w:pPr>
            <w:r>
              <w:rPr>
                <w:rFonts w:ascii="Courier New" w:cs="Courier New" w:eastAsia="Courier New" w:hAnsi="Courier New"/>
                <w:color w:val="A9DFBF"/>
                <w:sz w:val="18"/>
                <w:szCs w:val="18"/>
              </w:rPr>
              <w:t xml:space="preserve">  PSI &gt; 0.25 : Significant shift — model redevelopment or recalibration required</w:t>
            </w:r>
          </w:p>
        </w:tc>
      </w:tr>
    </w:tbl>
    <w:p>
      <w:pPr>
        <w:spacing w:before="0" w:after="80"/>
      </w:pPr>
    </w:p>
    <w:p>
      <w:pPr>
        <w:spacing w:before="80" w:after="80"/>
      </w:pPr>
      <w:r>
        <w:rPr>
          <w:rFonts w:ascii="Arial" w:cs="Arial" w:eastAsia="Arial" w:hAnsi="Arial"/>
          <w:b w:val="false"/>
          <w:bCs w:val="false"/>
          <w:color w:val="1A1A1A"/>
          <w:sz w:val="22"/>
          <w:szCs w:val="22"/>
        </w:rPr>
        <w:t xml:space="preserve">PSI is computed monthly in most production credit scoring systems. A dashboard tracking PSI for each input feature allows the model risk team to detect drift early — before model performance degrades materially.</w:t>
      </w:r>
    </w:p>
    <w:p>
      <w:pPr>
        <w:spacing w:before="0" w:after="80"/>
      </w:pPr>
    </w:p>
    <w:p>
      <w:pPr>
        <w:pStyle w:val="Heading3"/>
        <w:spacing w:before="200" w:after="80"/>
      </w:pPr>
      <w:r>
        <w:rPr>
          <w:rFonts w:ascii="Arial" w:cs="Arial" w:eastAsia="Arial" w:hAnsi="Arial"/>
          <w:b/>
          <w:bCs/>
          <w:color w:val="1F3864"/>
          <w:sz w:val="24"/>
          <w:szCs w:val="24"/>
        </w:rPr>
        <w:t xml:space="preserve">PSI Application to This Dataset's Features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4360"/>
      </w:tblGrid>
      <w:tr>
        <w:tc>
          <w:tcPr>
            <w:tcW w:type="dxa" w:w="2200"/>
            <w:tcBorders>
              <w:top w:val="single" w:color="D5D8DC" w:sz="1"/>
              <w:left w:val="single" w:color="D5D8DC" w:sz="1"/>
              <w:bottom w:val="single" w:color="D5D8DC" w:sz="1"/>
              <w:right w:val="single" w:color="D5D8DC" w:sz="1"/>
            </w:tcBorders>
            <w:shd w:fill="1F3864" w:val="clear"/>
            <w:tcMar>
              <w:top w:type="dxa" w:w="90"/>
              <w:left w:type="dxa" w:w="150"/>
              <w:bottom w:type="dxa" w:w="90"/>
              <w:right w:type="dxa" w:w="100"/>
            </w:tcMar>
            <w:vAlign w:val="top"/>
          </w:tcPr>
          <w:p>
            <w:pPr>
              <w:spacing w:before="0" w:after="0"/>
              <w:jc w:val="left"/>
            </w:pPr>
            <w:r>
              <w:rPr>
                <w:rFonts w:ascii="Arial" w:cs="Arial" w:eastAsia="Arial" w:hAnsi="Arial"/>
                <w:b/>
                <w:bCs/>
                <w:color w:val="FFFFFF"/>
                <w:sz w:val="19"/>
                <w:szCs w:val="19"/>
              </w:rPr>
              <w:t xml:space="preserve">Feature / Group</w:t>
            </w:r>
          </w:p>
        </w:tc>
        <w:tc>
          <w:tcPr>
            <w:tcW w:type="dxa" w:w="2800"/>
            <w:tcBorders>
              <w:top w:val="single" w:color="D5D8DC" w:sz="1"/>
              <w:left w:val="single" w:color="D5D8DC" w:sz="1"/>
              <w:bottom w:val="single" w:color="D5D8DC" w:sz="1"/>
              <w:right w:val="single" w:color="D5D8DC" w:sz="1"/>
            </w:tcBorders>
            <w:shd w:fill="1F3864" w:val="clear"/>
            <w:tcMar>
              <w:top w:type="dxa" w:w="90"/>
              <w:left w:type="dxa" w:w="150"/>
              <w:bottom w:type="dxa" w:w="90"/>
              <w:right w:type="dxa" w:w="100"/>
            </w:tcMar>
            <w:vAlign w:val="top"/>
          </w:tcPr>
          <w:p>
            <w:pPr>
              <w:spacing w:before="0" w:after="0"/>
              <w:jc w:val="left"/>
            </w:pPr>
            <w:r>
              <w:rPr>
                <w:rFonts w:ascii="Arial" w:cs="Arial" w:eastAsia="Arial" w:hAnsi="Arial"/>
                <w:b/>
                <w:bCs/>
                <w:color w:val="FFFFFF"/>
                <w:sz w:val="19"/>
                <w:szCs w:val="19"/>
              </w:rPr>
              <w:t xml:space="preserve">Expected PSI Stability</w:t>
            </w:r>
          </w:p>
        </w:tc>
        <w:tc>
          <w:tcPr>
            <w:tcW w:type="dxa" w:w="4360"/>
            <w:tcBorders>
              <w:top w:val="single" w:color="D5D8DC" w:sz="1"/>
              <w:left w:val="single" w:color="D5D8DC" w:sz="1"/>
              <w:bottom w:val="single" w:color="D5D8DC" w:sz="1"/>
              <w:right w:val="single" w:color="D5D8DC" w:sz="1"/>
            </w:tcBorders>
            <w:shd w:fill="1F3864" w:val="clear"/>
            <w:tcMar>
              <w:top w:type="dxa" w:w="90"/>
              <w:left w:type="dxa" w:w="150"/>
              <w:bottom w:type="dxa" w:w="90"/>
              <w:right w:type="dxa" w:w="100"/>
            </w:tcMar>
            <w:vAlign w:val="top"/>
          </w:tcPr>
          <w:p>
            <w:pPr>
              <w:spacing w:before="0" w:after="0"/>
              <w:jc w:val="left"/>
            </w:pPr>
            <w:r>
              <w:rPr>
                <w:rFonts w:ascii="Arial" w:cs="Arial" w:eastAsia="Arial" w:hAnsi="Arial"/>
                <w:b/>
                <w:bCs/>
                <w:color w:val="FFFFFF"/>
                <w:sz w:val="19"/>
                <w:szCs w:val="19"/>
              </w:rPr>
              <w:t xml:space="preserve">Monitoring Priority</w:t>
            </w:r>
          </w:p>
        </w:tc>
      </w:tr>
      <w:tr>
        <w:tc>
          <w:tcPr>
            <w:tcW w:type="dxa" w:w="2200"/>
            <w:tcBorders>
              <w:top w:val="single" w:color="D5D8DC" w:sz="1"/>
              <w:left w:val="single" w:color="D5D8DC" w:sz="1"/>
              <w:bottom w:val="single" w:color="D5D8DC" w:sz="1"/>
              <w:right w:val="single" w:color="D5D8DC" w:sz="1"/>
            </w:tcBorders>
            <w:shd w:fill="FFFFFF" w:val="clear"/>
            <w:tcMar>
              <w:top w:type="dxa" w:w="90"/>
              <w:left w:type="dxa" w:w="150"/>
              <w:bottom w:type="dxa" w:w="90"/>
              <w:right w:type="dxa" w:w="100"/>
            </w:tcMar>
            <w:vAlign w:val="top"/>
          </w:tcPr>
          <w:p>
            <w:pPr>
              <w:spacing w:before="0" w:after="0"/>
              <w:jc w:val="left"/>
            </w:pPr>
            <w:r>
              <w:rPr>
                <w:rFonts w:ascii="Arial" w:cs="Arial" w:eastAsia="Arial" w:hAnsi="Arial"/>
                <w:b w:val="false"/>
                <w:bCs w:val="false"/>
                <w:color w:val="1A1A1A"/>
                <w:sz w:val="20"/>
                <w:szCs w:val="20"/>
              </w:rPr>
              <w:t xml:space="preserve">PAY_0, PAY_2 (repayment status)</w:t>
            </w:r>
          </w:p>
        </w:tc>
        <w:tc>
          <w:tcPr>
            <w:tcW w:type="dxa" w:w="2800"/>
            <w:tcBorders>
              <w:top w:val="single" w:color="D5D8DC" w:sz="1"/>
              <w:left w:val="single" w:color="D5D8DC" w:sz="1"/>
              <w:bottom w:val="single" w:color="D5D8DC" w:sz="1"/>
              <w:right w:val="single" w:color="D5D8DC" w:sz="1"/>
            </w:tcBorders>
            <w:shd w:fill="F4F6F7" w:val="clear"/>
            <w:tcMar>
              <w:top w:type="dxa" w:w="90"/>
              <w:left w:type="dxa" w:w="150"/>
              <w:bottom w:type="dxa" w:w="90"/>
              <w:right w:type="dxa" w:w="100"/>
            </w:tcMar>
            <w:vAlign w:val="top"/>
          </w:tcPr>
          <w:p>
            <w:pPr>
              <w:spacing w:before="0" w:after="0"/>
              <w:jc w:val="left"/>
            </w:pPr>
            <w:r>
              <w:rPr>
                <w:rFonts w:ascii="Arial" w:cs="Arial" w:eastAsia="Arial" w:hAnsi="Arial"/>
                <w:b w:val="false"/>
                <w:bCs w:val="false"/>
                <w:color w:val="1A1A1A"/>
                <w:sz w:val="20"/>
                <w:szCs w:val="20"/>
              </w:rPr>
              <w:t xml:space="preserve">Moderate — sensitive to economic cycles</w:t>
            </w:r>
          </w:p>
        </w:tc>
        <w:tc>
          <w:tcPr>
            <w:tcW w:type="dxa" w:w="4360"/>
            <w:tcBorders>
              <w:top w:val="single" w:color="D5D8DC" w:sz="1"/>
              <w:left w:val="single" w:color="D5D8DC" w:sz="1"/>
              <w:bottom w:val="single" w:color="D5D8DC" w:sz="1"/>
              <w:right w:val="single" w:color="D5D8DC" w:sz="1"/>
            </w:tcBorders>
            <w:shd w:fill="FFFFFF" w:val="clear"/>
            <w:tcMar>
              <w:top w:type="dxa" w:w="90"/>
              <w:left w:type="dxa" w:w="150"/>
              <w:bottom w:type="dxa" w:w="90"/>
              <w:right w:type="dxa" w:w="100"/>
            </w:tcMar>
            <w:vAlign w:val="top"/>
          </w:tcPr>
          <w:p>
            <w:pPr>
              <w:spacing w:before="0" w:after="0"/>
              <w:jc w:val="left"/>
            </w:pPr>
            <w:r>
              <w:rPr>
                <w:rFonts w:ascii="Arial" w:cs="Arial" w:eastAsia="Arial" w:hAnsi="Arial"/>
                <w:b w:val="false"/>
                <w:bCs w:val="false"/>
                <w:color w:val="1A1A1A"/>
                <w:sz w:val="20"/>
                <w:szCs w:val="20"/>
              </w:rPr>
              <w:t xml:space="preserve">HIGH. Repayment behavior shifts during recessions. PSI can spike during economic stress events (COVID-19, interest rate hikes).</w:t>
            </w:r>
          </w:p>
        </w:tc>
      </w:tr>
      <w:tr>
        <w:tc>
          <w:tcPr>
            <w:tcW w:type="dxa" w:w="2200"/>
            <w:tcBorders>
              <w:top w:val="single" w:color="D5D8DC" w:sz="1"/>
              <w:left w:val="single" w:color="D5D8DC" w:sz="1"/>
              <w:bottom w:val="single" w:color="D5D8DC" w:sz="1"/>
              <w:right w:val="single" w:color="D5D8DC" w:sz="1"/>
            </w:tcBorders>
            <w:shd w:fill="FFFFFF" w:val="clear"/>
            <w:tcMar>
              <w:top w:type="dxa" w:w="90"/>
              <w:left w:type="dxa" w:w="150"/>
              <w:bottom w:type="dxa" w:w="90"/>
              <w:right w:type="dxa" w:w="100"/>
            </w:tcMar>
            <w:vAlign w:val="top"/>
          </w:tcPr>
          <w:p>
            <w:pPr>
              <w:spacing w:before="0" w:after="0"/>
              <w:jc w:val="left"/>
            </w:pPr>
            <w:r>
              <w:rPr>
                <w:rFonts w:ascii="Arial" w:cs="Arial" w:eastAsia="Arial" w:hAnsi="Arial"/>
                <w:b w:val="false"/>
                <w:bCs w:val="false"/>
                <w:color w:val="1A1A1A"/>
                <w:sz w:val="20"/>
                <w:szCs w:val="20"/>
              </w:rPr>
              <w:t xml:space="preserve">LIMIT_BAL</w:t>
            </w:r>
          </w:p>
        </w:tc>
        <w:tc>
          <w:tcPr>
            <w:tcW w:type="dxa" w:w="2800"/>
            <w:tcBorders>
              <w:top w:val="single" w:color="D5D8DC" w:sz="1"/>
              <w:left w:val="single" w:color="D5D8DC" w:sz="1"/>
              <w:bottom w:val="single" w:color="D5D8DC" w:sz="1"/>
              <w:right w:val="single" w:color="D5D8DC" w:sz="1"/>
            </w:tcBorders>
            <w:shd w:fill="F4F6F7" w:val="clear"/>
            <w:tcMar>
              <w:top w:type="dxa" w:w="90"/>
              <w:left w:type="dxa" w:w="150"/>
              <w:bottom w:type="dxa" w:w="90"/>
              <w:right w:type="dxa" w:w="100"/>
            </w:tcMar>
            <w:vAlign w:val="top"/>
          </w:tcPr>
          <w:p>
            <w:pPr>
              <w:spacing w:before="0" w:after="0"/>
              <w:jc w:val="left"/>
            </w:pPr>
            <w:r>
              <w:rPr>
                <w:rFonts w:ascii="Arial" w:cs="Arial" w:eastAsia="Arial" w:hAnsi="Arial"/>
                <w:b w:val="false"/>
                <w:bCs w:val="false"/>
                <w:color w:val="1A1A1A"/>
                <w:sz w:val="20"/>
                <w:szCs w:val="20"/>
              </w:rPr>
              <w:t xml:space="preserve">High stability — set at origination</w:t>
            </w:r>
          </w:p>
        </w:tc>
        <w:tc>
          <w:tcPr>
            <w:tcW w:type="dxa" w:w="4360"/>
            <w:tcBorders>
              <w:top w:val="single" w:color="D5D8DC" w:sz="1"/>
              <w:left w:val="single" w:color="D5D8DC" w:sz="1"/>
              <w:bottom w:val="single" w:color="D5D8DC" w:sz="1"/>
              <w:right w:val="single" w:color="D5D8DC" w:sz="1"/>
            </w:tcBorders>
            <w:shd w:fill="FFFFFF" w:val="clear"/>
            <w:tcMar>
              <w:top w:type="dxa" w:w="90"/>
              <w:left w:type="dxa" w:w="150"/>
              <w:bottom w:type="dxa" w:w="90"/>
              <w:right w:type="dxa" w:w="100"/>
            </w:tcMar>
            <w:vAlign w:val="top"/>
          </w:tcPr>
          <w:p>
            <w:pPr>
              <w:spacing w:before="0" w:after="0"/>
              <w:jc w:val="left"/>
            </w:pPr>
            <w:r>
              <w:rPr>
                <w:rFonts w:ascii="Arial" w:cs="Arial" w:eastAsia="Arial" w:hAnsi="Arial"/>
                <w:b w:val="false"/>
                <w:bCs w:val="false"/>
                <w:color w:val="1A1A1A"/>
                <w:sz w:val="20"/>
                <w:szCs w:val="20"/>
              </w:rPr>
              <w:t xml:space="preserve">LOW. Changes only through limit increases/decreases. Stable across short monitoring windows.</w:t>
            </w:r>
          </w:p>
        </w:tc>
      </w:tr>
      <w:tr>
        <w:tc>
          <w:tcPr>
            <w:tcW w:type="dxa" w:w="2200"/>
            <w:tcBorders>
              <w:top w:val="single" w:color="D5D8DC" w:sz="1"/>
              <w:left w:val="single" w:color="D5D8DC" w:sz="1"/>
              <w:bottom w:val="single" w:color="D5D8DC" w:sz="1"/>
              <w:right w:val="single" w:color="D5D8DC" w:sz="1"/>
            </w:tcBorders>
            <w:shd w:fill="FFFFFF" w:val="clear"/>
            <w:tcMar>
              <w:top w:type="dxa" w:w="90"/>
              <w:left w:type="dxa" w:w="150"/>
              <w:bottom w:type="dxa" w:w="90"/>
              <w:right w:type="dxa" w:w="100"/>
            </w:tcMar>
            <w:vAlign w:val="top"/>
          </w:tcPr>
          <w:p>
            <w:pPr>
              <w:spacing w:before="0" w:after="0"/>
              <w:jc w:val="left"/>
            </w:pPr>
            <w:r>
              <w:rPr>
                <w:rFonts w:ascii="Arial" w:cs="Arial" w:eastAsia="Arial" w:hAnsi="Arial"/>
                <w:b w:val="false"/>
                <w:bCs w:val="false"/>
                <w:color w:val="1A1A1A"/>
                <w:sz w:val="20"/>
                <w:szCs w:val="20"/>
              </w:rPr>
              <w:t xml:space="preserve">BILL_AMT / AVG_BILL_AMT</w:t>
            </w:r>
          </w:p>
        </w:tc>
        <w:tc>
          <w:tcPr>
            <w:tcW w:type="dxa" w:w="2800"/>
            <w:tcBorders>
              <w:top w:val="single" w:color="D5D8DC" w:sz="1"/>
              <w:left w:val="single" w:color="D5D8DC" w:sz="1"/>
              <w:bottom w:val="single" w:color="D5D8DC" w:sz="1"/>
              <w:right w:val="single" w:color="D5D8DC" w:sz="1"/>
            </w:tcBorders>
            <w:shd w:fill="F4F6F7" w:val="clear"/>
            <w:tcMar>
              <w:top w:type="dxa" w:w="90"/>
              <w:left w:type="dxa" w:w="150"/>
              <w:bottom w:type="dxa" w:w="90"/>
              <w:right w:type="dxa" w:w="100"/>
            </w:tcMar>
            <w:vAlign w:val="top"/>
          </w:tcPr>
          <w:p>
            <w:pPr>
              <w:spacing w:before="0" w:after="0"/>
              <w:jc w:val="left"/>
            </w:pPr>
            <w:r>
              <w:rPr>
                <w:rFonts w:ascii="Arial" w:cs="Arial" w:eastAsia="Arial" w:hAnsi="Arial"/>
                <w:b w:val="false"/>
                <w:bCs w:val="false"/>
                <w:color w:val="1A1A1A"/>
                <w:sz w:val="20"/>
                <w:szCs w:val="20"/>
              </w:rPr>
              <w:t xml:space="preserve">Moderate — follows spending patterns</w:t>
            </w:r>
          </w:p>
        </w:tc>
        <w:tc>
          <w:tcPr>
            <w:tcW w:type="dxa" w:w="4360"/>
            <w:tcBorders>
              <w:top w:val="single" w:color="D5D8DC" w:sz="1"/>
              <w:left w:val="single" w:color="D5D8DC" w:sz="1"/>
              <w:bottom w:val="single" w:color="D5D8DC" w:sz="1"/>
              <w:right w:val="single" w:color="D5D8DC" w:sz="1"/>
            </w:tcBorders>
            <w:shd w:fill="FFFFFF" w:val="clear"/>
            <w:tcMar>
              <w:top w:type="dxa" w:w="90"/>
              <w:left w:type="dxa" w:w="150"/>
              <w:bottom w:type="dxa" w:w="90"/>
              <w:right w:type="dxa" w:w="100"/>
            </w:tcMar>
            <w:vAlign w:val="top"/>
          </w:tcPr>
          <w:p>
            <w:pPr>
              <w:spacing w:before="0" w:after="0"/>
              <w:jc w:val="left"/>
            </w:pPr>
            <w:r>
              <w:rPr>
                <w:rFonts w:ascii="Arial" w:cs="Arial" w:eastAsia="Arial" w:hAnsi="Arial"/>
                <w:b w:val="false"/>
                <w:bCs w:val="false"/>
                <w:color w:val="1A1A1A"/>
                <w:sz w:val="20"/>
                <w:szCs w:val="20"/>
              </w:rPr>
              <w:t xml:space="preserve">MEDIUM. Seasonal spending effects (e.g., holiday periods) may affect billing amount distributions.</w:t>
            </w:r>
          </w:p>
        </w:tc>
      </w:tr>
      <w:tr>
        <w:tc>
          <w:tcPr>
            <w:tcW w:type="dxa" w:w="2200"/>
            <w:tcBorders>
              <w:top w:val="single" w:color="D5D8DC" w:sz="1"/>
              <w:left w:val="single" w:color="D5D8DC" w:sz="1"/>
              <w:bottom w:val="single" w:color="D5D8DC" w:sz="1"/>
              <w:right w:val="single" w:color="D5D8DC" w:sz="1"/>
            </w:tcBorders>
            <w:shd w:fill="FFFFFF" w:val="clear"/>
            <w:tcMar>
              <w:top w:type="dxa" w:w="90"/>
              <w:left w:type="dxa" w:w="150"/>
              <w:bottom w:type="dxa" w:w="90"/>
              <w:right w:type="dxa" w:w="100"/>
            </w:tcMar>
            <w:vAlign w:val="top"/>
          </w:tcPr>
          <w:p>
            <w:pPr>
              <w:spacing w:before="0" w:after="0"/>
              <w:jc w:val="left"/>
            </w:pPr>
            <w:r>
              <w:rPr>
                <w:rFonts w:ascii="Arial" w:cs="Arial" w:eastAsia="Arial" w:hAnsi="Arial"/>
                <w:b w:val="false"/>
                <w:bCs w:val="false"/>
                <w:color w:val="1A1A1A"/>
                <w:sz w:val="20"/>
                <w:szCs w:val="20"/>
              </w:rPr>
              <w:t xml:space="preserve">Demographics (AGE, EDUCATION)</w:t>
            </w:r>
          </w:p>
        </w:tc>
        <w:tc>
          <w:tcPr>
            <w:tcW w:type="dxa" w:w="2800"/>
            <w:tcBorders>
              <w:top w:val="single" w:color="D5D8DC" w:sz="1"/>
              <w:left w:val="single" w:color="D5D8DC" w:sz="1"/>
              <w:bottom w:val="single" w:color="D5D8DC" w:sz="1"/>
              <w:right w:val="single" w:color="D5D8DC" w:sz="1"/>
            </w:tcBorders>
            <w:shd w:fill="F4F6F7" w:val="clear"/>
            <w:tcMar>
              <w:top w:type="dxa" w:w="90"/>
              <w:left w:type="dxa" w:w="150"/>
              <w:bottom w:type="dxa" w:w="90"/>
              <w:right w:type="dxa" w:w="100"/>
            </w:tcMar>
            <w:vAlign w:val="top"/>
          </w:tcPr>
          <w:p>
            <w:pPr>
              <w:spacing w:before="0" w:after="0"/>
              <w:jc w:val="left"/>
            </w:pPr>
            <w:r>
              <w:rPr>
                <w:rFonts w:ascii="Arial" w:cs="Arial" w:eastAsia="Arial" w:hAnsi="Arial"/>
                <w:b w:val="false"/>
                <w:bCs w:val="false"/>
                <w:color w:val="1A1A1A"/>
                <w:sz w:val="20"/>
                <w:szCs w:val="20"/>
              </w:rPr>
              <w:t xml:space="preserve">Very stable — slow demographic change</w:t>
            </w:r>
          </w:p>
        </w:tc>
        <w:tc>
          <w:tcPr>
            <w:tcW w:type="dxa" w:w="4360"/>
            <w:tcBorders>
              <w:top w:val="single" w:color="D5D8DC" w:sz="1"/>
              <w:left w:val="single" w:color="D5D8DC" w:sz="1"/>
              <w:bottom w:val="single" w:color="D5D8DC" w:sz="1"/>
              <w:right w:val="single" w:color="D5D8DC" w:sz="1"/>
            </w:tcBorders>
            <w:shd w:fill="FFFFFF" w:val="clear"/>
            <w:tcMar>
              <w:top w:type="dxa" w:w="90"/>
              <w:left w:type="dxa" w:w="150"/>
              <w:bottom w:type="dxa" w:w="90"/>
              <w:right w:type="dxa" w:w="100"/>
            </w:tcMar>
            <w:vAlign w:val="top"/>
          </w:tcPr>
          <w:p>
            <w:pPr>
              <w:spacing w:before="0" w:after="0"/>
              <w:jc w:val="left"/>
            </w:pPr>
            <w:r>
              <w:rPr>
                <w:rFonts w:ascii="Arial" w:cs="Arial" w:eastAsia="Arial" w:hAnsi="Arial"/>
                <w:b w:val="false"/>
                <w:bCs w:val="false"/>
                <w:color w:val="1A1A1A"/>
                <w:sz w:val="20"/>
                <w:szCs w:val="20"/>
              </w:rPr>
              <w:t xml:space="preserve">LOW. Demographic distributions change slowly. Only material in very long deployment windows.</w:t>
            </w:r>
          </w:p>
        </w:tc>
      </w:tr>
      <w:tr>
        <w:tc>
          <w:tcPr>
            <w:tcW w:type="dxa" w:w="2200"/>
            <w:tcBorders>
              <w:top w:val="single" w:color="D5D8DC" w:sz="1"/>
              <w:left w:val="single" w:color="D5D8DC" w:sz="1"/>
              <w:bottom w:val="single" w:color="D5D8DC" w:sz="1"/>
              <w:right w:val="single" w:color="D5D8DC" w:sz="1"/>
            </w:tcBorders>
            <w:shd w:fill="FFFFFF" w:val="clear"/>
            <w:tcMar>
              <w:top w:type="dxa" w:w="90"/>
              <w:left w:type="dxa" w:w="150"/>
              <w:bottom w:type="dxa" w:w="90"/>
              <w:right w:type="dxa" w:w="100"/>
            </w:tcMar>
            <w:vAlign w:val="top"/>
          </w:tcPr>
          <w:p>
            <w:pPr>
              <w:spacing w:before="0" w:after="0"/>
              <w:jc w:val="left"/>
            </w:pPr>
            <w:r>
              <w:rPr>
                <w:rFonts w:ascii="Arial" w:cs="Arial" w:eastAsia="Arial" w:hAnsi="Arial"/>
                <w:b w:val="false"/>
                <w:bCs w:val="false"/>
                <w:color w:val="1A1A1A"/>
                <w:sz w:val="20"/>
                <w:szCs w:val="20"/>
              </w:rPr>
              <w:t xml:space="preserve">Engineered ratios (PAY_BILL_RATIO, UTILIZATION)</w:t>
            </w:r>
          </w:p>
        </w:tc>
        <w:tc>
          <w:tcPr>
            <w:tcW w:type="dxa" w:w="2800"/>
            <w:tcBorders>
              <w:top w:val="single" w:color="D5D8DC" w:sz="1"/>
              <w:left w:val="single" w:color="D5D8DC" w:sz="1"/>
              <w:bottom w:val="single" w:color="D5D8DC" w:sz="1"/>
              <w:right w:val="single" w:color="D5D8DC" w:sz="1"/>
            </w:tcBorders>
            <w:shd w:fill="F4F6F7" w:val="clear"/>
            <w:tcMar>
              <w:top w:type="dxa" w:w="90"/>
              <w:left w:type="dxa" w:w="150"/>
              <w:bottom w:type="dxa" w:w="90"/>
              <w:right w:type="dxa" w:w="100"/>
            </w:tcMar>
            <w:vAlign w:val="top"/>
          </w:tcPr>
          <w:p>
            <w:pPr>
              <w:spacing w:before="0" w:after="0"/>
              <w:jc w:val="left"/>
            </w:pPr>
            <w:r>
              <w:rPr>
                <w:rFonts w:ascii="Arial" w:cs="Arial" w:eastAsia="Arial" w:hAnsi="Arial"/>
                <w:b w:val="false"/>
                <w:bCs w:val="false"/>
                <w:color w:val="1A1A1A"/>
                <w:sz w:val="20"/>
                <w:szCs w:val="20"/>
              </w:rPr>
              <w:t xml:space="preserve">Moderate — follows economic conditions</w:t>
            </w:r>
          </w:p>
        </w:tc>
        <w:tc>
          <w:tcPr>
            <w:tcW w:type="dxa" w:w="4360"/>
            <w:tcBorders>
              <w:top w:val="single" w:color="D5D8DC" w:sz="1"/>
              <w:left w:val="single" w:color="D5D8DC" w:sz="1"/>
              <w:bottom w:val="single" w:color="D5D8DC" w:sz="1"/>
              <w:right w:val="single" w:color="D5D8DC" w:sz="1"/>
            </w:tcBorders>
            <w:shd w:fill="FFFFFF" w:val="clear"/>
            <w:tcMar>
              <w:top w:type="dxa" w:w="90"/>
              <w:left w:type="dxa" w:w="150"/>
              <w:bottom w:type="dxa" w:w="90"/>
              <w:right w:type="dxa" w:w="100"/>
            </w:tcMar>
            <w:vAlign w:val="top"/>
          </w:tcPr>
          <w:p>
            <w:pPr>
              <w:spacing w:before="0" w:after="0"/>
              <w:jc w:val="left"/>
            </w:pPr>
            <w:r>
              <w:rPr>
                <w:rFonts w:ascii="Arial" w:cs="Arial" w:eastAsia="Arial" w:hAnsi="Arial"/>
                <w:b w:val="false"/>
                <w:bCs w:val="false"/>
                <w:color w:val="1A1A1A"/>
                <w:sz w:val="20"/>
                <w:szCs w:val="20"/>
              </w:rPr>
              <w:t xml:space="preserve">MEDIUM-HIGH. Ratio features can shift with interest rate changes and credit market conditions.</w:t>
            </w:r>
          </w:p>
        </w:tc>
      </w:tr>
    </w:tbl>
    <w:p>
      <w:pPr>
        <w:spacing w:before="0" w:after="140"/>
      </w:pPr>
    </w:p>
    <w:p>
      <w:pPr>
        <w:pStyle w:val="Heading2"/>
        <w:spacing w:before="280" w:after="120"/>
      </w:pPr>
      <w:r>
        <w:rPr>
          <w:rFonts w:ascii="Arial" w:cs="Arial" w:eastAsia="Arial" w:hAnsi="Arial"/>
          <w:b/>
          <w:bCs/>
          <w:color w:val="1B6CA8"/>
          <w:sz w:val="28"/>
          <w:szCs w:val="28"/>
        </w:rPr>
        <w:t xml:space="preserve">6.2 Characteristic Stability Index (CSI)</w:t>
      </w:r>
    </w:p>
    <w:p>
      <w:pPr>
        <w:spacing w:before="80" w:after="80"/>
      </w:pPr>
      <w:r>
        <w:rPr>
          <w:rFonts w:ascii="Arial" w:cs="Arial" w:eastAsia="Arial" w:hAnsi="Arial"/>
          <w:b w:val="false"/>
          <w:bCs w:val="false"/>
          <w:color w:val="1A1A1A"/>
          <w:sz w:val="22"/>
          <w:szCs w:val="22"/>
        </w:rPr>
        <w:t xml:space="preserve">While PSI measures the input feature distribution, CSI measures whether the relationship between the feature (specifically its WOE values) and the default rate remains stable over time. A feature can have stable PSI but unstable CSI if the risk ordering of its bins changes.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5D8DC" w:sz="1"/>
              <w:left w:val="single" w:color="D5D8DC" w:sz="1"/>
              <w:bottom w:val="single" w:color="D5D8DC" w:sz="1"/>
              <w:right w:val="single" w:color="D5D8DC" w:sz="1"/>
            </w:tcBorders>
            <w:shd w:fill="2C3E50" w:val="clear"/>
            <w:tcMar>
              <w:top w:type="dxa" w:w="120"/>
              <w:left w:type="dxa" w:w="200"/>
              <w:bottom w:type="dxa" w:w="120"/>
              <w:right w:type="dxa" w:w="160"/>
            </w:tcMar>
          </w:tcPr>
          <w:p>
            <w:pPr>
              <w:spacing w:before="20" w:after="20"/>
            </w:pPr>
            <w:r>
              <w:rPr>
                <w:rFonts w:ascii="Courier New" w:cs="Courier New" w:eastAsia="Courier New" w:hAnsi="Courier New"/>
                <w:color w:val="A9DFBF"/>
                <w:sz w:val="18"/>
                <w:szCs w:val="18"/>
              </w:rPr>
              <w:t xml:space="preserve">CSI = sum_i [ (WOE_current_i - WOE_reference_i)^2 * (Actual_current_i% + Expected_reference_i%) / 2 ]</w:t>
            </w:r>
          </w:p>
          <w:p>
            <w:pPr>
              <w:spacing w:before="20" w:after="20"/>
            </w:pPr>
            <w:r>
              <w:rPr>
                <w:rFonts w:ascii="Courier New" w:cs="Courier New" w:eastAsia="Courier New" w:hAnsi="Courier New"/>
                <w:color w:val="A9DFBF"/>
                <w:sz w:val="18"/>
                <w:szCs w:val="18"/>
              </w:rPr>
              <w:t xml:space="preserve"/>
            </w:r>
          </w:p>
          <w:p>
            <w:pPr>
              <w:spacing w:before="20" w:after="20"/>
            </w:pPr>
            <w:r>
              <w:rPr>
                <w:rFonts w:ascii="Courier New" w:cs="Courier New" w:eastAsia="Courier New" w:hAnsi="Courier New"/>
                <w:color w:val="A9DFBF"/>
                <w:sz w:val="18"/>
                <w:szCs w:val="18"/>
              </w:rPr>
              <w:t xml:space="preserve">Interpretation:</w:t>
            </w:r>
          </w:p>
          <w:p>
            <w:pPr>
              <w:spacing w:before="20" w:after="20"/>
            </w:pPr>
            <w:r>
              <w:rPr>
                <w:rFonts w:ascii="Courier New" w:cs="Courier New" w:eastAsia="Courier New" w:hAnsi="Courier New"/>
                <w:color w:val="A9DFBF"/>
                <w:sz w:val="18"/>
                <w:szCs w:val="18"/>
              </w:rPr>
              <w:t xml:space="preserve">  CSI close to 0 : Relationship with default outcome is stable</w:t>
            </w:r>
          </w:p>
          <w:p>
            <w:pPr>
              <w:spacing w:before="20" w:after="20"/>
            </w:pPr>
            <w:r>
              <w:rPr>
                <w:rFonts w:ascii="Courier New" w:cs="Courier New" w:eastAsia="Courier New" w:hAnsi="Courier New"/>
                <w:color w:val="A9DFBF"/>
                <w:sz w:val="18"/>
                <w:szCs w:val="18"/>
              </w:rPr>
              <w:t xml:space="preserve">  CSI &gt; 0.25     : The feature's predictive relationship has shifted — investigate binning</w:t>
            </w:r>
          </w:p>
        </w:tc>
      </w:tr>
    </w:tbl>
    <w:p>
      <w:pPr>
        <w:spacing w:before="0" w:after="80"/>
      </w:pPr>
    </w:p>
    <w:p>
      <w:pPr>
        <w:pStyle w:val="Heading2"/>
        <w:spacing w:before="280" w:after="120"/>
      </w:pPr>
      <w:r>
        <w:rPr>
          <w:rFonts w:ascii="Arial" w:cs="Arial" w:eastAsia="Arial" w:hAnsi="Arial"/>
          <w:b/>
          <w:bCs/>
          <w:color w:val="1B6CA8"/>
          <w:sz w:val="28"/>
          <w:szCs w:val="28"/>
        </w:rPr>
        <w:t xml:space="preserve">6.3 Regulatory Compliance Requirements</w:t>
      </w:r>
    </w:p>
    <w:p>
      <w:pPr>
        <w:spacing w:before="80" w:after="80"/>
      </w:pPr>
      <w:r>
        <w:rPr>
          <w:rFonts w:ascii="Arial" w:cs="Arial" w:eastAsia="Arial" w:hAnsi="Arial"/>
          <w:b w:val="false"/>
          <w:bCs w:val="false"/>
          <w:color w:val="1A1A1A"/>
          <w:sz w:val="22"/>
          <w:szCs w:val="22"/>
        </w:rPr>
        <w:t xml:space="preserve">For models deployed in regulated banking environments, the following standards directly govern feature engineering decisions:</w:t>
      </w:r>
    </w:p>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4960"/>
      </w:tblGrid>
      <w:tr>
        <w:tc>
          <w:tcPr>
            <w:tcW w:type="dxa" w:w="2000"/>
            <w:tcBorders>
              <w:top w:val="single" w:color="D5D8DC" w:sz="1"/>
              <w:left w:val="single" w:color="D5D8DC" w:sz="1"/>
              <w:bottom w:val="single" w:color="D5D8DC" w:sz="1"/>
              <w:right w:val="single" w:color="D5D8DC" w:sz="1"/>
            </w:tcBorders>
            <w:shd w:fill="1F3864" w:val="clear"/>
            <w:tcMar>
              <w:top w:type="dxa" w:w="90"/>
              <w:left w:type="dxa" w:w="150"/>
              <w:bottom w:type="dxa" w:w="90"/>
              <w:right w:type="dxa" w:w="100"/>
            </w:tcMar>
            <w:vAlign w:val="top"/>
          </w:tcPr>
          <w:p>
            <w:pPr>
              <w:spacing w:before="0" w:after="0"/>
              <w:jc w:val="left"/>
            </w:pPr>
            <w:r>
              <w:rPr>
                <w:rFonts w:ascii="Arial" w:cs="Arial" w:eastAsia="Arial" w:hAnsi="Arial"/>
                <w:b/>
                <w:bCs/>
                <w:color w:val="FFFFFF"/>
                <w:sz w:val="19"/>
                <w:szCs w:val="19"/>
              </w:rPr>
              <w:t xml:space="preserve">Regulation</w:t>
            </w:r>
          </w:p>
        </w:tc>
        <w:tc>
          <w:tcPr>
            <w:tcW w:type="dxa" w:w="2400"/>
            <w:tcBorders>
              <w:top w:val="single" w:color="D5D8DC" w:sz="1"/>
              <w:left w:val="single" w:color="D5D8DC" w:sz="1"/>
              <w:bottom w:val="single" w:color="D5D8DC" w:sz="1"/>
              <w:right w:val="single" w:color="D5D8DC" w:sz="1"/>
            </w:tcBorders>
            <w:shd w:fill="1F3864" w:val="clear"/>
            <w:tcMar>
              <w:top w:type="dxa" w:w="90"/>
              <w:left w:type="dxa" w:w="150"/>
              <w:bottom w:type="dxa" w:w="90"/>
              <w:right w:type="dxa" w:w="100"/>
            </w:tcMar>
            <w:vAlign w:val="top"/>
          </w:tcPr>
          <w:p>
            <w:pPr>
              <w:spacing w:before="0" w:after="0"/>
              <w:jc w:val="left"/>
            </w:pPr>
            <w:r>
              <w:rPr>
                <w:rFonts w:ascii="Arial" w:cs="Arial" w:eastAsia="Arial" w:hAnsi="Arial"/>
                <w:b/>
                <w:bCs/>
                <w:color w:val="FFFFFF"/>
                <w:sz w:val="19"/>
                <w:szCs w:val="19"/>
              </w:rPr>
              <w:t xml:space="preserve">Requirement Relevant to Features</w:t>
            </w:r>
          </w:p>
        </w:tc>
        <w:tc>
          <w:tcPr>
            <w:tcW w:type="dxa" w:w="4960"/>
            <w:tcBorders>
              <w:top w:val="single" w:color="D5D8DC" w:sz="1"/>
              <w:left w:val="single" w:color="D5D8DC" w:sz="1"/>
              <w:bottom w:val="single" w:color="D5D8DC" w:sz="1"/>
              <w:right w:val="single" w:color="D5D8DC" w:sz="1"/>
            </w:tcBorders>
            <w:shd w:fill="1F3864" w:val="clear"/>
            <w:tcMar>
              <w:top w:type="dxa" w:w="90"/>
              <w:left w:type="dxa" w:w="150"/>
              <w:bottom w:type="dxa" w:w="90"/>
              <w:right w:type="dxa" w:w="100"/>
            </w:tcMar>
            <w:vAlign w:val="top"/>
          </w:tcPr>
          <w:p>
            <w:pPr>
              <w:spacing w:before="0" w:after="0"/>
              <w:jc w:val="left"/>
            </w:pPr>
            <w:r>
              <w:rPr>
                <w:rFonts w:ascii="Arial" w:cs="Arial" w:eastAsia="Arial" w:hAnsi="Arial"/>
                <w:b/>
                <w:bCs/>
                <w:color w:val="FFFFFF"/>
                <w:sz w:val="19"/>
                <w:szCs w:val="19"/>
              </w:rPr>
              <w:t xml:space="preserve">Engineering Implication</w:t>
            </w:r>
          </w:p>
        </w:tc>
      </w:tr>
      <w:tr>
        <w:tc>
          <w:tcPr>
            <w:tcW w:type="dxa" w:w="2000"/>
            <w:tcBorders>
              <w:top w:val="single" w:color="D5D8DC" w:sz="1"/>
              <w:left w:val="single" w:color="D5D8DC" w:sz="1"/>
              <w:bottom w:val="single" w:color="D5D8DC" w:sz="1"/>
              <w:right w:val="single" w:color="D5D8DC" w:sz="1"/>
            </w:tcBorders>
            <w:shd w:fill="FFFFFF" w:val="clear"/>
            <w:tcMar>
              <w:top w:type="dxa" w:w="90"/>
              <w:left w:type="dxa" w:w="150"/>
              <w:bottom w:type="dxa" w:w="90"/>
              <w:right w:type="dxa" w:w="100"/>
            </w:tcMar>
            <w:vAlign w:val="top"/>
          </w:tcPr>
          <w:p>
            <w:pPr>
              <w:spacing w:before="0" w:after="0"/>
              <w:jc w:val="left"/>
            </w:pPr>
            <w:r>
              <w:rPr>
                <w:rFonts w:ascii="Arial" w:cs="Arial" w:eastAsia="Arial" w:hAnsi="Arial"/>
                <w:b w:val="false"/>
                <w:bCs w:val="false"/>
                <w:color w:val="1A1A1A"/>
                <w:sz w:val="20"/>
                <w:szCs w:val="20"/>
              </w:rPr>
              <w:t xml:space="preserve">Basel II/III IRB</w:t>
            </w:r>
          </w:p>
        </w:tc>
        <w:tc>
          <w:tcPr>
            <w:tcW w:type="dxa" w:w="2400"/>
            <w:tcBorders>
              <w:top w:val="single" w:color="D5D8DC" w:sz="1"/>
              <w:left w:val="single" w:color="D5D8DC" w:sz="1"/>
              <w:bottom w:val="single" w:color="D5D8DC" w:sz="1"/>
              <w:right w:val="single" w:color="D5D8DC" w:sz="1"/>
            </w:tcBorders>
            <w:shd w:fill="F4F6F7" w:val="clear"/>
            <w:tcMar>
              <w:top w:type="dxa" w:w="90"/>
              <w:left w:type="dxa" w:w="150"/>
              <w:bottom w:type="dxa" w:w="90"/>
              <w:right w:type="dxa" w:w="100"/>
            </w:tcMar>
            <w:vAlign w:val="top"/>
          </w:tcPr>
          <w:p>
            <w:pPr>
              <w:spacing w:before="0" w:after="0"/>
              <w:jc w:val="left"/>
            </w:pPr>
            <w:r>
              <w:rPr>
                <w:rFonts w:ascii="Arial" w:cs="Arial" w:eastAsia="Arial" w:hAnsi="Arial"/>
                <w:b w:val="false"/>
                <w:bCs w:val="false"/>
                <w:color w:val="1A1A1A"/>
                <w:sz w:val="20"/>
                <w:szCs w:val="20"/>
              </w:rPr>
              <w:t xml:space="preserve">Probability of Default (PD) models must be well-documented and validated</w:t>
            </w:r>
          </w:p>
        </w:tc>
        <w:tc>
          <w:tcPr>
            <w:tcW w:type="dxa" w:w="4960"/>
            <w:tcBorders>
              <w:top w:val="single" w:color="D5D8DC" w:sz="1"/>
              <w:left w:val="single" w:color="D5D8DC" w:sz="1"/>
              <w:bottom w:val="single" w:color="D5D8DC" w:sz="1"/>
              <w:right w:val="single" w:color="D5D8DC" w:sz="1"/>
            </w:tcBorders>
            <w:shd w:fill="FFFFFF" w:val="clear"/>
            <w:tcMar>
              <w:top w:type="dxa" w:w="90"/>
              <w:left w:type="dxa" w:w="150"/>
              <w:bottom w:type="dxa" w:w="90"/>
              <w:right w:type="dxa" w:w="100"/>
            </w:tcMar>
            <w:vAlign w:val="top"/>
          </w:tcPr>
          <w:p>
            <w:pPr>
              <w:spacing w:before="0" w:after="0"/>
              <w:jc w:val="left"/>
            </w:pPr>
            <w:r>
              <w:rPr>
                <w:rFonts w:ascii="Arial" w:cs="Arial" w:eastAsia="Arial" w:hAnsi="Arial"/>
                <w:b w:val="false"/>
                <w:bCs w:val="false"/>
                <w:color w:val="1A1A1A"/>
                <w:sz w:val="20"/>
                <w:szCs w:val="20"/>
              </w:rPr>
              <w:t xml:space="preserve">All features must have documented selection rationale, IV values, WOE tables, and stability statistics. No black-box feature selection allowed.</w:t>
            </w:r>
          </w:p>
        </w:tc>
      </w:tr>
      <w:tr>
        <w:tc>
          <w:tcPr>
            <w:tcW w:type="dxa" w:w="2000"/>
            <w:tcBorders>
              <w:top w:val="single" w:color="D5D8DC" w:sz="1"/>
              <w:left w:val="single" w:color="D5D8DC" w:sz="1"/>
              <w:bottom w:val="single" w:color="D5D8DC" w:sz="1"/>
              <w:right w:val="single" w:color="D5D8DC" w:sz="1"/>
            </w:tcBorders>
            <w:shd w:fill="FFFFFF" w:val="clear"/>
            <w:tcMar>
              <w:top w:type="dxa" w:w="90"/>
              <w:left w:type="dxa" w:w="150"/>
              <w:bottom w:type="dxa" w:w="90"/>
              <w:right w:type="dxa" w:w="100"/>
            </w:tcMar>
            <w:vAlign w:val="top"/>
          </w:tcPr>
          <w:p>
            <w:pPr>
              <w:spacing w:before="0" w:after="0"/>
              <w:jc w:val="left"/>
            </w:pPr>
            <w:r>
              <w:rPr>
                <w:rFonts w:ascii="Arial" w:cs="Arial" w:eastAsia="Arial" w:hAnsi="Arial"/>
                <w:b w:val="false"/>
                <w:bCs w:val="false"/>
                <w:color w:val="1A1A1A"/>
                <w:sz w:val="20"/>
                <w:szCs w:val="20"/>
              </w:rPr>
              <w:t xml:space="preserve">IFRS9</w:t>
            </w:r>
          </w:p>
        </w:tc>
        <w:tc>
          <w:tcPr>
            <w:tcW w:type="dxa" w:w="2400"/>
            <w:tcBorders>
              <w:top w:val="single" w:color="D5D8DC" w:sz="1"/>
              <w:left w:val="single" w:color="D5D8DC" w:sz="1"/>
              <w:bottom w:val="single" w:color="D5D8DC" w:sz="1"/>
              <w:right w:val="single" w:color="D5D8DC" w:sz="1"/>
            </w:tcBorders>
            <w:shd w:fill="F4F6F7" w:val="clear"/>
            <w:tcMar>
              <w:top w:type="dxa" w:w="90"/>
              <w:left w:type="dxa" w:w="150"/>
              <w:bottom w:type="dxa" w:w="90"/>
              <w:right w:type="dxa" w:w="100"/>
            </w:tcMar>
            <w:vAlign w:val="top"/>
          </w:tcPr>
          <w:p>
            <w:pPr>
              <w:spacing w:before="0" w:after="0"/>
              <w:jc w:val="left"/>
            </w:pPr>
            <w:r>
              <w:rPr>
                <w:rFonts w:ascii="Arial" w:cs="Arial" w:eastAsia="Arial" w:hAnsi="Arial"/>
                <w:b w:val="false"/>
                <w:bCs w:val="false"/>
                <w:color w:val="1A1A1A"/>
                <w:sz w:val="20"/>
                <w:szCs w:val="20"/>
              </w:rPr>
              <w:t xml:space="preserve">Forward-looking information must be incorporated into credit risk estimates</w:t>
            </w:r>
          </w:p>
        </w:tc>
        <w:tc>
          <w:tcPr>
            <w:tcW w:type="dxa" w:w="4960"/>
            <w:tcBorders>
              <w:top w:val="single" w:color="D5D8DC" w:sz="1"/>
              <w:left w:val="single" w:color="D5D8DC" w:sz="1"/>
              <w:bottom w:val="single" w:color="D5D8DC" w:sz="1"/>
              <w:right w:val="single" w:color="D5D8DC" w:sz="1"/>
            </w:tcBorders>
            <w:shd w:fill="FFFFFF" w:val="clear"/>
            <w:tcMar>
              <w:top w:type="dxa" w:w="90"/>
              <w:left w:type="dxa" w:w="150"/>
              <w:bottom w:type="dxa" w:w="90"/>
              <w:right w:type="dxa" w:w="100"/>
            </w:tcMar>
            <w:vAlign w:val="top"/>
          </w:tcPr>
          <w:p>
            <w:pPr>
              <w:spacing w:before="0" w:after="0"/>
              <w:jc w:val="left"/>
            </w:pPr>
            <w:r>
              <w:rPr>
                <w:rFonts w:ascii="Arial" w:cs="Arial" w:eastAsia="Arial" w:hAnsi="Arial"/>
                <w:b w:val="false"/>
                <w:bCs w:val="false"/>
                <w:color w:val="1A1A1A"/>
                <w:sz w:val="20"/>
                <w:szCs w:val="20"/>
              </w:rPr>
              <w:t xml:space="preserve">Macroeconomic features (GDP growth, unemployment, interest rates) should be considered alongside behavioural features. Time-conditioning the model is required.</w:t>
            </w:r>
          </w:p>
        </w:tc>
      </w:tr>
      <w:tr>
        <w:tc>
          <w:tcPr>
            <w:tcW w:type="dxa" w:w="2000"/>
            <w:tcBorders>
              <w:top w:val="single" w:color="D5D8DC" w:sz="1"/>
              <w:left w:val="single" w:color="D5D8DC" w:sz="1"/>
              <w:bottom w:val="single" w:color="D5D8DC" w:sz="1"/>
              <w:right w:val="single" w:color="D5D8DC" w:sz="1"/>
            </w:tcBorders>
            <w:shd w:fill="FFFFFF" w:val="clear"/>
            <w:tcMar>
              <w:top w:type="dxa" w:w="90"/>
              <w:left w:type="dxa" w:w="150"/>
              <w:bottom w:type="dxa" w:w="90"/>
              <w:right w:type="dxa" w:w="100"/>
            </w:tcMar>
            <w:vAlign w:val="top"/>
          </w:tcPr>
          <w:p>
            <w:pPr>
              <w:spacing w:before="0" w:after="0"/>
              <w:jc w:val="left"/>
            </w:pPr>
            <w:r>
              <w:rPr>
                <w:rFonts w:ascii="Arial" w:cs="Arial" w:eastAsia="Arial" w:hAnsi="Arial"/>
                <w:b w:val="false"/>
                <w:bCs w:val="false"/>
                <w:color w:val="1A1A1A"/>
                <w:sz w:val="20"/>
                <w:szCs w:val="20"/>
              </w:rPr>
              <w:t xml:space="preserve">ECOA / Fair Lending</w:t>
            </w:r>
          </w:p>
        </w:tc>
        <w:tc>
          <w:tcPr>
            <w:tcW w:type="dxa" w:w="2400"/>
            <w:tcBorders>
              <w:top w:val="single" w:color="D5D8DC" w:sz="1"/>
              <w:left w:val="single" w:color="D5D8DC" w:sz="1"/>
              <w:bottom w:val="single" w:color="D5D8DC" w:sz="1"/>
              <w:right w:val="single" w:color="D5D8DC" w:sz="1"/>
            </w:tcBorders>
            <w:shd w:fill="F4F6F7" w:val="clear"/>
            <w:tcMar>
              <w:top w:type="dxa" w:w="90"/>
              <w:left w:type="dxa" w:w="150"/>
              <w:bottom w:type="dxa" w:w="90"/>
              <w:right w:type="dxa" w:w="100"/>
            </w:tcMar>
            <w:vAlign w:val="top"/>
          </w:tcPr>
          <w:p>
            <w:pPr>
              <w:spacing w:before="0" w:after="0"/>
              <w:jc w:val="left"/>
            </w:pPr>
            <w:r>
              <w:rPr>
                <w:rFonts w:ascii="Arial" w:cs="Arial" w:eastAsia="Arial" w:hAnsi="Arial"/>
                <w:b w:val="false"/>
                <w:bCs w:val="false"/>
                <w:color w:val="1A1A1A"/>
                <w:sz w:val="20"/>
                <w:szCs w:val="20"/>
              </w:rPr>
              <w:t xml:space="preserve">Prohibited basis variables cannot be used in credit decisions</w:t>
            </w:r>
          </w:p>
        </w:tc>
        <w:tc>
          <w:tcPr>
            <w:tcW w:type="dxa" w:w="4960"/>
            <w:tcBorders>
              <w:top w:val="single" w:color="D5D8DC" w:sz="1"/>
              <w:left w:val="single" w:color="D5D8DC" w:sz="1"/>
              <w:bottom w:val="single" w:color="D5D8DC" w:sz="1"/>
              <w:right w:val="single" w:color="D5D8DC" w:sz="1"/>
            </w:tcBorders>
            <w:shd w:fill="FFFFFF" w:val="clear"/>
            <w:tcMar>
              <w:top w:type="dxa" w:w="90"/>
              <w:left w:type="dxa" w:w="150"/>
              <w:bottom w:type="dxa" w:w="90"/>
              <w:right w:type="dxa" w:w="100"/>
            </w:tcMar>
            <w:vAlign w:val="top"/>
          </w:tcPr>
          <w:p>
            <w:pPr>
              <w:spacing w:before="0" w:after="0"/>
              <w:jc w:val="left"/>
            </w:pPr>
            <w:r>
              <w:rPr>
                <w:rFonts w:ascii="Arial" w:cs="Arial" w:eastAsia="Arial" w:hAnsi="Arial"/>
                <w:b w:val="false"/>
                <w:bCs w:val="false"/>
                <w:color w:val="1A1A1A"/>
                <w:sz w:val="20"/>
                <w:szCs w:val="20"/>
              </w:rPr>
              <w:t xml:space="preserve">GENDER must be subjected to disparate impact testing even if retained for predictive purposes. Remove if disparate impact confirmed. Document the decision.</w:t>
            </w:r>
          </w:p>
        </w:tc>
      </w:tr>
      <w:tr>
        <w:tc>
          <w:tcPr>
            <w:tcW w:type="dxa" w:w="2000"/>
            <w:tcBorders>
              <w:top w:val="single" w:color="D5D8DC" w:sz="1"/>
              <w:left w:val="single" w:color="D5D8DC" w:sz="1"/>
              <w:bottom w:val="single" w:color="D5D8DC" w:sz="1"/>
              <w:right w:val="single" w:color="D5D8DC" w:sz="1"/>
            </w:tcBorders>
            <w:shd w:fill="FFFFFF" w:val="clear"/>
            <w:tcMar>
              <w:top w:type="dxa" w:w="90"/>
              <w:left w:type="dxa" w:w="150"/>
              <w:bottom w:type="dxa" w:w="90"/>
              <w:right w:type="dxa" w:w="100"/>
            </w:tcMar>
            <w:vAlign w:val="top"/>
          </w:tcPr>
          <w:p>
            <w:pPr>
              <w:spacing w:before="0" w:after="0"/>
              <w:jc w:val="left"/>
            </w:pPr>
            <w:r>
              <w:rPr>
                <w:rFonts w:ascii="Arial" w:cs="Arial" w:eastAsia="Arial" w:hAnsi="Arial"/>
                <w:b w:val="false"/>
                <w:bCs w:val="false"/>
                <w:color w:val="1A1A1A"/>
                <w:sz w:val="20"/>
                <w:szCs w:val="20"/>
              </w:rPr>
              <w:t xml:space="preserve">SR 11-7 (Fed Guidance)</w:t>
            </w:r>
          </w:p>
        </w:tc>
        <w:tc>
          <w:tcPr>
            <w:tcW w:type="dxa" w:w="2400"/>
            <w:tcBorders>
              <w:top w:val="single" w:color="D5D8DC" w:sz="1"/>
              <w:left w:val="single" w:color="D5D8DC" w:sz="1"/>
              <w:bottom w:val="single" w:color="D5D8DC" w:sz="1"/>
              <w:right w:val="single" w:color="D5D8DC" w:sz="1"/>
            </w:tcBorders>
            <w:shd w:fill="F4F6F7" w:val="clear"/>
            <w:tcMar>
              <w:top w:type="dxa" w:w="90"/>
              <w:left w:type="dxa" w:w="150"/>
              <w:bottom w:type="dxa" w:w="90"/>
              <w:right w:type="dxa" w:w="100"/>
            </w:tcMar>
            <w:vAlign w:val="top"/>
          </w:tcPr>
          <w:p>
            <w:pPr>
              <w:spacing w:before="0" w:after="0"/>
              <w:jc w:val="left"/>
            </w:pPr>
            <w:r>
              <w:rPr>
                <w:rFonts w:ascii="Arial" w:cs="Arial" w:eastAsia="Arial" w:hAnsi="Arial"/>
                <w:b w:val="false"/>
                <w:bCs w:val="false"/>
                <w:color w:val="1A1A1A"/>
                <w:sz w:val="20"/>
                <w:szCs w:val="20"/>
              </w:rPr>
              <w:t xml:space="preserve">Model risk management requires documentation of feature selection and validation</w:t>
            </w:r>
          </w:p>
        </w:tc>
        <w:tc>
          <w:tcPr>
            <w:tcW w:type="dxa" w:w="4960"/>
            <w:tcBorders>
              <w:top w:val="single" w:color="D5D8DC" w:sz="1"/>
              <w:left w:val="single" w:color="D5D8DC" w:sz="1"/>
              <w:bottom w:val="single" w:color="D5D8DC" w:sz="1"/>
              <w:right w:val="single" w:color="D5D8DC" w:sz="1"/>
            </w:tcBorders>
            <w:shd w:fill="FFFFFF" w:val="clear"/>
            <w:tcMar>
              <w:top w:type="dxa" w:w="90"/>
              <w:left w:type="dxa" w:w="150"/>
              <w:bottom w:type="dxa" w:w="90"/>
              <w:right w:type="dxa" w:w="100"/>
            </w:tcMar>
            <w:vAlign w:val="top"/>
          </w:tcPr>
          <w:p>
            <w:pPr>
              <w:spacing w:before="0" w:after="0"/>
              <w:jc w:val="left"/>
            </w:pPr>
            <w:r>
              <w:rPr>
                <w:rFonts w:ascii="Arial" w:cs="Arial" w:eastAsia="Arial" w:hAnsi="Arial"/>
                <w:b w:val="false"/>
                <w:bCs w:val="false"/>
                <w:color w:val="1A1A1A"/>
                <w:sz w:val="20"/>
                <w:szCs w:val="20"/>
              </w:rPr>
              <w:t xml:space="preserve">Every feature in the production model must have an associated feature importance score, IV value, PSI monitoring threshold, and business justification.</w:t>
            </w:r>
          </w:p>
        </w:tc>
      </w:tr>
      <w:tr>
        <w:tc>
          <w:tcPr>
            <w:tcW w:type="dxa" w:w="2000"/>
            <w:tcBorders>
              <w:top w:val="single" w:color="D5D8DC" w:sz="1"/>
              <w:left w:val="single" w:color="D5D8DC" w:sz="1"/>
              <w:bottom w:val="single" w:color="D5D8DC" w:sz="1"/>
              <w:right w:val="single" w:color="D5D8DC" w:sz="1"/>
            </w:tcBorders>
            <w:shd w:fill="FFFFFF" w:val="clear"/>
            <w:tcMar>
              <w:top w:type="dxa" w:w="90"/>
              <w:left w:type="dxa" w:w="150"/>
              <w:bottom w:type="dxa" w:w="90"/>
              <w:right w:type="dxa" w:w="100"/>
            </w:tcMar>
            <w:vAlign w:val="top"/>
          </w:tcPr>
          <w:p>
            <w:pPr>
              <w:spacing w:before="0" w:after="0"/>
              <w:jc w:val="left"/>
            </w:pPr>
            <w:r>
              <w:rPr>
                <w:rFonts w:ascii="Arial" w:cs="Arial" w:eastAsia="Arial" w:hAnsi="Arial"/>
                <w:b w:val="false"/>
                <w:bCs w:val="false"/>
                <w:color w:val="1A1A1A"/>
                <w:sz w:val="20"/>
                <w:szCs w:val="20"/>
              </w:rPr>
              <w:t xml:space="preserve">GDPR (if applicable)</w:t>
            </w:r>
          </w:p>
        </w:tc>
        <w:tc>
          <w:tcPr>
            <w:tcW w:type="dxa" w:w="2400"/>
            <w:tcBorders>
              <w:top w:val="single" w:color="D5D8DC" w:sz="1"/>
              <w:left w:val="single" w:color="D5D8DC" w:sz="1"/>
              <w:bottom w:val="single" w:color="D5D8DC" w:sz="1"/>
              <w:right w:val="single" w:color="D5D8DC" w:sz="1"/>
            </w:tcBorders>
            <w:shd w:fill="F4F6F7" w:val="clear"/>
            <w:tcMar>
              <w:top w:type="dxa" w:w="90"/>
              <w:left w:type="dxa" w:w="150"/>
              <w:bottom w:type="dxa" w:w="90"/>
              <w:right w:type="dxa" w:w="100"/>
            </w:tcMar>
            <w:vAlign w:val="top"/>
          </w:tcPr>
          <w:p>
            <w:pPr>
              <w:spacing w:before="0" w:after="0"/>
              <w:jc w:val="left"/>
            </w:pPr>
            <w:r>
              <w:rPr>
                <w:rFonts w:ascii="Arial" w:cs="Arial" w:eastAsia="Arial" w:hAnsi="Arial"/>
                <w:b w:val="false"/>
                <w:bCs w:val="false"/>
                <w:color w:val="1A1A1A"/>
                <w:sz w:val="20"/>
                <w:szCs w:val="20"/>
              </w:rPr>
              <w:t xml:space="preserve">Right to explanation for automated credit decisions</w:t>
            </w:r>
          </w:p>
        </w:tc>
        <w:tc>
          <w:tcPr>
            <w:tcW w:type="dxa" w:w="4960"/>
            <w:tcBorders>
              <w:top w:val="single" w:color="D5D8DC" w:sz="1"/>
              <w:left w:val="single" w:color="D5D8DC" w:sz="1"/>
              <w:bottom w:val="single" w:color="D5D8DC" w:sz="1"/>
              <w:right w:val="single" w:color="D5D8DC" w:sz="1"/>
            </w:tcBorders>
            <w:shd w:fill="FFFFFF" w:val="clear"/>
            <w:tcMar>
              <w:top w:type="dxa" w:w="90"/>
              <w:left w:type="dxa" w:w="150"/>
              <w:bottom w:type="dxa" w:w="90"/>
              <w:right w:type="dxa" w:w="100"/>
            </w:tcMar>
            <w:vAlign w:val="top"/>
          </w:tcPr>
          <w:p>
            <w:pPr>
              <w:spacing w:before="0" w:after="0"/>
              <w:jc w:val="left"/>
            </w:pPr>
            <w:r>
              <w:rPr>
                <w:rFonts w:ascii="Arial" w:cs="Arial" w:eastAsia="Arial" w:hAnsi="Arial"/>
                <w:b w:val="false"/>
                <w:bCs w:val="false"/>
                <w:color w:val="1A1A1A"/>
                <w:sz w:val="20"/>
                <w:szCs w:val="20"/>
              </w:rPr>
              <w:t xml:space="preserve">Features must be interpretable enough to generate meaningful adverse action codes. WOE-encoded features satisfy this requirement naturally.</w:t>
            </w:r>
          </w:p>
        </w:tc>
      </w:tr>
    </w:tbl>
    <w:p>
      <w:pPr>
        <w:spacing w:before="0" w:after="200"/>
      </w:pPr>
    </w:p>
    <w:p>
      <w:r>
        <w:br w:type="page"/>
      </w:r>
    </w:p>
    <w:p>
      <w:pPr>
        <w:pStyle w:val="Heading1"/>
        <w:pBdr>
          <w:bottom w:val="single" w:color="2E75B6" w:sz="6"/>
        </w:pBdr>
        <w:spacing w:before="400" w:after="160"/>
      </w:pPr>
      <w:r>
        <w:rPr>
          <w:rFonts w:ascii="Arial" w:cs="Arial" w:eastAsia="Arial" w:hAnsi="Arial"/>
          <w:b/>
          <w:bCs/>
          <w:color w:val="1F3864"/>
          <w:sz w:val="36"/>
          <w:szCs w:val="36"/>
        </w:rPr>
        <w:t xml:space="preserve">Section 7: Validation of Feature Engineering Decisions</w:t>
      </w:r>
    </w:p>
    <w:p>
      <w:pPr>
        <w:spacing w:before="80" w:after="80"/>
      </w:pPr>
      <w:r>
        <w:rPr>
          <w:rFonts w:ascii="Arial" w:cs="Arial" w:eastAsia="Arial" w:hAnsi="Arial"/>
          <w:b w:val="false"/>
          <w:bCs w:val="false"/>
          <w:color w:val="1A1A1A"/>
          <w:sz w:val="22"/>
          <w:szCs w:val="22"/>
        </w:rPr>
        <w:t xml:space="preserve">Feature engineering decisions must be validated empirically — not just theoretically justified. A feature that appears powerful in EDA may fail to improve model performance due to collinearity with existing features, overfitting, or instability. The following validation framework is used in professional credit risk model development.</w:t>
      </w:r>
    </w:p>
    <w:p>
      <w:pPr>
        <w:spacing w:before="0" w:after="120"/>
      </w:pPr>
    </w:p>
    <w:p>
      <w:pPr>
        <w:pStyle w:val="Heading2"/>
        <w:spacing w:before="280" w:after="120"/>
      </w:pPr>
      <w:r>
        <w:rPr>
          <w:rFonts w:ascii="Arial" w:cs="Arial" w:eastAsia="Arial" w:hAnsi="Arial"/>
          <w:b/>
          <w:bCs/>
          <w:color w:val="1B6CA8"/>
          <w:sz w:val="28"/>
          <w:szCs w:val="28"/>
        </w:rPr>
        <w:t xml:space="preserve">7.1 Cross-Validation Framework</w:t>
      </w:r>
    </w:p>
    <w:p>
      <w:pPr>
        <w:spacing w:before="80" w:after="80"/>
      </w:pPr>
      <w:r>
        <w:rPr>
          <w:rFonts w:ascii="Arial" w:cs="Arial" w:eastAsia="Arial" w:hAnsi="Arial"/>
          <w:b w:val="false"/>
          <w:bCs w:val="false"/>
          <w:color w:val="1A1A1A"/>
          <w:sz w:val="22"/>
          <w:szCs w:val="22"/>
        </w:rPr>
        <w:t xml:space="preserve">All feature engineering must be evaluated within a properly structured cross-validation framework. The key principle is: every transformation, encoding, and scaling parameter must be fitted on training folds only and applied to validation folds.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5D8DC" w:sz="1"/>
              <w:left w:val="single" w:color="D5D8DC" w:sz="1"/>
              <w:bottom w:val="single" w:color="D5D8DC" w:sz="1"/>
              <w:right w:val="single" w:color="D5D8DC" w:sz="1"/>
            </w:tcBorders>
            <w:shd w:fill="2C3E50" w:val="clear"/>
            <w:tcMar>
              <w:top w:type="dxa" w:w="120"/>
              <w:left w:type="dxa" w:w="200"/>
              <w:bottom w:type="dxa" w:w="120"/>
              <w:right w:type="dxa" w:w="160"/>
            </w:tcMar>
          </w:tcPr>
          <w:p>
            <w:pPr>
              <w:spacing w:before="20" w:after="20"/>
            </w:pPr>
            <w:r>
              <w:rPr>
                <w:rFonts w:ascii="Courier New" w:cs="Courier New" w:eastAsia="Courier New" w:hAnsi="Courier New"/>
                <w:color w:val="A9DFBF"/>
                <w:sz w:val="18"/>
                <w:szCs w:val="18"/>
              </w:rPr>
              <w:t xml:space="preserve"># Stratified K-Fold ensures default rate is preserved in each fold</w:t>
            </w:r>
          </w:p>
          <w:p>
            <w:pPr>
              <w:spacing w:before="20" w:after="20"/>
            </w:pPr>
            <w:r>
              <w:rPr>
                <w:rFonts w:ascii="Courier New" w:cs="Courier New" w:eastAsia="Courier New" w:hAnsi="Courier New"/>
                <w:color w:val="A9DFBF"/>
                <w:sz w:val="18"/>
                <w:szCs w:val="18"/>
              </w:rPr>
              <w:t xml:space="preserve">from sklearn.model_selection import StratifiedKFold</w:t>
            </w:r>
          </w:p>
          <w:p>
            <w:pPr>
              <w:spacing w:before="20" w:after="20"/>
            </w:pPr>
            <w:r>
              <w:rPr>
                <w:rFonts w:ascii="Courier New" w:cs="Courier New" w:eastAsia="Courier New" w:hAnsi="Courier New"/>
                <w:color w:val="A9DFBF"/>
                <w:sz w:val="18"/>
                <w:szCs w:val="18"/>
              </w:rPr>
              <w:t xml:space="preserve"/>
            </w:r>
          </w:p>
          <w:p>
            <w:pPr>
              <w:spacing w:before="20" w:after="20"/>
            </w:pPr>
            <w:r>
              <w:rPr>
                <w:rFonts w:ascii="Courier New" w:cs="Courier New" w:eastAsia="Courier New" w:hAnsi="Courier New"/>
                <w:color w:val="A9DFBF"/>
                <w:sz w:val="18"/>
                <w:szCs w:val="18"/>
              </w:rPr>
              <w:t xml:space="preserve">cv = StratifiedKFold(n_splits=5, shuffle=True, random_state=42)</w:t>
            </w:r>
          </w:p>
          <w:p>
            <w:pPr>
              <w:spacing w:before="20" w:after="20"/>
            </w:pPr>
            <w:r>
              <w:rPr>
                <w:rFonts w:ascii="Courier New" w:cs="Courier New" w:eastAsia="Courier New" w:hAnsi="Courier New"/>
                <w:color w:val="A9DFBF"/>
                <w:sz w:val="18"/>
                <w:szCs w:val="18"/>
              </w:rPr>
              <w:t xml:space="preserve"/>
            </w:r>
          </w:p>
          <w:p>
            <w:pPr>
              <w:spacing w:before="20" w:after="20"/>
            </w:pPr>
            <w:r>
              <w:rPr>
                <w:rFonts w:ascii="Courier New" w:cs="Courier New" w:eastAsia="Courier New" w:hAnsi="Courier New"/>
                <w:color w:val="A9DFBF"/>
                <w:sz w:val="18"/>
                <w:szCs w:val="18"/>
              </w:rPr>
              <w:t xml:space="preserve"># Within each fold:</w:t>
            </w:r>
          </w:p>
          <w:p>
            <w:pPr>
              <w:spacing w:before="20" w:after="20"/>
            </w:pPr>
            <w:r>
              <w:rPr>
                <w:rFonts w:ascii="Courier New" w:cs="Courier New" w:eastAsia="Courier New" w:hAnsi="Courier New"/>
                <w:color w:val="A9DFBF"/>
                <w:sz w:val="18"/>
                <w:szCs w:val="18"/>
              </w:rPr>
              <w:t xml:space="preserve"># 1. Fit WOE bins on X_train_fold</w:t>
            </w:r>
          </w:p>
          <w:p>
            <w:pPr>
              <w:spacing w:before="20" w:after="20"/>
            </w:pPr>
            <w:r>
              <w:rPr>
                <w:rFonts w:ascii="Courier New" w:cs="Courier New" w:eastAsia="Courier New" w:hAnsi="Courier New"/>
                <w:color w:val="A9DFBF"/>
                <w:sz w:val="18"/>
                <w:szCs w:val="18"/>
              </w:rPr>
              <w:t xml:space="preserve"># 2. Fit Winsorization thresholds on X_train_fold</w:t>
            </w:r>
          </w:p>
          <w:p>
            <w:pPr>
              <w:spacing w:before="20" w:after="20"/>
            </w:pPr>
            <w:r>
              <w:rPr>
                <w:rFonts w:ascii="Courier New" w:cs="Courier New" w:eastAsia="Courier New" w:hAnsi="Courier New"/>
                <w:color w:val="A9DFBF"/>
                <w:sz w:val="18"/>
                <w:szCs w:val="18"/>
              </w:rPr>
              <w:t xml:space="preserve"># 3. Fit StandardScaler on X_train_fold</w:t>
            </w:r>
          </w:p>
          <w:p>
            <w:pPr>
              <w:spacing w:before="20" w:after="20"/>
            </w:pPr>
            <w:r>
              <w:rPr>
                <w:rFonts w:ascii="Courier New" w:cs="Courier New" w:eastAsia="Courier New" w:hAnsi="Courier New"/>
                <w:color w:val="A9DFBF"/>
                <w:sz w:val="18"/>
                <w:szCs w:val="18"/>
              </w:rPr>
              <w:t xml:space="preserve"># 4. Apply all transformations to X_val_fold</w:t>
            </w:r>
          </w:p>
          <w:p>
            <w:pPr>
              <w:spacing w:before="20" w:after="20"/>
            </w:pPr>
            <w:r>
              <w:rPr>
                <w:rFonts w:ascii="Courier New" w:cs="Courier New" w:eastAsia="Courier New" w:hAnsi="Courier New"/>
                <w:color w:val="A9DFBF"/>
                <w:sz w:val="18"/>
                <w:szCs w:val="18"/>
              </w:rPr>
              <w:t xml:space="preserve"># 5. Evaluate model on X_val_fold</w:t>
            </w:r>
          </w:p>
          <w:p>
            <w:pPr>
              <w:spacing w:before="20" w:after="20"/>
            </w:pPr>
            <w:r>
              <w:rPr>
                <w:rFonts w:ascii="Courier New" w:cs="Courier New" w:eastAsia="Courier New" w:hAnsi="Courier New"/>
                <w:color w:val="A9DFBF"/>
                <w:sz w:val="18"/>
                <w:szCs w:val="18"/>
              </w:rPr>
              <w:t xml:space="preserve"># 6. Report: AUC, KS, Gini per fold + mean + std dev</w:t>
            </w:r>
          </w:p>
          <w:p>
            <w:pPr>
              <w:spacing w:before="20" w:after="20"/>
            </w:pPr>
            <w:r>
              <w:rPr>
                <w:rFonts w:ascii="Courier New" w:cs="Courier New" w:eastAsia="Courier New" w:hAnsi="Courier New"/>
                <w:color w:val="A9DFBF"/>
                <w:sz w:val="18"/>
                <w:szCs w:val="18"/>
              </w:rPr>
              <w:t xml:space="preserve"/>
            </w:r>
          </w:p>
          <w:p>
            <w:pPr>
              <w:spacing w:before="20" w:after="20"/>
            </w:pPr>
            <w:r>
              <w:rPr>
                <w:rFonts w:ascii="Courier New" w:cs="Courier New" w:eastAsia="Courier New" w:hAnsi="Courier New"/>
                <w:color w:val="A9DFBF"/>
                <w:sz w:val="18"/>
                <w:szCs w:val="18"/>
              </w:rPr>
              <w:t xml:space="preserve"># WARNING: Never fit transformations on full dataset before split</w:t>
            </w:r>
          </w:p>
        </w:tc>
      </w:tr>
    </w:tbl>
    <w:p>
      <w:pPr>
        <w:spacing w:before="0" w:after="140"/>
      </w:pPr>
    </w:p>
    <w:p>
      <w:pPr>
        <w:pStyle w:val="Heading2"/>
        <w:spacing w:before="280" w:after="120"/>
      </w:pPr>
      <w:r>
        <w:rPr>
          <w:rFonts w:ascii="Arial" w:cs="Arial" w:eastAsia="Arial" w:hAnsi="Arial"/>
          <w:b/>
          <w:bCs/>
          <w:color w:val="1B6CA8"/>
          <w:sz w:val="28"/>
          <w:szCs w:val="28"/>
        </w:rPr>
        <w:t xml:space="preserve">7.2 Model Performance Metrics</w:t>
      </w:r>
    </w:p>
    <w:p>
      <w:pPr>
        <w:pStyle w:val="Heading3"/>
        <w:spacing w:before="200" w:after="80"/>
      </w:pPr>
      <w:r>
        <w:rPr>
          <w:rFonts w:ascii="Arial" w:cs="Arial" w:eastAsia="Arial" w:hAnsi="Arial"/>
          <w:b/>
          <w:bCs/>
          <w:color w:val="1F3864"/>
          <w:sz w:val="24"/>
          <w:szCs w:val="24"/>
        </w:rPr>
        <w:t xml:space="preserve">Primary Metrics for Credit Risk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760"/>
        <w:gridCol w:w="5600"/>
      </w:tblGrid>
      <w:tr>
        <w:tc>
          <w:tcPr>
            <w:tcW w:type="dxa" w:w="2000"/>
            <w:tcBorders>
              <w:top w:val="single" w:color="D5D8DC" w:sz="1"/>
              <w:left w:val="single" w:color="D5D8DC" w:sz="1"/>
              <w:bottom w:val="single" w:color="D5D8DC" w:sz="1"/>
              <w:right w:val="single" w:color="D5D8DC" w:sz="1"/>
            </w:tcBorders>
            <w:shd w:fill="1F3864" w:val="clear"/>
            <w:tcMar>
              <w:top w:type="dxa" w:w="90"/>
              <w:left w:type="dxa" w:w="150"/>
              <w:bottom w:type="dxa" w:w="90"/>
              <w:right w:type="dxa" w:w="100"/>
            </w:tcMar>
            <w:vAlign w:val="top"/>
          </w:tcPr>
          <w:p>
            <w:pPr>
              <w:spacing w:before="0" w:after="0"/>
              <w:jc w:val="left"/>
            </w:pPr>
            <w:r>
              <w:rPr>
                <w:rFonts w:ascii="Arial" w:cs="Arial" w:eastAsia="Arial" w:hAnsi="Arial"/>
                <w:b/>
                <w:bCs/>
                <w:color w:val="FFFFFF"/>
                <w:sz w:val="19"/>
                <w:szCs w:val="19"/>
              </w:rPr>
              <w:t xml:space="preserve">Metric</w:t>
            </w:r>
          </w:p>
        </w:tc>
        <w:tc>
          <w:tcPr>
            <w:tcW w:type="dxa" w:w="1760"/>
            <w:tcBorders>
              <w:top w:val="single" w:color="D5D8DC" w:sz="1"/>
              <w:left w:val="single" w:color="D5D8DC" w:sz="1"/>
              <w:bottom w:val="single" w:color="D5D8DC" w:sz="1"/>
              <w:right w:val="single" w:color="D5D8DC" w:sz="1"/>
            </w:tcBorders>
            <w:shd w:fill="1F3864" w:val="clear"/>
            <w:tcMar>
              <w:top w:type="dxa" w:w="90"/>
              <w:left w:type="dxa" w:w="150"/>
              <w:bottom w:type="dxa" w:w="90"/>
              <w:right w:type="dxa" w:w="100"/>
            </w:tcMar>
            <w:vAlign w:val="top"/>
          </w:tcPr>
          <w:p>
            <w:pPr>
              <w:spacing w:before="0" w:after="0"/>
              <w:jc w:val="left"/>
            </w:pPr>
            <w:r>
              <w:rPr>
                <w:rFonts w:ascii="Arial" w:cs="Arial" w:eastAsia="Arial" w:hAnsi="Arial"/>
                <w:b/>
                <w:bCs/>
                <w:color w:val="FFFFFF"/>
                <w:sz w:val="19"/>
                <w:szCs w:val="19"/>
              </w:rPr>
              <w:t xml:space="preserve">Good Threshold</w:t>
            </w:r>
          </w:p>
        </w:tc>
        <w:tc>
          <w:tcPr>
            <w:tcW w:type="dxa" w:w="5600"/>
            <w:tcBorders>
              <w:top w:val="single" w:color="D5D8DC" w:sz="1"/>
              <w:left w:val="single" w:color="D5D8DC" w:sz="1"/>
              <w:bottom w:val="single" w:color="D5D8DC" w:sz="1"/>
              <w:right w:val="single" w:color="D5D8DC" w:sz="1"/>
            </w:tcBorders>
            <w:shd w:fill="1F3864" w:val="clear"/>
            <w:tcMar>
              <w:top w:type="dxa" w:w="90"/>
              <w:left w:type="dxa" w:w="150"/>
              <w:bottom w:type="dxa" w:w="90"/>
              <w:right w:type="dxa" w:w="100"/>
            </w:tcMar>
            <w:vAlign w:val="top"/>
          </w:tcPr>
          <w:p>
            <w:pPr>
              <w:spacing w:before="0" w:after="0"/>
              <w:jc w:val="left"/>
            </w:pPr>
            <w:r>
              <w:rPr>
                <w:rFonts w:ascii="Arial" w:cs="Arial" w:eastAsia="Arial" w:hAnsi="Arial"/>
                <w:b/>
                <w:bCs/>
                <w:color w:val="FFFFFF"/>
                <w:sz w:val="19"/>
                <w:szCs w:val="19"/>
              </w:rPr>
              <w:t xml:space="preserve">Why It Matters in Credit Risk</w:t>
            </w:r>
          </w:p>
        </w:tc>
      </w:tr>
      <w:tr>
        <w:tc>
          <w:tcPr>
            <w:tcW w:type="dxa" w:w="2000"/>
            <w:tcBorders>
              <w:top w:val="single" w:color="D5D8DC" w:sz="1"/>
              <w:left w:val="single" w:color="D5D8DC" w:sz="1"/>
              <w:bottom w:val="single" w:color="D5D8DC" w:sz="1"/>
              <w:right w:val="single" w:color="D5D8DC" w:sz="1"/>
            </w:tcBorders>
            <w:shd w:fill="FFFFFF" w:val="clear"/>
            <w:tcMar>
              <w:top w:type="dxa" w:w="90"/>
              <w:left w:type="dxa" w:w="150"/>
              <w:bottom w:type="dxa" w:w="90"/>
              <w:right w:type="dxa" w:w="100"/>
            </w:tcMar>
            <w:vAlign w:val="top"/>
          </w:tcPr>
          <w:p>
            <w:pPr>
              <w:spacing w:before="0" w:after="0"/>
              <w:jc w:val="left"/>
            </w:pPr>
            <w:r>
              <w:rPr>
                <w:rFonts w:ascii="Arial" w:cs="Arial" w:eastAsia="Arial" w:hAnsi="Arial"/>
                <w:b w:val="false"/>
                <w:bCs w:val="false"/>
                <w:color w:val="1A1A1A"/>
                <w:sz w:val="20"/>
                <w:szCs w:val="20"/>
              </w:rPr>
              <w:t xml:space="preserve">AUC-ROC</w:t>
            </w:r>
          </w:p>
        </w:tc>
        <w:tc>
          <w:tcPr>
            <w:tcW w:type="dxa" w:w="1760"/>
            <w:tcBorders>
              <w:top w:val="single" w:color="D5D8DC" w:sz="1"/>
              <w:left w:val="single" w:color="D5D8DC" w:sz="1"/>
              <w:bottom w:val="single" w:color="D5D8DC" w:sz="1"/>
              <w:right w:val="single" w:color="D5D8DC" w:sz="1"/>
            </w:tcBorders>
            <w:shd w:fill="F4F6F7" w:val="clear"/>
            <w:tcMar>
              <w:top w:type="dxa" w:w="90"/>
              <w:left w:type="dxa" w:w="150"/>
              <w:bottom w:type="dxa" w:w="90"/>
              <w:right w:type="dxa" w:w="100"/>
            </w:tcMar>
            <w:vAlign w:val="top"/>
          </w:tcPr>
          <w:p>
            <w:pPr>
              <w:spacing w:before="0" w:after="0"/>
              <w:jc w:val="left"/>
            </w:pPr>
            <w:r>
              <w:rPr>
                <w:rFonts w:ascii="Arial" w:cs="Arial" w:eastAsia="Arial" w:hAnsi="Arial"/>
                <w:b w:val="false"/>
                <w:bCs w:val="false"/>
                <w:color w:val="1A1A1A"/>
                <w:sz w:val="20"/>
                <w:szCs w:val="20"/>
              </w:rPr>
              <w:t xml:space="preserve">&gt; 0.78</w:t>
            </w:r>
          </w:p>
        </w:tc>
        <w:tc>
          <w:tcPr>
            <w:tcW w:type="dxa" w:w="5600"/>
            <w:tcBorders>
              <w:top w:val="single" w:color="D5D8DC" w:sz="1"/>
              <w:left w:val="single" w:color="D5D8DC" w:sz="1"/>
              <w:bottom w:val="single" w:color="D5D8DC" w:sz="1"/>
              <w:right w:val="single" w:color="D5D8DC" w:sz="1"/>
            </w:tcBorders>
            <w:shd w:fill="FFFFFF" w:val="clear"/>
            <w:tcMar>
              <w:top w:type="dxa" w:w="90"/>
              <w:left w:type="dxa" w:w="150"/>
              <w:bottom w:type="dxa" w:w="90"/>
              <w:right w:type="dxa" w:w="100"/>
            </w:tcMar>
            <w:vAlign w:val="top"/>
          </w:tcPr>
          <w:p>
            <w:pPr>
              <w:spacing w:before="0" w:after="0"/>
              <w:jc w:val="left"/>
            </w:pPr>
            <w:r>
              <w:rPr>
                <w:rFonts w:ascii="Arial" w:cs="Arial" w:eastAsia="Arial" w:hAnsi="Arial"/>
                <w:b w:val="false"/>
                <w:bCs w:val="false"/>
                <w:color w:val="1A1A1A"/>
                <w:sz w:val="20"/>
                <w:szCs w:val="20"/>
              </w:rPr>
              <w:t xml:space="preserve">Threshold-independent discrimination. Primary benchmark for model comparison. The expected range for this dataset with good engineering is 0.80–0.86.</w:t>
            </w:r>
          </w:p>
        </w:tc>
      </w:tr>
      <w:tr>
        <w:tc>
          <w:tcPr>
            <w:tcW w:type="dxa" w:w="2000"/>
            <w:tcBorders>
              <w:top w:val="single" w:color="D5D8DC" w:sz="1"/>
              <w:left w:val="single" w:color="D5D8DC" w:sz="1"/>
              <w:bottom w:val="single" w:color="D5D8DC" w:sz="1"/>
              <w:right w:val="single" w:color="D5D8DC" w:sz="1"/>
            </w:tcBorders>
            <w:shd w:fill="FFFFFF" w:val="clear"/>
            <w:tcMar>
              <w:top w:type="dxa" w:w="90"/>
              <w:left w:type="dxa" w:w="150"/>
              <w:bottom w:type="dxa" w:w="90"/>
              <w:right w:type="dxa" w:w="100"/>
            </w:tcMar>
            <w:vAlign w:val="top"/>
          </w:tcPr>
          <w:p>
            <w:pPr>
              <w:spacing w:before="0" w:after="0"/>
              <w:jc w:val="left"/>
            </w:pPr>
            <w:r>
              <w:rPr>
                <w:rFonts w:ascii="Arial" w:cs="Arial" w:eastAsia="Arial" w:hAnsi="Arial"/>
                <w:b w:val="false"/>
                <w:bCs w:val="false"/>
                <w:color w:val="1A1A1A"/>
                <w:sz w:val="20"/>
                <w:szCs w:val="20"/>
              </w:rPr>
              <w:t xml:space="preserve">KS Statistic</w:t>
            </w:r>
          </w:p>
        </w:tc>
        <w:tc>
          <w:tcPr>
            <w:tcW w:type="dxa" w:w="1760"/>
            <w:tcBorders>
              <w:top w:val="single" w:color="D5D8DC" w:sz="1"/>
              <w:left w:val="single" w:color="D5D8DC" w:sz="1"/>
              <w:bottom w:val="single" w:color="D5D8DC" w:sz="1"/>
              <w:right w:val="single" w:color="D5D8DC" w:sz="1"/>
            </w:tcBorders>
            <w:shd w:fill="F4F6F7" w:val="clear"/>
            <w:tcMar>
              <w:top w:type="dxa" w:w="90"/>
              <w:left w:type="dxa" w:w="150"/>
              <w:bottom w:type="dxa" w:w="90"/>
              <w:right w:type="dxa" w:w="100"/>
            </w:tcMar>
            <w:vAlign w:val="top"/>
          </w:tcPr>
          <w:p>
            <w:pPr>
              <w:spacing w:before="0" w:after="0"/>
              <w:jc w:val="left"/>
            </w:pPr>
            <w:r>
              <w:rPr>
                <w:rFonts w:ascii="Arial" w:cs="Arial" w:eastAsia="Arial" w:hAnsi="Arial"/>
                <w:b w:val="false"/>
                <w:bCs w:val="false"/>
                <w:color w:val="1A1A1A"/>
                <w:sz w:val="20"/>
                <w:szCs w:val="20"/>
              </w:rPr>
              <w:t xml:space="preserve">&gt; 0.40</w:t>
            </w:r>
          </w:p>
        </w:tc>
        <w:tc>
          <w:tcPr>
            <w:tcW w:type="dxa" w:w="5600"/>
            <w:tcBorders>
              <w:top w:val="single" w:color="D5D8DC" w:sz="1"/>
              <w:left w:val="single" w:color="D5D8DC" w:sz="1"/>
              <w:bottom w:val="single" w:color="D5D8DC" w:sz="1"/>
              <w:right w:val="single" w:color="D5D8DC" w:sz="1"/>
            </w:tcBorders>
            <w:shd w:fill="FFFFFF" w:val="clear"/>
            <w:tcMar>
              <w:top w:type="dxa" w:w="90"/>
              <w:left w:type="dxa" w:w="150"/>
              <w:bottom w:type="dxa" w:w="90"/>
              <w:right w:type="dxa" w:w="100"/>
            </w:tcMar>
            <w:vAlign w:val="top"/>
          </w:tcPr>
          <w:p>
            <w:pPr>
              <w:spacing w:before="0" w:after="0"/>
              <w:jc w:val="left"/>
            </w:pPr>
            <w:r>
              <w:rPr>
                <w:rFonts w:ascii="Arial" w:cs="Arial" w:eastAsia="Arial" w:hAnsi="Arial"/>
                <w:b w:val="false"/>
                <w:bCs w:val="false"/>
                <w:color w:val="1A1A1A"/>
                <w:sz w:val="20"/>
                <w:szCs w:val="20"/>
              </w:rPr>
              <w:t xml:space="preserve">Maximum separation between cumulative default and non-default distributions. The banking industry standard for scorecard quality. KS &gt; 40 = good; KS &gt; 50 = excellent.</w:t>
            </w:r>
          </w:p>
        </w:tc>
      </w:tr>
      <w:tr>
        <w:tc>
          <w:tcPr>
            <w:tcW w:type="dxa" w:w="2000"/>
            <w:tcBorders>
              <w:top w:val="single" w:color="D5D8DC" w:sz="1"/>
              <w:left w:val="single" w:color="D5D8DC" w:sz="1"/>
              <w:bottom w:val="single" w:color="D5D8DC" w:sz="1"/>
              <w:right w:val="single" w:color="D5D8DC" w:sz="1"/>
            </w:tcBorders>
            <w:shd w:fill="FFFFFF" w:val="clear"/>
            <w:tcMar>
              <w:top w:type="dxa" w:w="90"/>
              <w:left w:type="dxa" w:w="150"/>
              <w:bottom w:type="dxa" w:w="90"/>
              <w:right w:type="dxa" w:w="100"/>
            </w:tcMar>
            <w:vAlign w:val="top"/>
          </w:tcPr>
          <w:p>
            <w:pPr>
              <w:spacing w:before="0" w:after="0"/>
              <w:jc w:val="left"/>
            </w:pPr>
            <w:r>
              <w:rPr>
                <w:rFonts w:ascii="Arial" w:cs="Arial" w:eastAsia="Arial" w:hAnsi="Arial"/>
                <w:b w:val="false"/>
                <w:bCs w:val="false"/>
                <w:color w:val="1A1A1A"/>
                <w:sz w:val="20"/>
                <w:szCs w:val="20"/>
              </w:rPr>
              <w:t xml:space="preserve">Gini Coefficient</w:t>
            </w:r>
          </w:p>
        </w:tc>
        <w:tc>
          <w:tcPr>
            <w:tcW w:type="dxa" w:w="1760"/>
            <w:tcBorders>
              <w:top w:val="single" w:color="D5D8DC" w:sz="1"/>
              <w:left w:val="single" w:color="D5D8DC" w:sz="1"/>
              <w:bottom w:val="single" w:color="D5D8DC" w:sz="1"/>
              <w:right w:val="single" w:color="D5D8DC" w:sz="1"/>
            </w:tcBorders>
            <w:shd w:fill="F4F6F7" w:val="clear"/>
            <w:tcMar>
              <w:top w:type="dxa" w:w="90"/>
              <w:left w:type="dxa" w:w="150"/>
              <w:bottom w:type="dxa" w:w="90"/>
              <w:right w:type="dxa" w:w="100"/>
            </w:tcMar>
            <w:vAlign w:val="top"/>
          </w:tcPr>
          <w:p>
            <w:pPr>
              <w:spacing w:before="0" w:after="0"/>
              <w:jc w:val="left"/>
            </w:pPr>
            <w:r>
              <w:rPr>
                <w:rFonts w:ascii="Arial" w:cs="Arial" w:eastAsia="Arial" w:hAnsi="Arial"/>
                <w:b w:val="false"/>
                <w:bCs w:val="false"/>
                <w:color w:val="1A1A1A"/>
                <w:sz w:val="20"/>
                <w:szCs w:val="20"/>
              </w:rPr>
              <w:t xml:space="preserve">&gt; 0.55</w:t>
            </w:r>
          </w:p>
        </w:tc>
        <w:tc>
          <w:tcPr>
            <w:tcW w:type="dxa" w:w="5600"/>
            <w:tcBorders>
              <w:top w:val="single" w:color="D5D8DC" w:sz="1"/>
              <w:left w:val="single" w:color="D5D8DC" w:sz="1"/>
              <w:bottom w:val="single" w:color="D5D8DC" w:sz="1"/>
              <w:right w:val="single" w:color="D5D8DC" w:sz="1"/>
            </w:tcBorders>
            <w:shd w:fill="FFFFFF" w:val="clear"/>
            <w:tcMar>
              <w:top w:type="dxa" w:w="90"/>
              <w:left w:type="dxa" w:w="150"/>
              <w:bottom w:type="dxa" w:w="90"/>
              <w:right w:type="dxa" w:w="100"/>
            </w:tcMar>
            <w:vAlign w:val="top"/>
          </w:tcPr>
          <w:p>
            <w:pPr>
              <w:spacing w:before="0" w:after="0"/>
              <w:jc w:val="left"/>
            </w:pPr>
            <w:r>
              <w:rPr>
                <w:rFonts w:ascii="Arial" w:cs="Arial" w:eastAsia="Arial" w:hAnsi="Arial"/>
                <w:b w:val="false"/>
                <w:bCs w:val="false"/>
                <w:color w:val="1A1A1A"/>
                <w:sz w:val="20"/>
                <w:szCs w:val="20"/>
              </w:rPr>
              <w:t xml:space="preserve">Gini = 2 × AUC − 1. Used in Basel II IRB context. Required to be reported alongside AUC in regulatory submissions.</w:t>
            </w:r>
          </w:p>
        </w:tc>
      </w:tr>
      <w:tr>
        <w:tc>
          <w:tcPr>
            <w:tcW w:type="dxa" w:w="2000"/>
            <w:tcBorders>
              <w:top w:val="single" w:color="D5D8DC" w:sz="1"/>
              <w:left w:val="single" w:color="D5D8DC" w:sz="1"/>
              <w:bottom w:val="single" w:color="D5D8DC" w:sz="1"/>
              <w:right w:val="single" w:color="D5D8DC" w:sz="1"/>
            </w:tcBorders>
            <w:shd w:fill="FFFFFF" w:val="clear"/>
            <w:tcMar>
              <w:top w:type="dxa" w:w="90"/>
              <w:left w:type="dxa" w:w="150"/>
              <w:bottom w:type="dxa" w:w="90"/>
              <w:right w:type="dxa" w:w="100"/>
            </w:tcMar>
            <w:vAlign w:val="top"/>
          </w:tcPr>
          <w:p>
            <w:pPr>
              <w:spacing w:before="0" w:after="0"/>
              <w:jc w:val="left"/>
            </w:pPr>
            <w:r>
              <w:rPr>
                <w:rFonts w:ascii="Arial" w:cs="Arial" w:eastAsia="Arial" w:hAnsi="Arial"/>
                <w:b w:val="false"/>
                <w:bCs w:val="false"/>
                <w:color w:val="1A1A1A"/>
                <w:sz w:val="20"/>
                <w:szCs w:val="20"/>
              </w:rPr>
              <w:t xml:space="preserve">Precision-Recall AUC</w:t>
            </w:r>
          </w:p>
        </w:tc>
        <w:tc>
          <w:tcPr>
            <w:tcW w:type="dxa" w:w="1760"/>
            <w:tcBorders>
              <w:top w:val="single" w:color="D5D8DC" w:sz="1"/>
              <w:left w:val="single" w:color="D5D8DC" w:sz="1"/>
              <w:bottom w:val="single" w:color="D5D8DC" w:sz="1"/>
              <w:right w:val="single" w:color="D5D8DC" w:sz="1"/>
            </w:tcBorders>
            <w:shd w:fill="F4F6F7" w:val="clear"/>
            <w:tcMar>
              <w:top w:type="dxa" w:w="90"/>
              <w:left w:type="dxa" w:w="150"/>
              <w:bottom w:type="dxa" w:w="90"/>
              <w:right w:type="dxa" w:w="100"/>
            </w:tcMar>
            <w:vAlign w:val="top"/>
          </w:tcPr>
          <w:p>
            <w:pPr>
              <w:spacing w:before="0" w:after="0"/>
              <w:jc w:val="left"/>
            </w:pPr>
            <w:r>
              <w:rPr>
                <w:rFonts w:ascii="Arial" w:cs="Arial" w:eastAsia="Arial" w:hAnsi="Arial"/>
                <w:b w:val="false"/>
                <w:bCs w:val="false"/>
                <w:color w:val="1A1A1A"/>
                <w:sz w:val="20"/>
                <w:szCs w:val="20"/>
              </w:rPr>
              <w:t xml:space="preserve">&gt; 0.55</w:t>
            </w:r>
          </w:p>
        </w:tc>
        <w:tc>
          <w:tcPr>
            <w:tcW w:type="dxa" w:w="5600"/>
            <w:tcBorders>
              <w:top w:val="single" w:color="D5D8DC" w:sz="1"/>
              <w:left w:val="single" w:color="D5D8DC" w:sz="1"/>
              <w:bottom w:val="single" w:color="D5D8DC" w:sz="1"/>
              <w:right w:val="single" w:color="D5D8DC" w:sz="1"/>
            </w:tcBorders>
            <w:shd w:fill="FFFFFF" w:val="clear"/>
            <w:tcMar>
              <w:top w:type="dxa" w:w="90"/>
              <w:left w:type="dxa" w:w="150"/>
              <w:bottom w:type="dxa" w:w="90"/>
              <w:right w:type="dxa" w:w="100"/>
            </w:tcMar>
            <w:vAlign w:val="top"/>
          </w:tcPr>
          <w:p>
            <w:pPr>
              <w:spacing w:before="0" w:after="0"/>
              <w:jc w:val="left"/>
            </w:pPr>
            <w:r>
              <w:rPr>
                <w:rFonts w:ascii="Arial" w:cs="Arial" w:eastAsia="Arial" w:hAnsi="Arial"/>
                <w:b w:val="false"/>
                <w:bCs w:val="false"/>
                <w:color w:val="1A1A1A"/>
                <w:sz w:val="20"/>
                <w:szCs w:val="20"/>
              </w:rPr>
              <w:t xml:space="preserve">Critical under class imbalance. More informative than ROC-AUC for imbalanced data. Directly measures the cost of false positives vs. false negatives.</w:t>
            </w:r>
          </w:p>
        </w:tc>
      </w:tr>
      <w:tr>
        <w:tc>
          <w:tcPr>
            <w:tcW w:type="dxa" w:w="2000"/>
            <w:tcBorders>
              <w:top w:val="single" w:color="D5D8DC" w:sz="1"/>
              <w:left w:val="single" w:color="D5D8DC" w:sz="1"/>
              <w:bottom w:val="single" w:color="D5D8DC" w:sz="1"/>
              <w:right w:val="single" w:color="D5D8DC" w:sz="1"/>
            </w:tcBorders>
            <w:shd w:fill="FFFFFF" w:val="clear"/>
            <w:tcMar>
              <w:top w:type="dxa" w:w="90"/>
              <w:left w:type="dxa" w:w="150"/>
              <w:bottom w:type="dxa" w:w="90"/>
              <w:right w:type="dxa" w:w="100"/>
            </w:tcMar>
            <w:vAlign w:val="top"/>
          </w:tcPr>
          <w:p>
            <w:pPr>
              <w:spacing w:before="0" w:after="0"/>
              <w:jc w:val="left"/>
            </w:pPr>
            <w:r>
              <w:rPr>
                <w:rFonts w:ascii="Arial" w:cs="Arial" w:eastAsia="Arial" w:hAnsi="Arial"/>
                <w:b w:val="false"/>
                <w:bCs w:val="false"/>
                <w:color w:val="1A1A1A"/>
                <w:sz w:val="20"/>
                <w:szCs w:val="20"/>
              </w:rPr>
              <w:t xml:space="preserve">Brier Score</w:t>
            </w:r>
          </w:p>
        </w:tc>
        <w:tc>
          <w:tcPr>
            <w:tcW w:type="dxa" w:w="1760"/>
            <w:tcBorders>
              <w:top w:val="single" w:color="D5D8DC" w:sz="1"/>
              <w:left w:val="single" w:color="D5D8DC" w:sz="1"/>
              <w:bottom w:val="single" w:color="D5D8DC" w:sz="1"/>
              <w:right w:val="single" w:color="D5D8DC" w:sz="1"/>
            </w:tcBorders>
            <w:shd w:fill="F4F6F7" w:val="clear"/>
            <w:tcMar>
              <w:top w:type="dxa" w:w="90"/>
              <w:left w:type="dxa" w:w="150"/>
              <w:bottom w:type="dxa" w:w="90"/>
              <w:right w:type="dxa" w:w="100"/>
            </w:tcMar>
            <w:vAlign w:val="top"/>
          </w:tcPr>
          <w:p>
            <w:pPr>
              <w:spacing w:before="0" w:after="0"/>
              <w:jc w:val="left"/>
            </w:pPr>
            <w:r>
              <w:rPr>
                <w:rFonts w:ascii="Arial" w:cs="Arial" w:eastAsia="Arial" w:hAnsi="Arial"/>
                <w:b w:val="false"/>
                <w:bCs w:val="false"/>
                <w:color w:val="1A1A1A"/>
                <w:sz w:val="20"/>
                <w:szCs w:val="20"/>
              </w:rPr>
              <w:t xml:space="preserve">&lt; 0.15</w:t>
            </w:r>
          </w:p>
        </w:tc>
        <w:tc>
          <w:tcPr>
            <w:tcW w:type="dxa" w:w="5600"/>
            <w:tcBorders>
              <w:top w:val="single" w:color="D5D8DC" w:sz="1"/>
              <w:left w:val="single" w:color="D5D8DC" w:sz="1"/>
              <w:bottom w:val="single" w:color="D5D8DC" w:sz="1"/>
              <w:right w:val="single" w:color="D5D8DC" w:sz="1"/>
            </w:tcBorders>
            <w:shd w:fill="FFFFFF" w:val="clear"/>
            <w:tcMar>
              <w:top w:type="dxa" w:w="90"/>
              <w:left w:type="dxa" w:w="150"/>
              <w:bottom w:type="dxa" w:w="90"/>
              <w:right w:type="dxa" w:w="100"/>
            </w:tcMar>
            <w:vAlign w:val="top"/>
          </w:tcPr>
          <w:p>
            <w:pPr>
              <w:spacing w:before="0" w:after="0"/>
              <w:jc w:val="left"/>
            </w:pPr>
            <w:r>
              <w:rPr>
                <w:rFonts w:ascii="Arial" w:cs="Arial" w:eastAsia="Arial" w:hAnsi="Arial"/>
                <w:b w:val="false"/>
                <w:bCs w:val="false"/>
                <w:color w:val="1A1A1A"/>
                <w:sz w:val="20"/>
                <w:szCs w:val="20"/>
              </w:rPr>
              <w:t xml:space="preserve">Measures calibration quality — how well predicted probabilities match observed rates. Required for PD estimates used in Expected Loss = PD × LGD × EAD.</w:t>
            </w:r>
          </w:p>
        </w:tc>
      </w:tr>
    </w:tbl>
    <w:p>
      <w:pPr>
        <w:spacing w:before="0" w:after="80"/>
      </w:pPr>
    </w:p>
    <w:p>
      <w:pPr>
        <w:pStyle w:val="Heading3"/>
        <w:spacing w:before="200" w:after="80"/>
      </w:pPr>
      <w:r>
        <w:rPr>
          <w:rFonts w:ascii="Arial" w:cs="Arial" w:eastAsia="Arial" w:hAnsi="Arial"/>
          <w:b/>
          <w:bCs/>
          <w:color w:val="1F3864"/>
          <w:sz w:val="24"/>
          <w:szCs w:val="24"/>
        </w:rPr>
        <w:t xml:space="preserve">Secondary Monitoring Metrics</w:t>
      </w:r>
    </w:p>
    <w:p>
      <w:pPr>
        <w:pStyle w:val="ListParagraph"/>
        <w:numPr>
          <w:ilvl w:val="0"/>
          <w:numId w:val="2"/>
        </w:numPr>
        <w:spacing w:before="50" w:after="50"/>
      </w:pPr>
      <w:r>
        <w:rPr>
          <w:rFonts w:ascii="Arial" w:cs="Arial" w:eastAsia="Arial" w:hAnsi="Arial"/>
          <w:b w:val="false"/>
          <w:bCs w:val="false"/>
          <w:color w:val="1A1A1A"/>
          <w:sz w:val="22"/>
          <w:szCs w:val="22"/>
        </w:rPr>
        <w:t xml:space="preserve">F1 at optimal threshold: Harmonic mean of precision and recall at the business-optimal decision threshold (derived from the cost matrix of false positives vs. false negatives).</w:t>
      </w:r>
    </w:p>
    <w:p>
      <w:pPr>
        <w:pStyle w:val="ListParagraph"/>
        <w:numPr>
          <w:ilvl w:val="0"/>
          <w:numId w:val="2"/>
        </w:numPr>
        <w:spacing w:before="50" w:after="50"/>
      </w:pPr>
      <w:r>
        <w:rPr>
          <w:rFonts w:ascii="Arial" w:cs="Arial" w:eastAsia="Arial" w:hAnsi="Arial"/>
          <w:b w:val="false"/>
          <w:bCs w:val="false"/>
          <w:color w:val="1A1A1A"/>
          <w:sz w:val="22"/>
          <w:szCs w:val="22"/>
        </w:rPr>
        <w:t xml:space="preserve">PSI of model scores: Monitor the distribution of model output scores each month. PSI &gt; 0.25 on the score distribution triggers model review.</w:t>
      </w:r>
    </w:p>
    <w:p>
      <w:pPr>
        <w:pStyle w:val="ListParagraph"/>
        <w:numPr>
          <w:ilvl w:val="0"/>
          <w:numId w:val="2"/>
        </w:numPr>
        <w:spacing w:before="50" w:after="50"/>
      </w:pPr>
      <w:r>
        <w:rPr>
          <w:rFonts w:ascii="Arial" w:cs="Arial" w:eastAsia="Arial" w:hAnsi="Arial"/>
          <w:b w:val="false"/>
          <w:bCs w:val="false"/>
          <w:color w:val="1A1A1A"/>
          <w:sz w:val="22"/>
          <w:szCs w:val="22"/>
        </w:rPr>
        <w:t xml:space="preserve">Decile analysis: Confirm that the model score deciles are monotonically ordered by default rate. Inversion of decile ordering is a red flag for model instability.</w:t>
      </w:r>
    </w:p>
    <w:p>
      <w:pPr>
        <w:spacing w:before="0" w:after="140"/>
      </w:pPr>
    </w:p>
    <w:p>
      <w:pPr>
        <w:pStyle w:val="Heading2"/>
        <w:spacing w:before="280" w:after="120"/>
      </w:pPr>
      <w:r>
        <w:rPr>
          <w:rFonts w:ascii="Arial" w:cs="Arial" w:eastAsia="Arial" w:hAnsi="Arial"/>
          <w:b/>
          <w:bCs/>
          <w:color w:val="1B6CA8"/>
          <w:sz w:val="28"/>
          <w:szCs w:val="28"/>
        </w:rPr>
        <w:t xml:space="preserve">7.3 SHAP Analysis for Feature Validation</w:t>
      </w:r>
    </w:p>
    <w:p>
      <w:pPr>
        <w:spacing w:before="80" w:after="80"/>
      </w:pPr>
      <w:r>
        <w:rPr>
          <w:rFonts w:ascii="Arial" w:cs="Arial" w:eastAsia="Arial" w:hAnsi="Arial"/>
          <w:b w:val="false"/>
          <w:bCs w:val="false"/>
          <w:color w:val="1A1A1A"/>
          <w:sz w:val="22"/>
          <w:szCs w:val="22"/>
        </w:rPr>
        <w:t xml:space="preserve">SHAP (SHapley Additive exPlanations) values provide the most rigorous framework for validating that engineered features contribute genuinely and appropriately to model predictions.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5D8DC" w:sz="1"/>
              <w:left w:val="single" w:color="D5D8DC" w:sz="1"/>
              <w:bottom w:val="single" w:color="D5D8DC" w:sz="1"/>
              <w:right w:val="single" w:color="D5D8DC" w:sz="1"/>
            </w:tcBorders>
            <w:shd w:fill="2C3E50" w:val="clear"/>
            <w:tcMar>
              <w:top w:type="dxa" w:w="120"/>
              <w:left w:type="dxa" w:w="200"/>
              <w:bottom w:type="dxa" w:w="120"/>
              <w:right w:type="dxa" w:w="160"/>
            </w:tcMar>
          </w:tcPr>
          <w:p>
            <w:pPr>
              <w:spacing w:before="20" w:after="20"/>
            </w:pPr>
            <w:r>
              <w:rPr>
                <w:rFonts w:ascii="Courier New" w:cs="Courier New" w:eastAsia="Courier New" w:hAnsi="Courier New"/>
                <w:color w:val="A9DFBF"/>
                <w:sz w:val="18"/>
                <w:szCs w:val="18"/>
              </w:rPr>
              <w:t xml:space="preserve">import shap</w:t>
            </w:r>
          </w:p>
          <w:p>
            <w:pPr>
              <w:spacing w:before="20" w:after="20"/>
            </w:pPr>
            <w:r>
              <w:rPr>
                <w:rFonts w:ascii="Courier New" w:cs="Courier New" w:eastAsia="Courier New" w:hAnsi="Courier New"/>
                <w:color w:val="A9DFBF"/>
                <w:sz w:val="18"/>
                <w:szCs w:val="18"/>
              </w:rPr>
              <w:t xml:space="preserve"/>
            </w:r>
          </w:p>
          <w:p>
            <w:pPr>
              <w:spacing w:before="20" w:after="20"/>
            </w:pPr>
            <w:r>
              <w:rPr>
                <w:rFonts w:ascii="Courier New" w:cs="Courier New" w:eastAsia="Courier New" w:hAnsi="Courier New"/>
                <w:color w:val="A9DFBF"/>
                <w:sz w:val="18"/>
                <w:szCs w:val="18"/>
              </w:rPr>
              <w:t xml:space="preserve"># Fit XGBoost on final feature set</w:t>
            </w:r>
          </w:p>
          <w:p>
            <w:pPr>
              <w:spacing w:before="20" w:after="20"/>
            </w:pPr>
            <w:r>
              <w:rPr>
                <w:rFonts w:ascii="Courier New" w:cs="Courier New" w:eastAsia="Courier New" w:hAnsi="Courier New"/>
                <w:color w:val="A9DFBF"/>
                <w:sz w:val="18"/>
                <w:szCs w:val="18"/>
              </w:rPr>
              <w:t xml:space="preserve">explainer = shap.TreeExplainer(xgb_model)</w:t>
            </w:r>
          </w:p>
          <w:p>
            <w:pPr>
              <w:spacing w:before="20" w:after="20"/>
            </w:pPr>
            <w:r>
              <w:rPr>
                <w:rFonts w:ascii="Courier New" w:cs="Courier New" w:eastAsia="Courier New" w:hAnsi="Courier New"/>
                <w:color w:val="A9DFBF"/>
                <w:sz w:val="18"/>
                <w:szCs w:val="18"/>
              </w:rPr>
              <w:t xml:space="preserve">shap_values = explainer.shap_values(X_test)</w:t>
            </w:r>
          </w:p>
          <w:p>
            <w:pPr>
              <w:spacing w:before="20" w:after="20"/>
            </w:pPr>
            <w:r>
              <w:rPr>
                <w:rFonts w:ascii="Courier New" w:cs="Courier New" w:eastAsia="Courier New" w:hAnsi="Courier New"/>
                <w:color w:val="A9DFBF"/>
                <w:sz w:val="18"/>
                <w:szCs w:val="18"/>
              </w:rPr>
              <w:t xml:space="preserve"/>
            </w:r>
          </w:p>
          <w:p>
            <w:pPr>
              <w:spacing w:before="20" w:after="20"/>
            </w:pPr>
            <w:r>
              <w:rPr>
                <w:rFonts w:ascii="Courier New" w:cs="Courier New" w:eastAsia="Courier New" w:hAnsi="Courier New"/>
                <w:color w:val="A9DFBF"/>
                <w:sz w:val="18"/>
                <w:szCs w:val="18"/>
              </w:rPr>
              <w:t xml:space="preserve"># Key validation questions to answer with SHAP:</w:t>
            </w:r>
          </w:p>
          <w:p>
            <w:pPr>
              <w:spacing w:before="20" w:after="20"/>
            </w:pPr>
            <w:r>
              <w:rPr>
                <w:rFonts w:ascii="Courier New" w:cs="Courier New" w:eastAsia="Courier New" w:hAnsi="Courier New"/>
                <w:color w:val="A9DFBF"/>
                <w:sz w:val="18"/>
                <w:szCs w:val="18"/>
              </w:rPr>
              <w:t xml:space="preserve"># 1. Is the direction of each feature's SHAP effect consistent with domain knowledge?</w:t>
            </w:r>
          </w:p>
          <w:p>
            <w:pPr>
              <w:spacing w:before="20" w:after="20"/>
            </w:pPr>
            <w:r>
              <w:rPr>
                <w:rFonts w:ascii="Courier New" w:cs="Courier New" w:eastAsia="Courier New" w:hAnsi="Courier New"/>
                <w:color w:val="A9DFBF"/>
                <w:sz w:val="18"/>
                <w:szCs w:val="18"/>
              </w:rPr>
              <w:t xml:space="preserve">#    (e.g., higher PAY_0 -&gt; higher SHAP value for default probability)</w:t>
            </w:r>
          </w:p>
          <w:p>
            <w:pPr>
              <w:spacing w:before="20" w:after="20"/>
            </w:pPr>
            <w:r>
              <w:rPr>
                <w:rFonts w:ascii="Courier New" w:cs="Courier New" w:eastAsia="Courier New" w:hAnsi="Courier New"/>
                <w:color w:val="A9DFBF"/>
                <w:sz w:val="18"/>
                <w:szCs w:val="18"/>
              </w:rPr>
              <w:t xml:space="preserve"># 2. Are engineered features (PAY_BILL_RATIO, MAX_DELAY) in the top-10 by importance?</w:t>
            </w:r>
          </w:p>
          <w:p>
            <w:pPr>
              <w:spacing w:before="20" w:after="20"/>
            </w:pPr>
            <w:r>
              <w:rPr>
                <w:rFonts w:ascii="Courier New" w:cs="Courier New" w:eastAsia="Courier New" w:hAnsi="Courier New"/>
                <w:color w:val="A9DFBF"/>
                <w:sz w:val="18"/>
                <w:szCs w:val="18"/>
              </w:rPr>
              <w:t xml:space="preserve">#    If not, diagnose why — correlated with raw features?</w:t>
            </w:r>
          </w:p>
          <w:p>
            <w:pPr>
              <w:spacing w:before="20" w:after="20"/>
            </w:pPr>
            <w:r>
              <w:rPr>
                <w:rFonts w:ascii="Courier New" w:cs="Courier New" w:eastAsia="Courier New" w:hAnsi="Courier New"/>
                <w:color w:val="A9DFBF"/>
                <w:sz w:val="18"/>
                <w:szCs w:val="18"/>
              </w:rPr>
              <w:t xml:space="preserve"># 3. Are any demographic features (GENDER) showing unexpectedly high SHAP values?</w:t>
            </w:r>
          </w:p>
          <w:p>
            <w:pPr>
              <w:spacing w:before="20" w:after="20"/>
            </w:pPr>
            <w:r>
              <w:rPr>
                <w:rFonts w:ascii="Courier New" w:cs="Courier New" w:eastAsia="Courier New" w:hAnsi="Courier New"/>
                <w:color w:val="A9DFBF"/>
                <w:sz w:val="18"/>
                <w:szCs w:val="18"/>
              </w:rPr>
              <w:t xml:space="preserve">#    Investigate for proxy discrimination.</w:t>
            </w:r>
          </w:p>
          <w:p>
            <w:pPr>
              <w:spacing w:before="20" w:after="20"/>
            </w:pPr>
            <w:r>
              <w:rPr>
                <w:rFonts w:ascii="Courier New" w:cs="Courier New" w:eastAsia="Courier New" w:hAnsi="Courier New"/>
                <w:color w:val="A9DFBF"/>
                <w:sz w:val="18"/>
                <w:szCs w:val="18"/>
              </w:rPr>
              <w:t xml:space="preserve"># 4. Check SHAP interaction plots: do PAY_0 x LIMIT_BAL interactions make sense?</w:t>
            </w:r>
          </w:p>
        </w:tc>
      </w:tr>
    </w:tbl>
    <w:p>
      <w:pPr>
        <w:spacing w:before="0" w:after="80"/>
      </w:pPr>
    </w:p>
    <w:p>
      <w:pPr>
        <w:pStyle w:val="Heading3"/>
        <w:spacing w:before="200" w:after="80"/>
      </w:pPr>
      <w:r>
        <w:rPr>
          <w:rFonts w:ascii="Arial" w:cs="Arial" w:eastAsia="Arial" w:hAnsi="Arial"/>
          <w:b/>
          <w:bCs/>
          <w:color w:val="1F3864"/>
          <w:sz w:val="24"/>
          <w:szCs w:val="24"/>
        </w:rPr>
        <w:t xml:space="preserve">Validation Questions for Each Engineered Feature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5D8DC" w:sz="1"/>
              <w:left w:val="single" w:color="D5D8DC" w:sz="1"/>
              <w:bottom w:val="single" w:color="D5D8DC" w:sz="1"/>
              <w:right w:val="single" w:color="D5D8DC" w:sz="1"/>
            </w:tcBorders>
            <w:shd w:fill="1F3864" w:val="clear"/>
            <w:tcMar>
              <w:top w:type="dxa" w:w="90"/>
              <w:left w:type="dxa" w:w="150"/>
              <w:bottom w:type="dxa" w:w="90"/>
              <w:right w:type="dxa" w:w="100"/>
            </w:tcMar>
            <w:vAlign w:val="top"/>
          </w:tcPr>
          <w:p>
            <w:pPr>
              <w:spacing w:before="0" w:after="0"/>
              <w:jc w:val="left"/>
            </w:pPr>
            <w:r>
              <w:rPr>
                <w:rFonts w:ascii="Arial" w:cs="Arial" w:eastAsia="Arial" w:hAnsi="Arial"/>
                <w:b/>
                <w:bCs/>
                <w:color w:val="FFFFFF"/>
                <w:sz w:val="19"/>
                <w:szCs w:val="19"/>
              </w:rPr>
              <w:t xml:space="preserve">Validation Test</w:t>
            </w:r>
          </w:p>
        </w:tc>
        <w:tc>
          <w:tcPr>
            <w:tcW w:type="dxa" w:w="6960"/>
            <w:tcBorders>
              <w:top w:val="single" w:color="D5D8DC" w:sz="1"/>
              <w:left w:val="single" w:color="D5D8DC" w:sz="1"/>
              <w:bottom w:val="single" w:color="D5D8DC" w:sz="1"/>
              <w:right w:val="single" w:color="D5D8DC" w:sz="1"/>
            </w:tcBorders>
            <w:shd w:fill="1F3864" w:val="clear"/>
            <w:tcMar>
              <w:top w:type="dxa" w:w="90"/>
              <w:left w:type="dxa" w:w="150"/>
              <w:bottom w:type="dxa" w:w="90"/>
              <w:right w:type="dxa" w:w="100"/>
            </w:tcMar>
            <w:vAlign w:val="top"/>
          </w:tcPr>
          <w:p>
            <w:pPr>
              <w:spacing w:before="0" w:after="0"/>
              <w:jc w:val="left"/>
            </w:pPr>
            <w:r>
              <w:rPr>
                <w:rFonts w:ascii="Arial" w:cs="Arial" w:eastAsia="Arial" w:hAnsi="Arial"/>
                <w:b/>
                <w:bCs/>
                <w:color w:val="FFFFFF"/>
                <w:sz w:val="19"/>
                <w:szCs w:val="19"/>
              </w:rPr>
              <w:t xml:space="preserve">What It Confirms</w:t>
            </w:r>
          </w:p>
        </w:tc>
      </w:tr>
      <w:tr>
        <w:tc>
          <w:tcPr>
            <w:tcW w:type="dxa" w:w="2400"/>
            <w:tcBorders>
              <w:top w:val="single" w:color="D5D8DC" w:sz="1"/>
              <w:left w:val="single" w:color="D5D8DC" w:sz="1"/>
              <w:bottom w:val="single" w:color="D5D8DC" w:sz="1"/>
              <w:right w:val="single" w:color="D5D8DC" w:sz="1"/>
            </w:tcBorders>
            <w:shd w:fill="FFFFFF" w:val="clear"/>
            <w:tcMar>
              <w:top w:type="dxa" w:w="90"/>
              <w:left w:type="dxa" w:w="150"/>
              <w:bottom w:type="dxa" w:w="90"/>
              <w:right w:type="dxa" w:w="100"/>
            </w:tcMar>
            <w:vAlign w:val="top"/>
          </w:tcPr>
          <w:p>
            <w:pPr>
              <w:spacing w:before="0" w:after="0"/>
              <w:jc w:val="left"/>
            </w:pPr>
            <w:r>
              <w:rPr>
                <w:rFonts w:ascii="Arial" w:cs="Arial" w:eastAsia="Arial" w:hAnsi="Arial"/>
                <w:b w:val="false"/>
                <w:bCs w:val="false"/>
                <w:color w:val="1A1A1A"/>
                <w:sz w:val="20"/>
                <w:szCs w:val="20"/>
              </w:rPr>
              <w:t xml:space="preserve">IV before vs. after engineering</w:t>
            </w:r>
          </w:p>
        </w:tc>
        <w:tc>
          <w:tcPr>
            <w:tcW w:type="dxa" w:w="6960"/>
            <w:tcBorders>
              <w:top w:val="single" w:color="D5D8DC" w:sz="1"/>
              <w:left w:val="single" w:color="D5D8DC" w:sz="1"/>
              <w:bottom w:val="single" w:color="D5D8DC" w:sz="1"/>
              <w:right w:val="single" w:color="D5D8DC" w:sz="1"/>
            </w:tcBorders>
            <w:shd w:fill="F4F6F7" w:val="clear"/>
            <w:tcMar>
              <w:top w:type="dxa" w:w="90"/>
              <w:left w:type="dxa" w:w="150"/>
              <w:bottom w:type="dxa" w:w="90"/>
              <w:right w:type="dxa" w:w="100"/>
            </w:tcMar>
            <w:vAlign w:val="top"/>
          </w:tcPr>
          <w:p>
            <w:pPr>
              <w:spacing w:before="0" w:after="0"/>
              <w:jc w:val="left"/>
            </w:pPr>
            <w:r>
              <w:rPr>
                <w:rFonts w:ascii="Arial" w:cs="Arial" w:eastAsia="Arial" w:hAnsi="Arial"/>
                <w:b w:val="false"/>
                <w:bCs w:val="false"/>
                <w:color w:val="1A1A1A"/>
                <w:sz w:val="20"/>
                <w:szCs w:val="20"/>
              </w:rPr>
              <w:t xml:space="preserve">Does the engineered feature have higher IV than its constituent raw features? If PAY_BILL_RATIO_1 has lower IV than raw PAY_AMT1 and BILL_AMT1 separately, reconsider the formulation.</w:t>
            </w:r>
          </w:p>
        </w:tc>
      </w:tr>
      <w:tr>
        <w:tc>
          <w:tcPr>
            <w:tcW w:type="dxa" w:w="2400"/>
            <w:tcBorders>
              <w:top w:val="single" w:color="D5D8DC" w:sz="1"/>
              <w:left w:val="single" w:color="D5D8DC" w:sz="1"/>
              <w:bottom w:val="single" w:color="D5D8DC" w:sz="1"/>
              <w:right w:val="single" w:color="D5D8DC" w:sz="1"/>
            </w:tcBorders>
            <w:shd w:fill="FFFFFF" w:val="clear"/>
            <w:tcMar>
              <w:top w:type="dxa" w:w="90"/>
              <w:left w:type="dxa" w:w="150"/>
              <w:bottom w:type="dxa" w:w="90"/>
              <w:right w:type="dxa" w:w="100"/>
            </w:tcMar>
            <w:vAlign w:val="top"/>
          </w:tcPr>
          <w:p>
            <w:pPr>
              <w:spacing w:before="0" w:after="0"/>
              <w:jc w:val="left"/>
            </w:pPr>
            <w:r>
              <w:rPr>
                <w:rFonts w:ascii="Arial" w:cs="Arial" w:eastAsia="Arial" w:hAnsi="Arial"/>
                <w:b w:val="false"/>
                <w:bCs w:val="false"/>
                <w:color w:val="1A1A1A"/>
                <w:sz w:val="20"/>
                <w:szCs w:val="20"/>
              </w:rPr>
              <w:t xml:space="preserve">AUC with vs. without feature</w:t>
            </w:r>
          </w:p>
        </w:tc>
        <w:tc>
          <w:tcPr>
            <w:tcW w:type="dxa" w:w="6960"/>
            <w:tcBorders>
              <w:top w:val="single" w:color="D5D8DC" w:sz="1"/>
              <w:left w:val="single" w:color="D5D8DC" w:sz="1"/>
              <w:bottom w:val="single" w:color="D5D8DC" w:sz="1"/>
              <w:right w:val="single" w:color="D5D8DC" w:sz="1"/>
            </w:tcBorders>
            <w:shd w:fill="F4F6F7" w:val="clear"/>
            <w:tcMar>
              <w:top w:type="dxa" w:w="90"/>
              <w:left w:type="dxa" w:w="150"/>
              <w:bottom w:type="dxa" w:w="90"/>
              <w:right w:type="dxa" w:w="100"/>
            </w:tcMar>
            <w:vAlign w:val="top"/>
          </w:tcPr>
          <w:p>
            <w:pPr>
              <w:spacing w:before="0" w:after="0"/>
              <w:jc w:val="left"/>
            </w:pPr>
            <w:r>
              <w:rPr>
                <w:rFonts w:ascii="Arial" w:cs="Arial" w:eastAsia="Arial" w:hAnsi="Arial"/>
                <w:b w:val="false"/>
                <w:bCs w:val="false"/>
                <w:color w:val="1A1A1A"/>
                <w:sz w:val="20"/>
                <w:szCs w:val="20"/>
              </w:rPr>
              <w:t xml:space="preserve">Add the engineered feature to the base model and compare AUC. If delta &lt; 0.002 AUC points, the feature is not adding meaningful lift — investigate whether it is redundant with existing features.</w:t>
            </w:r>
          </w:p>
        </w:tc>
      </w:tr>
      <w:tr>
        <w:tc>
          <w:tcPr>
            <w:tcW w:type="dxa" w:w="2400"/>
            <w:tcBorders>
              <w:top w:val="single" w:color="D5D8DC" w:sz="1"/>
              <w:left w:val="single" w:color="D5D8DC" w:sz="1"/>
              <w:bottom w:val="single" w:color="D5D8DC" w:sz="1"/>
              <w:right w:val="single" w:color="D5D8DC" w:sz="1"/>
            </w:tcBorders>
            <w:shd w:fill="FFFFFF" w:val="clear"/>
            <w:tcMar>
              <w:top w:type="dxa" w:w="90"/>
              <w:left w:type="dxa" w:w="150"/>
              <w:bottom w:type="dxa" w:w="90"/>
              <w:right w:type="dxa" w:w="100"/>
            </w:tcMar>
            <w:vAlign w:val="top"/>
          </w:tcPr>
          <w:p>
            <w:pPr>
              <w:spacing w:before="0" w:after="0"/>
              <w:jc w:val="left"/>
            </w:pPr>
            <w:r>
              <w:rPr>
                <w:rFonts w:ascii="Arial" w:cs="Arial" w:eastAsia="Arial" w:hAnsi="Arial"/>
                <w:b w:val="false"/>
                <w:bCs w:val="false"/>
                <w:color w:val="1A1A1A"/>
                <w:sz w:val="20"/>
                <w:szCs w:val="20"/>
              </w:rPr>
              <w:t xml:space="preserve">SHAP direction check</w:t>
            </w:r>
          </w:p>
        </w:tc>
        <w:tc>
          <w:tcPr>
            <w:tcW w:type="dxa" w:w="6960"/>
            <w:tcBorders>
              <w:top w:val="single" w:color="D5D8DC" w:sz="1"/>
              <w:left w:val="single" w:color="D5D8DC" w:sz="1"/>
              <w:bottom w:val="single" w:color="D5D8DC" w:sz="1"/>
              <w:right w:val="single" w:color="D5D8DC" w:sz="1"/>
            </w:tcBorders>
            <w:shd w:fill="F4F6F7" w:val="clear"/>
            <w:tcMar>
              <w:top w:type="dxa" w:w="90"/>
              <w:left w:type="dxa" w:w="150"/>
              <w:bottom w:type="dxa" w:w="90"/>
              <w:right w:type="dxa" w:w="100"/>
            </w:tcMar>
            <w:vAlign w:val="top"/>
          </w:tcPr>
          <w:p>
            <w:pPr>
              <w:spacing w:before="0" w:after="0"/>
              <w:jc w:val="left"/>
            </w:pPr>
            <w:r>
              <w:rPr>
                <w:rFonts w:ascii="Arial" w:cs="Arial" w:eastAsia="Arial" w:hAnsi="Arial"/>
                <w:b w:val="false"/>
                <w:bCs w:val="false"/>
                <w:color w:val="1A1A1A"/>
                <w:sz w:val="20"/>
                <w:szCs w:val="20"/>
              </w:rPr>
              <w:t xml:space="preserve">For PAY_BILL_RATIO: higher ratio should produce negative SHAP values (lower default probability). If SHAP direction contradicts business logic, the feature is likely miscoded or picking up noise.</w:t>
            </w:r>
          </w:p>
        </w:tc>
      </w:tr>
      <w:tr>
        <w:tc>
          <w:tcPr>
            <w:tcW w:type="dxa" w:w="2400"/>
            <w:tcBorders>
              <w:top w:val="single" w:color="D5D8DC" w:sz="1"/>
              <w:left w:val="single" w:color="D5D8DC" w:sz="1"/>
              <w:bottom w:val="single" w:color="D5D8DC" w:sz="1"/>
              <w:right w:val="single" w:color="D5D8DC" w:sz="1"/>
            </w:tcBorders>
            <w:shd w:fill="FFFFFF" w:val="clear"/>
            <w:tcMar>
              <w:top w:type="dxa" w:w="90"/>
              <w:left w:type="dxa" w:w="150"/>
              <w:bottom w:type="dxa" w:w="90"/>
              <w:right w:type="dxa" w:w="100"/>
            </w:tcMar>
            <w:vAlign w:val="top"/>
          </w:tcPr>
          <w:p>
            <w:pPr>
              <w:spacing w:before="0" w:after="0"/>
              <w:jc w:val="left"/>
            </w:pPr>
            <w:r>
              <w:rPr>
                <w:rFonts w:ascii="Arial" w:cs="Arial" w:eastAsia="Arial" w:hAnsi="Arial"/>
                <w:b w:val="false"/>
                <w:bCs w:val="false"/>
                <w:color w:val="1A1A1A"/>
                <w:sz w:val="20"/>
                <w:szCs w:val="20"/>
              </w:rPr>
              <w:t xml:space="preserve">VIF of engineered feature</w:t>
            </w:r>
          </w:p>
        </w:tc>
        <w:tc>
          <w:tcPr>
            <w:tcW w:type="dxa" w:w="6960"/>
            <w:tcBorders>
              <w:top w:val="single" w:color="D5D8DC" w:sz="1"/>
              <w:left w:val="single" w:color="D5D8DC" w:sz="1"/>
              <w:bottom w:val="single" w:color="D5D8DC" w:sz="1"/>
              <w:right w:val="single" w:color="D5D8DC" w:sz="1"/>
            </w:tcBorders>
            <w:shd w:fill="F4F6F7" w:val="clear"/>
            <w:tcMar>
              <w:top w:type="dxa" w:w="90"/>
              <w:left w:type="dxa" w:w="150"/>
              <w:bottom w:type="dxa" w:w="90"/>
              <w:right w:type="dxa" w:w="100"/>
            </w:tcMar>
            <w:vAlign w:val="top"/>
          </w:tcPr>
          <w:p>
            <w:pPr>
              <w:spacing w:before="0" w:after="0"/>
              <w:jc w:val="left"/>
            </w:pPr>
            <w:r>
              <w:rPr>
                <w:rFonts w:ascii="Arial" w:cs="Arial" w:eastAsia="Arial" w:hAnsi="Arial"/>
                <w:b w:val="false"/>
                <w:bCs w:val="false"/>
                <w:color w:val="1A1A1A"/>
                <w:sz w:val="20"/>
                <w:szCs w:val="20"/>
              </w:rPr>
              <w:t xml:space="preserve">Does adding the engineered feature (e.g., AVG_BILL_AMT) reduce the VIF of the original BILL_AMT features? It should, if it is successfully absorbing their shared variance.</w:t>
            </w:r>
          </w:p>
        </w:tc>
      </w:tr>
      <w:tr>
        <w:tc>
          <w:tcPr>
            <w:tcW w:type="dxa" w:w="2400"/>
            <w:tcBorders>
              <w:top w:val="single" w:color="D5D8DC" w:sz="1"/>
              <w:left w:val="single" w:color="D5D8DC" w:sz="1"/>
              <w:bottom w:val="single" w:color="D5D8DC" w:sz="1"/>
              <w:right w:val="single" w:color="D5D8DC" w:sz="1"/>
            </w:tcBorders>
            <w:shd w:fill="FFFFFF" w:val="clear"/>
            <w:tcMar>
              <w:top w:type="dxa" w:w="90"/>
              <w:left w:type="dxa" w:w="150"/>
              <w:bottom w:type="dxa" w:w="90"/>
              <w:right w:type="dxa" w:w="100"/>
            </w:tcMar>
            <w:vAlign w:val="top"/>
          </w:tcPr>
          <w:p>
            <w:pPr>
              <w:spacing w:before="0" w:after="0"/>
              <w:jc w:val="left"/>
            </w:pPr>
            <w:r>
              <w:rPr>
                <w:rFonts w:ascii="Arial" w:cs="Arial" w:eastAsia="Arial" w:hAnsi="Arial"/>
                <w:b w:val="false"/>
                <w:bCs w:val="false"/>
                <w:color w:val="1A1A1A"/>
                <w:sz w:val="20"/>
                <w:szCs w:val="20"/>
              </w:rPr>
              <w:t xml:space="preserve">PSI check on validation period</w:t>
            </w:r>
          </w:p>
        </w:tc>
        <w:tc>
          <w:tcPr>
            <w:tcW w:type="dxa" w:w="6960"/>
            <w:tcBorders>
              <w:top w:val="single" w:color="D5D8DC" w:sz="1"/>
              <w:left w:val="single" w:color="D5D8DC" w:sz="1"/>
              <w:bottom w:val="single" w:color="D5D8DC" w:sz="1"/>
              <w:right w:val="single" w:color="D5D8DC" w:sz="1"/>
            </w:tcBorders>
            <w:shd w:fill="F4F6F7" w:val="clear"/>
            <w:tcMar>
              <w:top w:type="dxa" w:w="90"/>
              <w:left w:type="dxa" w:w="150"/>
              <w:bottom w:type="dxa" w:w="90"/>
              <w:right w:type="dxa" w:w="100"/>
            </w:tcMar>
            <w:vAlign w:val="top"/>
          </w:tcPr>
          <w:p>
            <w:pPr>
              <w:spacing w:before="0" w:after="0"/>
              <w:jc w:val="left"/>
            </w:pPr>
            <w:r>
              <w:rPr>
                <w:rFonts w:ascii="Arial" w:cs="Arial" w:eastAsia="Arial" w:hAnsi="Arial"/>
                <w:b w:val="false"/>
                <w:bCs w:val="false"/>
                <w:color w:val="1A1A1A"/>
                <w:sz w:val="20"/>
                <w:szCs w:val="20"/>
              </w:rPr>
              <w:t xml:space="preserve">If a holdout temporal validation set is available (e.g., data from a later quarter), compute PSI of the engineered feature between training and holdout. Instability early = model stability risk in production.</w:t>
            </w:r>
          </w:p>
        </w:tc>
      </w:tr>
    </w:tbl>
    <w:p>
      <w:pPr>
        <w:spacing w:before="0" w:after="200"/>
      </w:pPr>
    </w:p>
    <w:p>
      <w:r>
        <w:br w:type="page"/>
      </w:r>
    </w:p>
    <w:p>
      <w:pPr>
        <w:pStyle w:val="Heading1"/>
        <w:pBdr>
          <w:bottom w:val="single" w:color="2E75B6" w:sz="6"/>
        </w:pBdr>
        <w:spacing w:before="400" w:after="160"/>
      </w:pPr>
      <w:r>
        <w:rPr>
          <w:rFonts w:ascii="Arial" w:cs="Arial" w:eastAsia="Arial" w:hAnsi="Arial"/>
          <w:b/>
          <w:bCs/>
          <w:color w:val="1F3864"/>
          <w:sz w:val="36"/>
          <w:szCs w:val="36"/>
        </w:rPr>
        <w:t xml:space="preserve">Section 8: Common Feature Engineering Mistakes in Credit Risk Modeling</w:t>
      </w:r>
    </w:p>
    <w:p>
      <w:pPr>
        <w:spacing w:before="80" w:after="80"/>
      </w:pPr>
      <w:r>
        <w:rPr>
          <w:rFonts w:ascii="Arial" w:cs="Arial" w:eastAsia="Arial" w:hAnsi="Arial"/>
          <w:b w:val="false"/>
          <w:bCs w:val="false"/>
          <w:color w:val="1A1A1A"/>
          <w:sz w:val="22"/>
          <w:szCs w:val="22"/>
        </w:rPr>
        <w:t xml:space="preserve">Feature engineering mistakes in credit risk are not merely technical errors — they can result in regulatory censure, material credit losses, or discriminatory lending practices. The following mistakes are observed repeatedly in real-world credit risk projects and must be explicitly avoided.</w:t>
      </w:r>
    </w:p>
    <w:p>
      <w:pPr>
        <w:spacing w:before="0" w:after="120"/>
      </w:pPr>
    </w:p>
    <w:p>
      <w:pPr>
        <w:pStyle w:val="Heading2"/>
        <w:spacing w:before="280" w:after="120"/>
      </w:pPr>
      <w:r>
        <w:rPr>
          <w:rFonts w:ascii="Arial" w:cs="Arial" w:eastAsia="Arial" w:hAnsi="Arial"/>
          <w:b/>
          <w:bCs/>
          <w:color w:val="1B6CA8"/>
          <w:sz w:val="28"/>
          <w:szCs w:val="28"/>
        </w:rPr>
        <w:t xml:space="preserve">8.1 Data Leakage — The Most Dangerous Mistake</w:t>
      </w:r>
    </w:p>
    <w:p>
      <w:pPr>
        <w:spacing w:before="80" w:after="80"/>
      </w:pPr>
      <w:r>
        <w:rPr>
          <w:rFonts w:ascii="Arial" w:cs="Arial" w:eastAsia="Arial" w:hAnsi="Arial"/>
          <w:b w:val="false"/>
          <w:bCs w:val="false"/>
          <w:color w:val="1A1A1A"/>
          <w:sz w:val="22"/>
          <w:szCs w:val="22"/>
        </w:rPr>
        <w:t xml:space="preserve">Data leakage occurs when information that would not be available at the time of prediction is inadvertently included in model training. In credit risk, this produces models that appear extremely accurate in development but perform catastrophically in deployment.</w:t>
      </w:r>
    </w:p>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80"/>
        <w:gridCol w:w="8080"/>
      </w:tblGrid>
      <w:tr>
        <w:tc>
          <w:tcPr>
            <w:tcW w:type="dxa" w:w="1280"/>
            <w:tcBorders>
              <w:top w:val="single" w:color="D5D8DC" w:sz="1"/>
              <w:left w:val="single" w:color="D5D8DC" w:sz="1"/>
              <w:bottom w:val="single" w:color="D5D8DC" w:sz="1"/>
              <w:right w:val="single" w:color="D5D8DC" w:sz="1"/>
            </w:tcBorders>
            <w:shd w:fill="C96A0A" w:val="clear"/>
            <w:tcMar>
              <w:top w:type="dxa" w:w="100"/>
              <w:left w:type="dxa" w:w="120"/>
              <w:bottom w:type="dxa" w:w="100"/>
              <w:right w:type="dxa" w:w="80"/>
            </w:tcMar>
            <w:vAlign w:val="center"/>
          </w:tcPr>
          <w:p>
            <w:pPr>
              <w:jc w:val="center"/>
            </w:pPr>
            <w:r>
              <w:rPr>
                <w:rFonts w:ascii="Arial" w:cs="Arial" w:eastAsia="Arial" w:hAnsi="Arial"/>
                <w:b/>
                <w:bCs/>
                <w:color w:val="FFFFFF"/>
                <w:sz w:val="17"/>
                <w:szCs w:val="17"/>
              </w:rPr>
              <w:t xml:space="preserve">⚠ WARNING</w:t>
            </w:r>
          </w:p>
        </w:tc>
        <w:tc>
          <w:tcPr>
            <w:tcW w:type="dxa" w:w="8080"/>
            <w:tcBorders>
              <w:top w:val="single" w:color="D5D8DC" w:sz="1"/>
              <w:left w:val="single" w:color="D5D8DC" w:sz="1"/>
              <w:bottom w:val="single" w:color="D5D8DC" w:sz="1"/>
              <w:right w:val="single" w:color="D5D8DC" w:sz="1"/>
            </w:tcBorders>
            <w:shd w:fill="FEF5E7" w:val="clear"/>
            <w:tcMar>
              <w:top w:type="dxa" w:w="100"/>
              <w:left w:type="dxa" w:w="160"/>
              <w:bottom w:type="dxa" w:w="100"/>
              <w:right w:type="dxa" w:w="120"/>
            </w:tcMar>
          </w:tcPr>
          <w:p>
            <w:r>
              <w:rPr>
                <w:rFonts w:ascii="Arial" w:cs="Arial" w:eastAsia="Arial" w:hAnsi="Arial"/>
                <w:color w:val="2C3E50"/>
                <w:sz w:val="20"/>
                <w:szCs w:val="20"/>
              </w:rPr>
              <w:t xml:space="preserve">In this dataset: PAY_0 encodes repayment status in September 2005. The target is default in October 2005. PAY_0 is legitimately pre-event. HOWEVER — verify that PAY_0 does not encode any retrospective bank classification applied after the default was already observed. If the bank retroactively reclassified accounts, PAY_0 would represent target leakage.</w:t>
            </w:r>
          </w:p>
        </w:tc>
      </w:tr>
    </w:tbl>
    <w:p>
      <w:pPr>
        <w:spacing w:before="0" w:after="80"/>
      </w:pPr>
    </w:p>
    <w:p>
      <w:pPr>
        <w:spacing w:before="80" w:after="80"/>
      </w:pPr>
      <w:r>
        <w:rPr>
          <w:rFonts w:ascii="Arial" w:cs="Arial" w:eastAsia="Arial" w:hAnsi="Arial"/>
          <w:b w:val="false"/>
          <w:bCs w:val="false"/>
          <w:color w:val="1A1A1A"/>
          <w:sz w:val="22"/>
          <w:szCs w:val="22"/>
        </w:rPr>
        <w:t xml:space="preserve">Common leakage patterns in credit risk: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3360"/>
      </w:tblGrid>
      <w:tr>
        <w:tc>
          <w:tcPr>
            <w:tcW w:type="dxa" w:w="2800"/>
            <w:tcBorders>
              <w:top w:val="single" w:color="D5D8DC" w:sz="1"/>
              <w:left w:val="single" w:color="D5D8DC" w:sz="1"/>
              <w:bottom w:val="single" w:color="D5D8DC" w:sz="1"/>
              <w:right w:val="single" w:color="D5D8DC" w:sz="1"/>
            </w:tcBorders>
            <w:shd w:fill="1F3864" w:val="clear"/>
            <w:tcMar>
              <w:top w:type="dxa" w:w="90"/>
              <w:left w:type="dxa" w:w="150"/>
              <w:bottom w:type="dxa" w:w="90"/>
              <w:right w:type="dxa" w:w="100"/>
            </w:tcMar>
            <w:vAlign w:val="top"/>
          </w:tcPr>
          <w:p>
            <w:pPr>
              <w:spacing w:before="0" w:after="0"/>
              <w:jc w:val="left"/>
            </w:pPr>
            <w:r>
              <w:rPr>
                <w:rFonts w:ascii="Arial" w:cs="Arial" w:eastAsia="Arial" w:hAnsi="Arial"/>
                <w:b/>
                <w:bCs/>
                <w:color w:val="FFFFFF"/>
                <w:sz w:val="19"/>
                <w:szCs w:val="19"/>
              </w:rPr>
              <w:t xml:space="preserve">Leakage Type</w:t>
            </w:r>
          </w:p>
        </w:tc>
        <w:tc>
          <w:tcPr>
            <w:tcW w:type="dxa" w:w="3200"/>
            <w:tcBorders>
              <w:top w:val="single" w:color="D5D8DC" w:sz="1"/>
              <w:left w:val="single" w:color="D5D8DC" w:sz="1"/>
              <w:bottom w:val="single" w:color="D5D8DC" w:sz="1"/>
              <w:right w:val="single" w:color="D5D8DC" w:sz="1"/>
            </w:tcBorders>
            <w:shd w:fill="1F3864" w:val="clear"/>
            <w:tcMar>
              <w:top w:type="dxa" w:w="90"/>
              <w:left w:type="dxa" w:w="150"/>
              <w:bottom w:type="dxa" w:w="90"/>
              <w:right w:type="dxa" w:w="100"/>
            </w:tcMar>
            <w:vAlign w:val="top"/>
          </w:tcPr>
          <w:p>
            <w:pPr>
              <w:spacing w:before="0" w:after="0"/>
              <w:jc w:val="left"/>
            </w:pPr>
            <w:r>
              <w:rPr>
                <w:rFonts w:ascii="Arial" w:cs="Arial" w:eastAsia="Arial" w:hAnsi="Arial"/>
                <w:b/>
                <w:bCs/>
                <w:color w:val="FFFFFF"/>
                <w:sz w:val="19"/>
                <w:szCs w:val="19"/>
              </w:rPr>
              <w:t xml:space="preserve">Example</w:t>
            </w:r>
          </w:p>
        </w:tc>
        <w:tc>
          <w:tcPr>
            <w:tcW w:type="dxa" w:w="3360"/>
            <w:tcBorders>
              <w:top w:val="single" w:color="D5D8DC" w:sz="1"/>
              <w:left w:val="single" w:color="D5D8DC" w:sz="1"/>
              <w:bottom w:val="single" w:color="D5D8DC" w:sz="1"/>
              <w:right w:val="single" w:color="D5D8DC" w:sz="1"/>
            </w:tcBorders>
            <w:shd w:fill="1F3864" w:val="clear"/>
            <w:tcMar>
              <w:top w:type="dxa" w:w="90"/>
              <w:left w:type="dxa" w:w="150"/>
              <w:bottom w:type="dxa" w:w="90"/>
              <w:right w:type="dxa" w:w="100"/>
            </w:tcMar>
            <w:vAlign w:val="top"/>
          </w:tcPr>
          <w:p>
            <w:pPr>
              <w:spacing w:before="0" w:after="0"/>
              <w:jc w:val="left"/>
            </w:pPr>
            <w:r>
              <w:rPr>
                <w:rFonts w:ascii="Arial" w:cs="Arial" w:eastAsia="Arial" w:hAnsi="Arial"/>
                <w:b/>
                <w:bCs/>
                <w:color w:val="FFFFFF"/>
                <w:sz w:val="19"/>
                <w:szCs w:val="19"/>
              </w:rPr>
              <w:t xml:space="preserve">Detection Method</w:t>
            </w:r>
          </w:p>
        </w:tc>
      </w:tr>
      <w:tr>
        <w:tc>
          <w:tcPr>
            <w:tcW w:type="dxa" w:w="2800"/>
            <w:tcBorders>
              <w:top w:val="single" w:color="D5D8DC" w:sz="1"/>
              <w:left w:val="single" w:color="D5D8DC" w:sz="1"/>
              <w:bottom w:val="single" w:color="D5D8DC" w:sz="1"/>
              <w:right w:val="single" w:color="D5D8DC" w:sz="1"/>
            </w:tcBorders>
            <w:shd w:fill="FFFFFF" w:val="clear"/>
            <w:tcMar>
              <w:top w:type="dxa" w:w="90"/>
              <w:left w:type="dxa" w:w="150"/>
              <w:bottom w:type="dxa" w:w="90"/>
              <w:right w:type="dxa" w:w="100"/>
            </w:tcMar>
            <w:vAlign w:val="top"/>
          </w:tcPr>
          <w:p>
            <w:pPr>
              <w:spacing w:before="0" w:after="0"/>
              <w:jc w:val="left"/>
            </w:pPr>
            <w:r>
              <w:rPr>
                <w:rFonts w:ascii="Arial" w:cs="Arial" w:eastAsia="Arial" w:hAnsi="Arial"/>
                <w:b w:val="false"/>
                <w:bCs w:val="false"/>
                <w:color w:val="1A1A1A"/>
                <w:sz w:val="20"/>
                <w:szCs w:val="20"/>
              </w:rPr>
              <w:t xml:space="preserve">Target leakage</w:t>
            </w:r>
          </w:p>
        </w:tc>
        <w:tc>
          <w:tcPr>
            <w:tcW w:type="dxa" w:w="3200"/>
            <w:tcBorders>
              <w:top w:val="single" w:color="D5D8DC" w:sz="1"/>
              <w:left w:val="single" w:color="D5D8DC" w:sz="1"/>
              <w:bottom w:val="single" w:color="D5D8DC" w:sz="1"/>
              <w:right w:val="single" w:color="D5D8DC" w:sz="1"/>
            </w:tcBorders>
            <w:shd w:fill="F4F6F7" w:val="clear"/>
            <w:tcMar>
              <w:top w:type="dxa" w:w="90"/>
              <w:left w:type="dxa" w:w="150"/>
              <w:bottom w:type="dxa" w:w="90"/>
              <w:right w:type="dxa" w:w="100"/>
            </w:tcMar>
            <w:vAlign w:val="top"/>
          </w:tcPr>
          <w:p>
            <w:pPr>
              <w:spacing w:before="0" w:after="0"/>
              <w:jc w:val="left"/>
            </w:pPr>
            <w:r>
              <w:rPr>
                <w:rFonts w:ascii="Arial" w:cs="Arial" w:eastAsia="Arial" w:hAnsi="Arial"/>
                <w:b w:val="false"/>
                <w:bCs w:val="false"/>
                <w:color w:val="1A1A1A"/>
                <w:sz w:val="20"/>
                <w:szCs w:val="20"/>
              </w:rPr>
              <w:t xml:space="preserve">Including a "delinquency flag" that was set AFTER the default event — it predicts default because it IS the default.</w:t>
            </w:r>
          </w:p>
        </w:tc>
        <w:tc>
          <w:tcPr>
            <w:tcW w:type="dxa" w:w="3360"/>
            <w:tcBorders>
              <w:top w:val="single" w:color="D5D8DC" w:sz="1"/>
              <w:left w:val="single" w:color="D5D8DC" w:sz="1"/>
              <w:bottom w:val="single" w:color="D5D8DC" w:sz="1"/>
              <w:right w:val="single" w:color="D5D8DC" w:sz="1"/>
            </w:tcBorders>
            <w:shd w:fill="FFFFFF" w:val="clear"/>
            <w:tcMar>
              <w:top w:type="dxa" w:w="90"/>
              <w:left w:type="dxa" w:w="150"/>
              <w:bottom w:type="dxa" w:w="90"/>
              <w:right w:type="dxa" w:w="100"/>
            </w:tcMar>
            <w:vAlign w:val="top"/>
          </w:tcPr>
          <w:p>
            <w:pPr>
              <w:spacing w:before="0" w:after="0"/>
              <w:jc w:val="left"/>
            </w:pPr>
            <w:r>
              <w:rPr>
                <w:rFonts w:ascii="Arial" w:cs="Arial" w:eastAsia="Arial" w:hAnsi="Arial"/>
                <w:b w:val="false"/>
                <w:bCs w:val="false"/>
                <w:color w:val="1A1A1A"/>
                <w:sz w:val="20"/>
                <w:szCs w:val="20"/>
              </w:rPr>
              <w:t xml:space="preserve">Suspiciously high IV (&gt; 0.80). Perfect or near-perfect AUC (&gt; 0.95). Temporal logic review.</w:t>
            </w:r>
          </w:p>
        </w:tc>
      </w:tr>
      <w:tr>
        <w:tc>
          <w:tcPr>
            <w:tcW w:type="dxa" w:w="2800"/>
            <w:tcBorders>
              <w:top w:val="single" w:color="D5D8DC" w:sz="1"/>
              <w:left w:val="single" w:color="D5D8DC" w:sz="1"/>
              <w:bottom w:val="single" w:color="D5D8DC" w:sz="1"/>
              <w:right w:val="single" w:color="D5D8DC" w:sz="1"/>
            </w:tcBorders>
            <w:shd w:fill="FFFFFF" w:val="clear"/>
            <w:tcMar>
              <w:top w:type="dxa" w:w="90"/>
              <w:left w:type="dxa" w:w="150"/>
              <w:bottom w:type="dxa" w:w="90"/>
              <w:right w:type="dxa" w:w="100"/>
            </w:tcMar>
            <w:vAlign w:val="top"/>
          </w:tcPr>
          <w:p>
            <w:pPr>
              <w:spacing w:before="0" w:after="0"/>
              <w:jc w:val="left"/>
            </w:pPr>
            <w:r>
              <w:rPr>
                <w:rFonts w:ascii="Arial" w:cs="Arial" w:eastAsia="Arial" w:hAnsi="Arial"/>
                <w:b w:val="false"/>
                <w:bCs w:val="false"/>
                <w:color w:val="1A1A1A"/>
                <w:sz w:val="20"/>
                <w:szCs w:val="20"/>
              </w:rPr>
              <w:t xml:space="preserve">Future data leakage</w:t>
            </w:r>
          </w:p>
        </w:tc>
        <w:tc>
          <w:tcPr>
            <w:tcW w:type="dxa" w:w="3200"/>
            <w:tcBorders>
              <w:top w:val="single" w:color="D5D8DC" w:sz="1"/>
              <w:left w:val="single" w:color="D5D8DC" w:sz="1"/>
              <w:bottom w:val="single" w:color="D5D8DC" w:sz="1"/>
              <w:right w:val="single" w:color="D5D8DC" w:sz="1"/>
            </w:tcBorders>
            <w:shd w:fill="F4F6F7" w:val="clear"/>
            <w:tcMar>
              <w:top w:type="dxa" w:w="90"/>
              <w:left w:type="dxa" w:w="150"/>
              <w:bottom w:type="dxa" w:w="90"/>
              <w:right w:type="dxa" w:w="100"/>
            </w:tcMar>
            <w:vAlign w:val="top"/>
          </w:tcPr>
          <w:p>
            <w:pPr>
              <w:spacing w:before="0" w:after="0"/>
              <w:jc w:val="left"/>
            </w:pPr>
            <w:r>
              <w:rPr>
                <w:rFonts w:ascii="Arial" w:cs="Arial" w:eastAsia="Arial" w:hAnsi="Arial"/>
                <w:b w:val="false"/>
                <w:bCs w:val="false"/>
                <w:color w:val="1A1A1A"/>
                <w:sz w:val="20"/>
                <w:szCs w:val="20"/>
              </w:rPr>
              <w:t xml:space="preserve">Using features from post-prediction periods (e.g., October payment history to predict October default).</w:t>
            </w:r>
          </w:p>
        </w:tc>
        <w:tc>
          <w:tcPr>
            <w:tcW w:type="dxa" w:w="3360"/>
            <w:tcBorders>
              <w:top w:val="single" w:color="D5D8DC" w:sz="1"/>
              <w:left w:val="single" w:color="D5D8DC" w:sz="1"/>
              <w:bottom w:val="single" w:color="D5D8DC" w:sz="1"/>
              <w:right w:val="single" w:color="D5D8DC" w:sz="1"/>
            </w:tcBorders>
            <w:shd w:fill="FFFFFF" w:val="clear"/>
            <w:tcMar>
              <w:top w:type="dxa" w:w="90"/>
              <w:left w:type="dxa" w:w="150"/>
              <w:bottom w:type="dxa" w:w="90"/>
              <w:right w:type="dxa" w:w="100"/>
            </w:tcMar>
            <w:vAlign w:val="top"/>
          </w:tcPr>
          <w:p>
            <w:pPr>
              <w:spacing w:before="0" w:after="0"/>
              <w:jc w:val="left"/>
            </w:pPr>
            <w:r>
              <w:rPr>
                <w:rFonts w:ascii="Arial" w:cs="Arial" w:eastAsia="Arial" w:hAnsi="Arial"/>
                <w:b w:val="false"/>
                <w:bCs w:val="false"/>
                <w:color w:val="1A1A1A"/>
                <w:sz w:val="20"/>
                <w:szCs w:val="20"/>
              </w:rPr>
              <w:t xml:space="preserve">Strict temporal alignment check. Feature timestamp must precede prediction timestamp.</w:t>
            </w:r>
          </w:p>
        </w:tc>
      </w:tr>
      <w:tr>
        <w:tc>
          <w:tcPr>
            <w:tcW w:type="dxa" w:w="2800"/>
            <w:tcBorders>
              <w:top w:val="single" w:color="D5D8DC" w:sz="1"/>
              <w:left w:val="single" w:color="D5D8DC" w:sz="1"/>
              <w:bottom w:val="single" w:color="D5D8DC" w:sz="1"/>
              <w:right w:val="single" w:color="D5D8DC" w:sz="1"/>
            </w:tcBorders>
            <w:shd w:fill="FFFFFF" w:val="clear"/>
            <w:tcMar>
              <w:top w:type="dxa" w:w="90"/>
              <w:left w:type="dxa" w:w="150"/>
              <w:bottom w:type="dxa" w:w="90"/>
              <w:right w:type="dxa" w:w="100"/>
            </w:tcMar>
            <w:vAlign w:val="top"/>
          </w:tcPr>
          <w:p>
            <w:pPr>
              <w:spacing w:before="0" w:after="0"/>
              <w:jc w:val="left"/>
            </w:pPr>
            <w:r>
              <w:rPr>
                <w:rFonts w:ascii="Arial" w:cs="Arial" w:eastAsia="Arial" w:hAnsi="Arial"/>
                <w:b w:val="false"/>
                <w:bCs w:val="false"/>
                <w:color w:val="1A1A1A"/>
                <w:sz w:val="20"/>
                <w:szCs w:val="20"/>
              </w:rPr>
              <w:t xml:space="preserve">WOE/encoding leakage</w:t>
            </w:r>
          </w:p>
        </w:tc>
        <w:tc>
          <w:tcPr>
            <w:tcW w:type="dxa" w:w="3200"/>
            <w:tcBorders>
              <w:top w:val="single" w:color="D5D8DC" w:sz="1"/>
              <w:left w:val="single" w:color="D5D8DC" w:sz="1"/>
              <w:bottom w:val="single" w:color="D5D8DC" w:sz="1"/>
              <w:right w:val="single" w:color="D5D8DC" w:sz="1"/>
            </w:tcBorders>
            <w:shd w:fill="F4F6F7" w:val="clear"/>
            <w:tcMar>
              <w:top w:type="dxa" w:w="90"/>
              <w:left w:type="dxa" w:w="150"/>
              <w:bottom w:type="dxa" w:w="90"/>
              <w:right w:type="dxa" w:w="100"/>
            </w:tcMar>
            <w:vAlign w:val="top"/>
          </w:tcPr>
          <w:p>
            <w:pPr>
              <w:spacing w:before="0" w:after="0"/>
              <w:jc w:val="left"/>
            </w:pPr>
            <w:r>
              <w:rPr>
                <w:rFonts w:ascii="Arial" w:cs="Arial" w:eastAsia="Arial" w:hAnsi="Arial"/>
                <w:b w:val="false"/>
                <w:bCs w:val="false"/>
                <w:color w:val="1A1A1A"/>
                <w:sz w:val="20"/>
                <w:szCs w:val="20"/>
              </w:rPr>
              <w:t xml:space="preserve">Computing WOE on full dataset before train/test split — the WOE values embed knowledge of the test set's target.</w:t>
            </w:r>
          </w:p>
        </w:tc>
        <w:tc>
          <w:tcPr>
            <w:tcW w:type="dxa" w:w="3360"/>
            <w:tcBorders>
              <w:top w:val="single" w:color="D5D8DC" w:sz="1"/>
              <w:left w:val="single" w:color="D5D8DC" w:sz="1"/>
              <w:bottom w:val="single" w:color="D5D8DC" w:sz="1"/>
              <w:right w:val="single" w:color="D5D8DC" w:sz="1"/>
            </w:tcBorders>
            <w:shd w:fill="FFFFFF" w:val="clear"/>
            <w:tcMar>
              <w:top w:type="dxa" w:w="90"/>
              <w:left w:type="dxa" w:w="150"/>
              <w:bottom w:type="dxa" w:w="90"/>
              <w:right w:type="dxa" w:w="100"/>
            </w:tcMar>
            <w:vAlign w:val="top"/>
          </w:tcPr>
          <w:p>
            <w:pPr>
              <w:spacing w:before="0" w:after="0"/>
              <w:jc w:val="left"/>
            </w:pPr>
            <w:r>
              <w:rPr>
                <w:rFonts w:ascii="Arial" w:cs="Arial" w:eastAsia="Arial" w:hAnsi="Arial"/>
                <w:b w:val="false"/>
                <w:bCs w:val="false"/>
                <w:color w:val="1A1A1A"/>
                <w:sz w:val="20"/>
                <w:szCs w:val="20"/>
              </w:rPr>
              <w:t xml:space="preserve">Replicate encoding strictly within CV folds. Compare OOF vs. test performance.</w:t>
            </w:r>
          </w:p>
        </w:tc>
      </w:tr>
      <w:tr>
        <w:tc>
          <w:tcPr>
            <w:tcW w:type="dxa" w:w="2800"/>
            <w:tcBorders>
              <w:top w:val="single" w:color="D5D8DC" w:sz="1"/>
              <w:left w:val="single" w:color="D5D8DC" w:sz="1"/>
              <w:bottom w:val="single" w:color="D5D8DC" w:sz="1"/>
              <w:right w:val="single" w:color="D5D8DC" w:sz="1"/>
            </w:tcBorders>
            <w:shd w:fill="FFFFFF" w:val="clear"/>
            <w:tcMar>
              <w:top w:type="dxa" w:w="90"/>
              <w:left w:type="dxa" w:w="150"/>
              <w:bottom w:type="dxa" w:w="90"/>
              <w:right w:type="dxa" w:w="100"/>
            </w:tcMar>
            <w:vAlign w:val="top"/>
          </w:tcPr>
          <w:p>
            <w:pPr>
              <w:spacing w:before="0" w:after="0"/>
              <w:jc w:val="left"/>
            </w:pPr>
            <w:r>
              <w:rPr>
                <w:rFonts w:ascii="Arial" w:cs="Arial" w:eastAsia="Arial" w:hAnsi="Arial"/>
                <w:b w:val="false"/>
                <w:bCs w:val="false"/>
                <w:color w:val="1A1A1A"/>
                <w:sz w:val="20"/>
                <w:szCs w:val="20"/>
              </w:rPr>
              <w:t xml:space="preserve">Scaler/normaliser leakage</w:t>
            </w:r>
          </w:p>
        </w:tc>
        <w:tc>
          <w:tcPr>
            <w:tcW w:type="dxa" w:w="3200"/>
            <w:tcBorders>
              <w:top w:val="single" w:color="D5D8DC" w:sz="1"/>
              <w:left w:val="single" w:color="D5D8DC" w:sz="1"/>
              <w:bottom w:val="single" w:color="D5D8DC" w:sz="1"/>
              <w:right w:val="single" w:color="D5D8DC" w:sz="1"/>
            </w:tcBorders>
            <w:shd w:fill="F4F6F7" w:val="clear"/>
            <w:tcMar>
              <w:top w:type="dxa" w:w="90"/>
              <w:left w:type="dxa" w:w="150"/>
              <w:bottom w:type="dxa" w:w="90"/>
              <w:right w:type="dxa" w:w="100"/>
            </w:tcMar>
            <w:vAlign w:val="top"/>
          </w:tcPr>
          <w:p>
            <w:pPr>
              <w:spacing w:before="0" w:after="0"/>
              <w:jc w:val="left"/>
            </w:pPr>
            <w:r>
              <w:rPr>
                <w:rFonts w:ascii="Arial" w:cs="Arial" w:eastAsia="Arial" w:hAnsi="Arial"/>
                <w:b w:val="false"/>
                <w:bCs w:val="false"/>
                <w:color w:val="1A1A1A"/>
                <w:sz w:val="20"/>
                <w:szCs w:val="20"/>
              </w:rPr>
              <w:t xml:space="preserve">Fitting StandardScaler on full dataset before split — mean and std dev computed with test set knowledge.</w:t>
            </w:r>
          </w:p>
        </w:tc>
        <w:tc>
          <w:tcPr>
            <w:tcW w:type="dxa" w:w="3360"/>
            <w:tcBorders>
              <w:top w:val="single" w:color="D5D8DC" w:sz="1"/>
              <w:left w:val="single" w:color="D5D8DC" w:sz="1"/>
              <w:bottom w:val="single" w:color="D5D8DC" w:sz="1"/>
              <w:right w:val="single" w:color="D5D8DC" w:sz="1"/>
            </w:tcBorders>
            <w:shd w:fill="FFFFFF" w:val="clear"/>
            <w:tcMar>
              <w:top w:type="dxa" w:w="90"/>
              <w:left w:type="dxa" w:w="150"/>
              <w:bottom w:type="dxa" w:w="90"/>
              <w:right w:type="dxa" w:w="100"/>
            </w:tcMar>
            <w:vAlign w:val="top"/>
          </w:tcPr>
          <w:p>
            <w:pPr>
              <w:spacing w:before="0" w:after="0"/>
              <w:jc w:val="left"/>
            </w:pPr>
            <w:r>
              <w:rPr>
                <w:rFonts w:ascii="Arial" w:cs="Arial" w:eastAsia="Arial" w:hAnsi="Arial"/>
                <w:b w:val="false"/>
                <w:bCs w:val="false"/>
                <w:color w:val="1A1A1A"/>
                <w:sz w:val="20"/>
                <w:szCs w:val="20"/>
              </w:rPr>
              <w:t xml:space="preserve">Standard practice: fit all preprocessing on training fold only, apply to test fold.</w:t>
            </w:r>
          </w:p>
        </w:tc>
      </w:tr>
      <w:tr>
        <w:tc>
          <w:tcPr>
            <w:tcW w:type="dxa" w:w="2800"/>
            <w:tcBorders>
              <w:top w:val="single" w:color="D5D8DC" w:sz="1"/>
              <w:left w:val="single" w:color="D5D8DC" w:sz="1"/>
              <w:bottom w:val="single" w:color="D5D8DC" w:sz="1"/>
              <w:right w:val="single" w:color="D5D8DC" w:sz="1"/>
            </w:tcBorders>
            <w:shd w:fill="FFFFFF" w:val="clear"/>
            <w:tcMar>
              <w:top w:type="dxa" w:w="90"/>
              <w:left w:type="dxa" w:w="150"/>
              <w:bottom w:type="dxa" w:w="90"/>
              <w:right w:type="dxa" w:w="100"/>
            </w:tcMar>
            <w:vAlign w:val="top"/>
          </w:tcPr>
          <w:p>
            <w:pPr>
              <w:spacing w:before="0" w:after="0"/>
              <w:jc w:val="left"/>
            </w:pPr>
            <w:r>
              <w:rPr>
                <w:rFonts w:ascii="Arial" w:cs="Arial" w:eastAsia="Arial" w:hAnsi="Arial"/>
                <w:b w:val="false"/>
                <w:bCs w:val="false"/>
                <w:color w:val="1A1A1A"/>
                <w:sz w:val="20"/>
                <w:szCs w:val="20"/>
              </w:rPr>
              <w:t xml:space="preserve">Feature interaction leakage</w:t>
            </w:r>
          </w:p>
        </w:tc>
        <w:tc>
          <w:tcPr>
            <w:tcW w:type="dxa" w:w="3200"/>
            <w:tcBorders>
              <w:top w:val="single" w:color="D5D8DC" w:sz="1"/>
              <w:left w:val="single" w:color="D5D8DC" w:sz="1"/>
              <w:bottom w:val="single" w:color="D5D8DC" w:sz="1"/>
              <w:right w:val="single" w:color="D5D8DC" w:sz="1"/>
            </w:tcBorders>
            <w:shd w:fill="F4F6F7" w:val="clear"/>
            <w:tcMar>
              <w:top w:type="dxa" w:w="90"/>
              <w:left w:type="dxa" w:w="150"/>
              <w:bottom w:type="dxa" w:w="90"/>
              <w:right w:type="dxa" w:w="100"/>
            </w:tcMar>
            <w:vAlign w:val="top"/>
          </w:tcPr>
          <w:p>
            <w:pPr>
              <w:spacing w:before="0" w:after="0"/>
              <w:jc w:val="left"/>
            </w:pPr>
            <w:r>
              <w:rPr>
                <w:rFonts w:ascii="Arial" w:cs="Arial" w:eastAsia="Arial" w:hAnsi="Arial"/>
                <w:b w:val="false"/>
                <w:bCs w:val="false"/>
                <w:color w:val="1A1A1A"/>
                <w:sz w:val="20"/>
                <w:szCs w:val="20"/>
              </w:rPr>
              <w:t xml:space="preserve">Interaction feature uses target variable directly (e.g., multiplying a feature by its group-level default rate).</w:t>
            </w:r>
          </w:p>
        </w:tc>
        <w:tc>
          <w:tcPr>
            <w:tcW w:type="dxa" w:w="3360"/>
            <w:tcBorders>
              <w:top w:val="single" w:color="D5D8DC" w:sz="1"/>
              <w:left w:val="single" w:color="D5D8DC" w:sz="1"/>
              <w:bottom w:val="single" w:color="D5D8DC" w:sz="1"/>
              <w:right w:val="single" w:color="D5D8DC" w:sz="1"/>
            </w:tcBorders>
            <w:shd w:fill="FFFFFF" w:val="clear"/>
            <w:tcMar>
              <w:top w:type="dxa" w:w="90"/>
              <w:left w:type="dxa" w:w="150"/>
              <w:bottom w:type="dxa" w:w="90"/>
              <w:right w:type="dxa" w:w="100"/>
            </w:tcMar>
            <w:vAlign w:val="top"/>
          </w:tcPr>
          <w:p>
            <w:pPr>
              <w:spacing w:before="0" w:after="0"/>
              <w:jc w:val="left"/>
            </w:pPr>
            <w:r>
              <w:rPr>
                <w:rFonts w:ascii="Arial" w:cs="Arial" w:eastAsia="Arial" w:hAnsi="Arial"/>
                <w:b w:val="false"/>
                <w:bCs w:val="false"/>
                <w:color w:val="1A1A1A"/>
                <w:sz w:val="20"/>
                <w:szCs w:val="20"/>
              </w:rPr>
              <w:t xml:space="preserve">Review all engineered features for any direct or indirect reference to the target.</w:t>
            </w:r>
          </w:p>
        </w:tc>
      </w:tr>
    </w:tbl>
    <w:p>
      <w:pPr>
        <w:spacing w:before="0" w:after="140"/>
      </w:pPr>
    </w:p>
    <w:p>
      <w:pPr>
        <w:pStyle w:val="Heading2"/>
        <w:spacing w:before="280" w:after="120"/>
      </w:pPr>
      <w:r>
        <w:rPr>
          <w:rFonts w:ascii="Arial" w:cs="Arial" w:eastAsia="Arial" w:hAnsi="Arial"/>
          <w:b/>
          <w:bCs/>
          <w:color w:val="1B6CA8"/>
          <w:sz w:val="28"/>
          <w:szCs w:val="28"/>
        </w:rPr>
        <w:t xml:space="preserve">8.2 Over-Engineering Features</w:t>
      </w:r>
    </w:p>
    <w:p>
      <w:pPr>
        <w:spacing w:before="80" w:after="80"/>
      </w:pPr>
      <w:r>
        <w:rPr>
          <w:rFonts w:ascii="Arial" w:cs="Arial" w:eastAsia="Arial" w:hAnsi="Arial"/>
          <w:b w:val="false"/>
          <w:bCs w:val="false"/>
          <w:color w:val="1A1A1A"/>
          <w:sz w:val="22"/>
          <w:szCs w:val="22"/>
        </w:rPr>
        <w:t xml:space="preserve">More features do not mean a better model. Over-engineering introduces the following risks:</w:t>
      </w:r>
    </w:p>
    <w:p>
      <w:pPr>
        <w:pStyle w:val="ListParagraph"/>
        <w:numPr>
          <w:ilvl w:val="0"/>
          <w:numId w:val="2"/>
        </w:numPr>
        <w:spacing w:before="50" w:after="50"/>
      </w:pPr>
      <w:r>
        <w:rPr>
          <w:rFonts w:ascii="Arial" w:cs="Arial" w:eastAsia="Arial" w:hAnsi="Arial"/>
          <w:b w:val="false"/>
          <w:bCs w:val="false"/>
          <w:color w:val="1A1A1A"/>
          <w:sz w:val="22"/>
          <w:szCs w:val="22"/>
        </w:rPr>
        <w:t xml:space="preserve">Curse of dimensionality: As feature count grows relative to sample size, model generalisation degrades. With 30,000 records, a practical upper limit for Logistic Regression is 20–30 features. XGBoost can handle 50–100.</w:t>
      </w:r>
    </w:p>
    <w:p>
      <w:pPr>
        <w:pStyle w:val="ListParagraph"/>
        <w:numPr>
          <w:ilvl w:val="0"/>
          <w:numId w:val="2"/>
        </w:numPr>
        <w:spacing w:before="50" w:after="50"/>
      </w:pPr>
      <w:r>
        <w:rPr>
          <w:rFonts w:ascii="Arial" w:cs="Arial" w:eastAsia="Arial" w:hAnsi="Arial"/>
          <w:b w:val="false"/>
          <w:bCs w:val="false"/>
          <w:color w:val="1A1A1A"/>
          <w:sz w:val="22"/>
          <w:szCs w:val="22"/>
        </w:rPr>
        <w:t xml:space="preserve">Spurious correlations: Derived features that are products, ratios, or combinations of multiple raw features can accidentally correlate with the target due to statistical noise, not genuine risk signal.</w:t>
      </w:r>
    </w:p>
    <w:p>
      <w:pPr>
        <w:pStyle w:val="ListParagraph"/>
        <w:numPr>
          <w:ilvl w:val="0"/>
          <w:numId w:val="2"/>
        </w:numPr>
        <w:spacing w:before="50" w:after="50"/>
      </w:pPr>
      <w:r>
        <w:rPr>
          <w:rFonts w:ascii="Arial" w:cs="Arial" w:eastAsia="Arial" w:hAnsi="Arial"/>
          <w:b w:val="false"/>
          <w:bCs w:val="false"/>
          <w:color w:val="1A1A1A"/>
          <w:sz w:val="22"/>
          <w:szCs w:val="22"/>
        </w:rPr>
        <w:t xml:space="preserve">Computational complexity: Complex interaction features and polynomial terms increase training time and reduce explainability.</w:t>
      </w:r>
    </w:p>
    <w:p>
      <w:pPr>
        <w:pStyle w:val="ListParagraph"/>
        <w:numPr>
          <w:ilvl w:val="0"/>
          <w:numId w:val="2"/>
        </w:numPr>
        <w:spacing w:before="50" w:after="50"/>
      </w:pPr>
      <w:r>
        <w:rPr>
          <w:rFonts w:ascii="Arial" w:cs="Arial" w:eastAsia="Arial" w:hAnsi="Arial"/>
          <w:b w:val="false"/>
          <w:bCs w:val="false"/>
          <w:color w:val="1A1A1A"/>
          <w:sz w:val="22"/>
          <w:szCs w:val="22"/>
        </w:rPr>
        <w:t xml:space="preserve">VIF inflation: Engineered features that overlap with raw features may introduce new multicollinearity into the feature space.</w:t>
      </w:r>
    </w:p>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80"/>
        <w:gridCol w:w="8080"/>
      </w:tblGrid>
      <w:tr>
        <w:tc>
          <w:tcPr>
            <w:tcW w:type="dxa" w:w="1280"/>
            <w:tcBorders>
              <w:top w:val="single" w:color="D5D8DC" w:sz="1"/>
              <w:left w:val="single" w:color="D5D8DC" w:sz="1"/>
              <w:bottom w:val="single" w:color="D5D8DC" w:sz="1"/>
              <w:right w:val="single" w:color="D5D8DC" w:sz="1"/>
            </w:tcBorders>
            <w:shd w:fill="1A7A4A" w:val="clear"/>
            <w:tcMar>
              <w:top w:type="dxa" w:w="100"/>
              <w:left w:type="dxa" w:w="120"/>
              <w:bottom w:type="dxa" w:w="100"/>
              <w:right w:type="dxa" w:w="80"/>
            </w:tcMar>
            <w:vAlign w:val="center"/>
          </w:tcPr>
          <w:p>
            <w:pPr>
              <w:jc w:val="center"/>
            </w:pPr>
            <w:r>
              <w:rPr>
                <w:rFonts w:ascii="Arial" w:cs="Arial" w:eastAsia="Arial" w:hAnsi="Arial"/>
                <w:b/>
                <w:bCs/>
                <w:color w:val="FFFFFF"/>
                <w:sz w:val="17"/>
                <w:szCs w:val="17"/>
              </w:rPr>
              <w:t xml:space="preserve">PRINCIPLE</w:t>
            </w:r>
          </w:p>
        </w:tc>
        <w:tc>
          <w:tcPr>
            <w:tcW w:type="dxa" w:w="8080"/>
            <w:tcBorders>
              <w:top w:val="single" w:color="D5D8DC" w:sz="1"/>
              <w:left w:val="single" w:color="D5D8DC" w:sz="1"/>
              <w:bottom w:val="single" w:color="D5D8DC" w:sz="1"/>
              <w:right w:val="single" w:color="D5D8DC" w:sz="1"/>
            </w:tcBorders>
            <w:shd w:fill="E8F8F5" w:val="clear"/>
            <w:tcMar>
              <w:top w:type="dxa" w:w="100"/>
              <w:left w:type="dxa" w:w="160"/>
              <w:bottom w:type="dxa" w:w="100"/>
              <w:right w:type="dxa" w:w="120"/>
            </w:tcMar>
          </w:tcPr>
          <w:p>
            <w:r>
              <w:rPr>
                <w:rFonts w:ascii="Arial" w:cs="Arial" w:eastAsia="Arial" w:hAnsi="Arial"/>
                <w:color w:val="2C3E50"/>
                <w:sz w:val="20"/>
                <w:szCs w:val="20"/>
              </w:rPr>
              <w:t xml:space="preserve">Engineering principle: Each engineered feature must have a clear business hypothesis that precedes its creation. If you cannot explain why the feature should be predictive from credit theory first, do not create it.</w:t>
            </w:r>
          </w:p>
        </w:tc>
      </w:tr>
    </w:tbl>
    <w:p>
      <w:pPr>
        <w:spacing w:before="0" w:after="140"/>
      </w:pPr>
    </w:p>
    <w:p>
      <w:pPr>
        <w:pStyle w:val="Heading2"/>
        <w:spacing w:before="280" w:after="120"/>
      </w:pPr>
      <w:r>
        <w:rPr>
          <w:rFonts w:ascii="Arial" w:cs="Arial" w:eastAsia="Arial" w:hAnsi="Arial"/>
          <w:b/>
          <w:bCs/>
          <w:color w:val="1B6CA8"/>
          <w:sz w:val="28"/>
          <w:szCs w:val="28"/>
        </w:rPr>
        <w:t xml:space="preserve">8.3 Ignoring Economic and Temporal Context</w:t>
      </w:r>
    </w:p>
    <w:p>
      <w:pPr>
        <w:spacing w:before="80" w:after="80"/>
      </w:pPr>
      <w:r>
        <w:rPr>
          <w:rFonts w:ascii="Arial" w:cs="Arial" w:eastAsia="Arial" w:hAnsi="Arial"/>
          <w:b w:val="false"/>
          <w:bCs w:val="false"/>
          <w:color w:val="1A1A1A"/>
          <w:sz w:val="22"/>
          <w:szCs w:val="22"/>
        </w:rPr>
        <w:t xml:space="preserve">The Taiwan credit card dataset is a snapshot from April–September 2005. A model built on this snapshot may not generalise to other economic environments:</w:t>
      </w:r>
    </w:p>
    <w:p>
      <w:pPr>
        <w:pStyle w:val="ListParagraph"/>
        <w:numPr>
          <w:ilvl w:val="0"/>
          <w:numId w:val="2"/>
        </w:numPr>
        <w:spacing w:before="50" w:after="50"/>
      </w:pPr>
      <w:r>
        <w:rPr>
          <w:rFonts w:ascii="Arial" w:cs="Arial" w:eastAsia="Arial" w:hAnsi="Arial"/>
          <w:b w:val="false"/>
          <w:bCs w:val="false"/>
          <w:color w:val="1A1A1A"/>
          <w:sz w:val="22"/>
          <w:szCs w:val="22"/>
        </w:rPr>
        <w:t xml:space="preserve">Interest rate environment: The Bank of Taiwan's benchmark rate in 2005 was approximately 2%. Different rate environments change the risk profile of minimum payers.</w:t>
      </w:r>
    </w:p>
    <w:p>
      <w:pPr>
        <w:pStyle w:val="ListParagraph"/>
        <w:numPr>
          <w:ilvl w:val="0"/>
          <w:numId w:val="2"/>
        </w:numPr>
        <w:spacing w:before="50" w:after="50"/>
      </w:pPr>
      <w:r>
        <w:rPr>
          <w:rFonts w:ascii="Arial" w:cs="Arial" w:eastAsia="Arial" w:hAnsi="Arial"/>
          <w:b w:val="false"/>
          <w:bCs w:val="false"/>
          <w:color w:val="1A1A1A"/>
          <w:sz w:val="22"/>
          <w:szCs w:val="22"/>
        </w:rPr>
        <w:t xml:space="preserve">Economic cycle: Point-in-time vs. through-the-cycle PD models. Basel IRB requires through-the-cycle estimates that are stable across economic conditions.</w:t>
      </w:r>
    </w:p>
    <w:p>
      <w:pPr>
        <w:pStyle w:val="ListParagraph"/>
        <w:numPr>
          <w:ilvl w:val="0"/>
          <w:numId w:val="2"/>
        </w:numPr>
        <w:spacing w:before="50" w:after="50"/>
      </w:pPr>
      <w:r>
        <w:rPr>
          <w:rFonts w:ascii="Arial" w:cs="Arial" w:eastAsia="Arial" w:hAnsi="Arial"/>
          <w:b w:val="false"/>
          <w:bCs w:val="false"/>
          <w:color w:val="1A1A1A"/>
          <w:sz w:val="22"/>
          <w:szCs w:val="22"/>
        </w:rPr>
        <w:t xml:space="preserve">Vintage effects: Client cohorts originated in different periods have different risk profiles. If training data mixes vintages, the model may learn vintage-specific patterns that don't generalise.</w:t>
      </w:r>
    </w:p>
    <w:p>
      <w:pPr>
        <w:spacing w:before="0" w:after="80"/>
      </w:pPr>
    </w:p>
    <w:p>
      <w:pPr>
        <w:pStyle w:val="Heading2"/>
        <w:spacing w:before="280" w:after="120"/>
      </w:pPr>
      <w:r>
        <w:rPr>
          <w:rFonts w:ascii="Arial" w:cs="Arial" w:eastAsia="Arial" w:hAnsi="Arial"/>
          <w:b/>
          <w:bCs/>
          <w:color w:val="1B6CA8"/>
          <w:sz w:val="28"/>
          <w:szCs w:val="28"/>
        </w:rPr>
        <w:t xml:space="preserve">8.4 Binning Errors</w:t>
      </w:r>
    </w:p>
    <w:p>
      <w:pPr>
        <w:pStyle w:val="ListParagraph"/>
        <w:numPr>
          <w:ilvl w:val="0"/>
          <w:numId w:val="2"/>
        </w:numPr>
        <w:spacing w:before="50" w:after="50"/>
      </w:pPr>
      <w:r>
        <w:rPr>
          <w:rFonts w:ascii="Arial" w:cs="Arial" w:eastAsia="Arial" w:hAnsi="Arial"/>
          <w:b w:val="false"/>
          <w:bCs w:val="false"/>
          <w:color w:val="1A1A1A"/>
          <w:sz w:val="22"/>
          <w:szCs w:val="22"/>
        </w:rPr>
        <w:t xml:space="preserve">Creating bins with insufficient event counts: A WOE bin with fewer than 5% of total events produces an unreliable WOE estimate. Regularise by merging with adjacent bin.</w:t>
      </w:r>
    </w:p>
    <w:p>
      <w:pPr>
        <w:pStyle w:val="ListParagraph"/>
        <w:numPr>
          <w:ilvl w:val="0"/>
          <w:numId w:val="2"/>
        </w:numPr>
        <w:spacing w:before="50" w:after="50"/>
      </w:pPr>
      <w:r>
        <w:rPr>
          <w:rFonts w:ascii="Arial" w:cs="Arial" w:eastAsia="Arial" w:hAnsi="Arial"/>
          <w:b w:val="false"/>
          <w:bCs w:val="false"/>
          <w:color w:val="1A1A1A"/>
          <w:sz w:val="22"/>
          <w:szCs w:val="22"/>
        </w:rPr>
        <w:t xml:space="preserve">Non-monotonic WOE bins in a monotonic relationship: If EDA confirms a monotonic relationship (higher delay = higher default rate), force WOE monotonicity by merging bins that violate the order.</w:t>
      </w:r>
    </w:p>
    <w:p>
      <w:pPr>
        <w:pStyle w:val="ListParagraph"/>
        <w:numPr>
          <w:ilvl w:val="0"/>
          <w:numId w:val="2"/>
        </w:numPr>
        <w:spacing w:before="50" w:after="50"/>
      </w:pPr>
      <w:r>
        <w:rPr>
          <w:rFonts w:ascii="Arial" w:cs="Arial" w:eastAsia="Arial" w:hAnsi="Arial"/>
          <w:b w:val="false"/>
          <w:bCs w:val="false"/>
          <w:color w:val="1A1A1A"/>
          <w:sz w:val="22"/>
          <w:szCs w:val="22"/>
        </w:rPr>
        <w:t xml:space="preserve">Overfitting fine-classed bins: 50+ bins per feature will perfectly fit training data WOE but will not generalise. Standard maximum: 20 fine bins before coarse classing.</w:t>
      </w:r>
    </w:p>
    <w:p>
      <w:pPr>
        <w:spacing w:before="0" w:after="140"/>
      </w:pPr>
    </w:p>
    <w:p>
      <w:pPr>
        <w:pStyle w:val="Heading2"/>
        <w:spacing w:before="280" w:after="120"/>
      </w:pPr>
      <w:r>
        <w:rPr>
          <w:rFonts w:ascii="Arial" w:cs="Arial" w:eastAsia="Arial" w:hAnsi="Arial"/>
          <w:b/>
          <w:bCs/>
          <w:color w:val="1B6CA8"/>
          <w:sz w:val="28"/>
          <w:szCs w:val="28"/>
        </w:rPr>
        <w:t xml:space="preserve">8.5 Using Features Unavailable at Prediction Time</w:t>
      </w:r>
    </w:p>
    <w:p>
      <w:pPr>
        <w:spacing w:before="80" w:after="80"/>
      </w:pPr>
      <w:r>
        <w:rPr>
          <w:rFonts w:ascii="Arial" w:cs="Arial" w:eastAsia="Arial" w:hAnsi="Arial"/>
          <w:b w:val="false"/>
          <w:bCs w:val="false"/>
          <w:color w:val="1A1A1A"/>
          <w:sz w:val="22"/>
          <w:szCs w:val="22"/>
        </w:rPr>
        <w:t xml:space="preserve">In credit card default prediction, the feature window typically ends one month before the prediction period. Verify the following operational constraints:</w:t>
      </w:r>
    </w:p>
    <w:p>
      <w:pPr>
        <w:pStyle w:val="ListParagraph"/>
        <w:numPr>
          <w:ilvl w:val="0"/>
          <w:numId w:val="2"/>
        </w:numPr>
        <w:spacing w:before="50" w:after="50"/>
      </w:pPr>
      <w:r>
        <w:rPr>
          <w:rFonts w:ascii="Arial" w:cs="Arial" w:eastAsia="Arial" w:hAnsi="Arial"/>
          <w:b w:val="false"/>
          <w:bCs w:val="false"/>
          <w:color w:val="1A1A1A"/>
          <w:sz w:val="22"/>
          <w:szCs w:val="22"/>
        </w:rPr>
        <w:t xml:space="preserve">Statement data has a processing lag: BILL_AMT for month t may not be available until t+15 days. If the model is scored on day 1 of month t+1, billing data for month t may not be finalised.</w:t>
      </w:r>
    </w:p>
    <w:p>
      <w:pPr>
        <w:pStyle w:val="ListParagraph"/>
        <w:numPr>
          <w:ilvl w:val="0"/>
          <w:numId w:val="2"/>
        </w:numPr>
        <w:spacing w:before="50" w:after="50"/>
      </w:pPr>
      <w:r>
        <w:rPr>
          <w:rFonts w:ascii="Arial" w:cs="Arial" w:eastAsia="Arial" w:hAnsi="Arial"/>
          <w:b w:val="false"/>
          <w:bCs w:val="false"/>
          <w:color w:val="1A1A1A"/>
          <w:sz w:val="22"/>
          <w:szCs w:val="22"/>
        </w:rPr>
        <w:t xml:space="preserve">PAY_0 availability: The repayment status for the most recent month requires transaction processing to be complete. In real-time scoring, this may be estimated rather than final.</w:t>
      </w:r>
    </w:p>
    <w:p>
      <w:pPr>
        <w:pStyle w:val="ListParagraph"/>
        <w:numPr>
          <w:ilvl w:val="0"/>
          <w:numId w:val="2"/>
        </w:numPr>
        <w:spacing w:before="50" w:after="50"/>
      </w:pPr>
      <w:r>
        <w:rPr>
          <w:rFonts w:ascii="Arial" w:cs="Arial" w:eastAsia="Arial" w:hAnsi="Arial"/>
          <w:b w:val="false"/>
          <w:bCs w:val="false"/>
          <w:color w:val="1A1A1A"/>
          <w:sz w:val="22"/>
          <w:szCs w:val="22"/>
        </w:rPr>
        <w:t xml:space="preserve">Payment amounts vs. posted amounts: PAY_AMT may reflect scheduled payments rather than actually cleared payments. Reversals after the data extraction date are not reflected.</w:t>
      </w:r>
    </w:p>
    <w:p>
      <w:pPr>
        <w:spacing w:before="0" w:after="200"/>
      </w:pPr>
    </w:p>
    <w:p>
      <w:r>
        <w:br w:type="page"/>
      </w:r>
    </w:p>
    <w:p>
      <w:pPr>
        <w:pStyle w:val="Heading1"/>
        <w:pBdr>
          <w:bottom w:val="single" w:color="2E75B6" w:sz="6"/>
        </w:pBdr>
        <w:spacing w:before="400" w:after="160"/>
      </w:pPr>
      <w:r>
        <w:rPr>
          <w:rFonts w:ascii="Arial" w:cs="Arial" w:eastAsia="Arial" w:hAnsi="Arial"/>
          <w:b/>
          <w:bCs/>
          <w:color w:val="1F3864"/>
          <w:sz w:val="36"/>
          <w:szCs w:val="36"/>
        </w:rPr>
        <w:t xml:space="preserve">Section 9: Recommended Feature Engineering Pipeline</w:t>
      </w:r>
    </w:p>
    <w:p>
      <w:pPr>
        <w:spacing w:before="80" w:after="80"/>
      </w:pPr>
      <w:r>
        <w:rPr>
          <w:rFonts w:ascii="Arial" w:cs="Arial" w:eastAsia="Arial" w:hAnsi="Arial"/>
          <w:b w:val="false"/>
          <w:bCs w:val="false"/>
          <w:color w:val="1A1A1A"/>
          <w:sz w:val="22"/>
          <w:szCs w:val="22"/>
        </w:rPr>
        <w:t xml:space="preserve">The following pipeline represents the complete, production-grade sequence from raw EDA to model-ready features, as implemented in real-world banking credit risk projects. Each step is sequenced to prevent information leakage and ensure that all transformations are statistically valid.</w:t>
      </w:r>
    </w:p>
    <w:p>
      <w:pPr>
        <w:spacing w:before="0" w:after="120"/>
      </w:pPr>
    </w:p>
    <w:p>
      <w:pPr>
        <w:pStyle w:val="Heading2"/>
        <w:spacing w:before="280" w:after="120"/>
      </w:pPr>
      <w:r>
        <w:rPr>
          <w:rFonts w:ascii="Arial" w:cs="Arial" w:eastAsia="Arial" w:hAnsi="Arial"/>
          <w:b/>
          <w:bCs/>
          <w:color w:val="1B6CA8"/>
          <w:sz w:val="28"/>
          <w:szCs w:val="28"/>
        </w:rPr>
        <w:t xml:space="preserve">9.1 Complete Step-by-Step Pipeline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1900"/>
        <w:gridCol w:w="3780"/>
        <w:gridCol w:w="3200"/>
      </w:tblGrid>
      <w:tr>
        <w:tc>
          <w:tcPr>
            <w:tcW w:type="dxa" w:w="480"/>
            <w:tcBorders>
              <w:top w:val="single" w:color="D5D8DC" w:sz="1"/>
              <w:left w:val="single" w:color="D5D8DC" w:sz="1"/>
              <w:bottom w:val="single" w:color="D5D8DC" w:sz="1"/>
              <w:right w:val="single" w:color="D5D8DC" w:sz="1"/>
            </w:tcBorders>
            <w:shd w:fill="1F3864" w:val="clear"/>
            <w:tcMar>
              <w:top w:type="dxa" w:w="90"/>
              <w:left w:type="dxa" w:w="150"/>
              <w:bottom w:type="dxa" w:w="90"/>
              <w:right w:type="dxa" w:w="100"/>
            </w:tcMar>
            <w:vAlign w:val="top"/>
          </w:tcPr>
          <w:p>
            <w:pPr>
              <w:spacing w:before="0" w:after="0"/>
              <w:jc w:val="left"/>
            </w:pPr>
            <w:r>
              <w:rPr>
                <w:rFonts w:ascii="Arial" w:cs="Arial" w:eastAsia="Arial" w:hAnsi="Arial"/>
                <w:b/>
                <w:bCs/>
                <w:color w:val="FFFFFF"/>
                <w:sz w:val="19"/>
                <w:szCs w:val="19"/>
              </w:rPr>
              <w:t xml:space="preserve">#</w:t>
            </w:r>
          </w:p>
        </w:tc>
        <w:tc>
          <w:tcPr>
            <w:tcW w:type="dxa" w:w="1900"/>
            <w:tcBorders>
              <w:top w:val="single" w:color="D5D8DC" w:sz="1"/>
              <w:left w:val="single" w:color="D5D8DC" w:sz="1"/>
              <w:bottom w:val="single" w:color="D5D8DC" w:sz="1"/>
              <w:right w:val="single" w:color="D5D8DC" w:sz="1"/>
            </w:tcBorders>
            <w:shd w:fill="1F3864" w:val="clear"/>
            <w:tcMar>
              <w:top w:type="dxa" w:w="90"/>
              <w:left w:type="dxa" w:w="150"/>
              <w:bottom w:type="dxa" w:w="90"/>
              <w:right w:type="dxa" w:w="100"/>
            </w:tcMar>
            <w:vAlign w:val="top"/>
          </w:tcPr>
          <w:p>
            <w:pPr>
              <w:spacing w:before="0" w:after="0"/>
              <w:jc w:val="left"/>
            </w:pPr>
            <w:r>
              <w:rPr>
                <w:rFonts w:ascii="Arial" w:cs="Arial" w:eastAsia="Arial" w:hAnsi="Arial"/>
                <w:b/>
                <w:bCs/>
                <w:color w:val="FFFFFF"/>
                <w:sz w:val="19"/>
                <w:szCs w:val="19"/>
              </w:rPr>
              <w:t xml:space="preserve">Stage</w:t>
            </w:r>
          </w:p>
        </w:tc>
        <w:tc>
          <w:tcPr>
            <w:tcW w:type="dxa" w:w="3780"/>
            <w:tcBorders>
              <w:top w:val="single" w:color="D5D8DC" w:sz="1"/>
              <w:left w:val="single" w:color="D5D8DC" w:sz="1"/>
              <w:bottom w:val="single" w:color="D5D8DC" w:sz="1"/>
              <w:right w:val="single" w:color="D5D8DC" w:sz="1"/>
            </w:tcBorders>
            <w:shd w:fill="1F3864" w:val="clear"/>
            <w:tcMar>
              <w:top w:type="dxa" w:w="90"/>
              <w:left w:type="dxa" w:w="150"/>
              <w:bottom w:type="dxa" w:w="90"/>
              <w:right w:type="dxa" w:w="100"/>
            </w:tcMar>
            <w:vAlign w:val="top"/>
          </w:tcPr>
          <w:p>
            <w:pPr>
              <w:spacing w:before="0" w:after="0"/>
              <w:jc w:val="left"/>
            </w:pPr>
            <w:r>
              <w:rPr>
                <w:rFonts w:ascii="Arial" w:cs="Arial" w:eastAsia="Arial" w:hAnsi="Arial"/>
                <w:b/>
                <w:bCs/>
                <w:color w:val="FFFFFF"/>
                <w:sz w:val="19"/>
                <w:szCs w:val="19"/>
              </w:rPr>
              <w:t xml:space="preserve">Actions</w:t>
            </w:r>
          </w:p>
        </w:tc>
        <w:tc>
          <w:tcPr>
            <w:tcW w:type="dxa" w:w="3200"/>
            <w:tcBorders>
              <w:top w:val="single" w:color="D5D8DC" w:sz="1"/>
              <w:left w:val="single" w:color="D5D8DC" w:sz="1"/>
              <w:bottom w:val="single" w:color="D5D8DC" w:sz="1"/>
              <w:right w:val="single" w:color="D5D8DC" w:sz="1"/>
            </w:tcBorders>
            <w:shd w:fill="1F3864" w:val="clear"/>
            <w:tcMar>
              <w:top w:type="dxa" w:w="90"/>
              <w:left w:type="dxa" w:w="150"/>
              <w:bottom w:type="dxa" w:w="90"/>
              <w:right w:type="dxa" w:w="100"/>
            </w:tcMar>
            <w:vAlign w:val="top"/>
          </w:tcPr>
          <w:p>
            <w:pPr>
              <w:spacing w:before="0" w:after="0"/>
              <w:jc w:val="left"/>
            </w:pPr>
            <w:r>
              <w:rPr>
                <w:rFonts w:ascii="Arial" w:cs="Arial" w:eastAsia="Arial" w:hAnsi="Arial"/>
                <w:b/>
                <w:bCs/>
                <w:color w:val="FFFFFF"/>
                <w:sz w:val="19"/>
                <w:szCs w:val="19"/>
              </w:rPr>
              <w:t xml:space="preserve">Validation Check</w:t>
            </w:r>
          </w:p>
        </w:tc>
      </w:tr>
      <w:tr>
        <w:tc>
          <w:tcPr>
            <w:tcW w:type="dxa" w:w="480"/>
            <w:tcBorders>
              <w:top w:val="single" w:color="D5D8DC" w:sz="1"/>
              <w:left w:val="single" w:color="D5D8DC" w:sz="1"/>
              <w:bottom w:val="single" w:color="D5D8DC" w:sz="1"/>
              <w:right w:val="single" w:color="D5D8DC" w:sz="1"/>
            </w:tcBorders>
            <w:shd w:fill="1F3864" w:val="clear"/>
            <w:tcMar>
              <w:top w:type="dxa" w:w="90"/>
              <w:left w:type="dxa" w:w="150"/>
              <w:bottom w:type="dxa" w:w="90"/>
              <w:right w:type="dxa" w:w="100"/>
            </w:tcMar>
            <w:vAlign w:val="top"/>
          </w:tcPr>
          <w:p>
            <w:pPr>
              <w:spacing w:before="0" w:after="0"/>
              <w:jc w:val="center"/>
            </w:pPr>
            <w:r>
              <w:rPr>
                <w:rFonts w:ascii="Arial" w:cs="Arial" w:eastAsia="Arial" w:hAnsi="Arial"/>
                <w:b/>
                <w:bCs/>
                <w:color w:val="FFFFFF"/>
                <w:sz w:val="20"/>
                <w:szCs w:val="20"/>
              </w:rPr>
              <w:t xml:space="preserve">1</w:t>
            </w:r>
          </w:p>
        </w:tc>
        <w:tc>
          <w:tcPr>
            <w:tcW w:type="dxa" w:w="1900"/>
            <w:tcBorders>
              <w:top w:val="single" w:color="D5D8DC" w:sz="1"/>
              <w:left w:val="single" w:color="D5D8DC" w:sz="1"/>
              <w:bottom w:val="single" w:color="D5D8DC" w:sz="1"/>
              <w:right w:val="single" w:color="D5D8DC" w:sz="1"/>
            </w:tcBorders>
            <w:shd w:fill="FFFFFF" w:val="clear"/>
            <w:tcMar>
              <w:top w:type="dxa" w:w="90"/>
              <w:left w:type="dxa" w:w="150"/>
              <w:bottom w:type="dxa" w:w="90"/>
              <w:right w:type="dxa" w:w="100"/>
            </w:tcMar>
            <w:vAlign w:val="top"/>
          </w:tcPr>
          <w:p>
            <w:pPr>
              <w:spacing w:before="0" w:after="0"/>
              <w:jc w:val="left"/>
            </w:pPr>
            <w:r>
              <w:rPr>
                <w:rFonts w:ascii="Arial" w:cs="Arial" w:eastAsia="Arial" w:hAnsi="Arial"/>
                <w:b/>
                <w:bCs/>
                <w:color w:val="1A1A1A"/>
                <w:sz w:val="20"/>
                <w:szCs w:val="20"/>
              </w:rPr>
              <w:t xml:space="preserve">Data Preparation</w:t>
            </w:r>
          </w:p>
        </w:tc>
        <w:tc>
          <w:tcPr>
            <w:tcW w:type="dxa" w:w="3780"/>
            <w:tcBorders>
              <w:top w:val="single" w:color="D5D8DC" w:sz="1"/>
              <w:left w:val="single" w:color="D5D8DC" w:sz="1"/>
              <w:bottom w:val="single" w:color="D5D8DC" w:sz="1"/>
              <w:right w:val="single" w:color="D5D8DC" w:sz="1"/>
            </w:tcBorders>
            <w:shd w:fill="F4F6F7" w:val="clear"/>
            <w:tcMar>
              <w:top w:type="dxa" w:w="90"/>
              <w:left w:type="dxa" w:w="150"/>
              <w:bottom w:type="dxa" w:w="90"/>
              <w:right w:type="dxa" w:w="100"/>
            </w:tcMar>
            <w:vAlign w:val="top"/>
          </w:tcPr>
          <w:p>
            <w:pPr>
              <w:spacing w:before="0" w:after="0"/>
              <w:jc w:val="left"/>
            </w:pPr>
            <w:r>
              <w:rPr>
                <w:rFonts w:ascii="Arial" w:cs="Arial" w:eastAsia="Arial" w:hAnsi="Arial"/>
                <w:b w:val="false"/>
                <w:bCs w:val="false"/>
                <w:color w:val="1A1A1A"/>
                <w:sz w:val="20"/>
                <w:szCs w:val="20"/>
              </w:rPr>
              <w:t xml:space="preserve">Remove ID column. Remap undocumented EDUCATION codes (0,5,6 → 4) and MARRIAGE code (0 → 3). Cast all numerical columns to numeric dtype. Remove duplicate header row. Verify DEFAULT_NEXT_MONTH is integer 0/1.</w:t>
            </w:r>
          </w:p>
        </w:tc>
        <w:tc>
          <w:tcPr>
            <w:tcW w:type="dxa" w:w="3200"/>
            <w:tcBorders>
              <w:top w:val="single" w:color="D5D8DC" w:sz="1"/>
              <w:left w:val="single" w:color="D5D8DC" w:sz="1"/>
              <w:bottom w:val="single" w:color="D5D8DC" w:sz="1"/>
              <w:right w:val="single" w:color="D5D8DC" w:sz="1"/>
            </w:tcBorders>
            <w:shd w:fill="FFFFFF" w:val="clear"/>
            <w:tcMar>
              <w:top w:type="dxa" w:w="90"/>
              <w:left w:type="dxa" w:w="150"/>
              <w:bottom w:type="dxa" w:w="90"/>
              <w:right w:type="dxa" w:w="100"/>
            </w:tcMar>
            <w:vAlign w:val="top"/>
          </w:tcPr>
          <w:p>
            <w:pPr>
              <w:spacing w:before="0" w:after="0"/>
              <w:jc w:val="left"/>
            </w:pPr>
            <w:r>
              <w:rPr>
                <w:rFonts w:ascii="Arial" w:cs="Arial" w:eastAsia="Arial" w:hAnsi="Arial"/>
                <w:b w:val="false"/>
                <w:bCs w:val="false"/>
                <w:color w:val="1A1A1A"/>
                <w:sz w:val="20"/>
                <w:szCs w:val="20"/>
              </w:rPr>
              <w:t xml:space="preserve">df.isnull().sum() == 0. df.dtypes confirms numerics. Target value_counts() shows only 0 and 1.</w:t>
            </w:r>
          </w:p>
        </w:tc>
      </w:tr>
      <w:tr>
        <w:tc>
          <w:tcPr>
            <w:tcW w:type="dxa" w:w="480"/>
            <w:tcBorders>
              <w:top w:val="single" w:color="D5D8DC" w:sz="1"/>
              <w:left w:val="single" w:color="D5D8DC" w:sz="1"/>
              <w:bottom w:val="single" w:color="D5D8DC" w:sz="1"/>
              <w:right w:val="single" w:color="D5D8DC" w:sz="1"/>
            </w:tcBorders>
            <w:shd w:fill="1F3864" w:val="clear"/>
            <w:tcMar>
              <w:top w:type="dxa" w:w="90"/>
              <w:left w:type="dxa" w:w="150"/>
              <w:bottom w:type="dxa" w:w="90"/>
              <w:right w:type="dxa" w:w="100"/>
            </w:tcMar>
            <w:vAlign w:val="top"/>
          </w:tcPr>
          <w:p>
            <w:pPr>
              <w:spacing w:before="0" w:after="0"/>
              <w:jc w:val="center"/>
            </w:pPr>
            <w:r>
              <w:rPr>
                <w:rFonts w:ascii="Arial" w:cs="Arial" w:eastAsia="Arial" w:hAnsi="Arial"/>
                <w:b/>
                <w:bCs/>
                <w:color w:val="FFFFFF"/>
                <w:sz w:val="20"/>
                <w:szCs w:val="20"/>
              </w:rPr>
              <w:t xml:space="preserve">2</w:t>
            </w:r>
          </w:p>
        </w:tc>
        <w:tc>
          <w:tcPr>
            <w:tcW w:type="dxa" w:w="1900"/>
            <w:tcBorders>
              <w:top w:val="single" w:color="D5D8DC" w:sz="1"/>
              <w:left w:val="single" w:color="D5D8DC" w:sz="1"/>
              <w:bottom w:val="single" w:color="D5D8DC" w:sz="1"/>
              <w:right w:val="single" w:color="D5D8DC" w:sz="1"/>
            </w:tcBorders>
            <w:shd w:fill="FFFFFF" w:val="clear"/>
            <w:tcMar>
              <w:top w:type="dxa" w:w="90"/>
              <w:left w:type="dxa" w:w="150"/>
              <w:bottom w:type="dxa" w:w="90"/>
              <w:right w:type="dxa" w:w="100"/>
            </w:tcMar>
            <w:vAlign w:val="top"/>
          </w:tcPr>
          <w:p>
            <w:pPr>
              <w:spacing w:before="0" w:after="0"/>
              <w:jc w:val="left"/>
            </w:pPr>
            <w:r>
              <w:rPr>
                <w:rFonts w:ascii="Arial" w:cs="Arial" w:eastAsia="Arial" w:hAnsi="Arial"/>
                <w:b/>
                <w:bCs/>
                <w:color w:val="1A1A1A"/>
                <w:sz w:val="20"/>
                <w:szCs w:val="20"/>
              </w:rPr>
              <w:t xml:space="preserve">Train / Test Split</w:t>
            </w:r>
          </w:p>
        </w:tc>
        <w:tc>
          <w:tcPr>
            <w:tcW w:type="dxa" w:w="3780"/>
            <w:tcBorders>
              <w:top w:val="single" w:color="D5D8DC" w:sz="1"/>
              <w:left w:val="single" w:color="D5D8DC" w:sz="1"/>
              <w:bottom w:val="single" w:color="D5D8DC" w:sz="1"/>
              <w:right w:val="single" w:color="D5D8DC" w:sz="1"/>
            </w:tcBorders>
            <w:shd w:fill="F4F6F7" w:val="clear"/>
            <w:tcMar>
              <w:top w:type="dxa" w:w="90"/>
              <w:left w:type="dxa" w:w="150"/>
              <w:bottom w:type="dxa" w:w="90"/>
              <w:right w:type="dxa" w:w="100"/>
            </w:tcMar>
            <w:vAlign w:val="top"/>
          </w:tcPr>
          <w:p>
            <w:pPr>
              <w:spacing w:before="0" w:after="0"/>
              <w:jc w:val="left"/>
            </w:pPr>
            <w:r>
              <w:rPr>
                <w:rFonts w:ascii="Arial" w:cs="Arial" w:eastAsia="Arial" w:hAnsi="Arial"/>
                <w:b w:val="false"/>
                <w:bCs w:val="false"/>
                <w:color w:val="1A1A1A"/>
                <w:sz w:val="20"/>
                <w:szCs w:val="20"/>
              </w:rPr>
              <w:t xml:space="preserve">Stratified 80/20 split preserving default rate. Fix random seed. All subsequent steps fitted on training set only.</w:t>
            </w:r>
          </w:p>
        </w:tc>
        <w:tc>
          <w:tcPr>
            <w:tcW w:type="dxa" w:w="3200"/>
            <w:tcBorders>
              <w:top w:val="single" w:color="D5D8DC" w:sz="1"/>
              <w:left w:val="single" w:color="D5D8DC" w:sz="1"/>
              <w:bottom w:val="single" w:color="D5D8DC" w:sz="1"/>
              <w:right w:val="single" w:color="D5D8DC" w:sz="1"/>
            </w:tcBorders>
            <w:shd w:fill="FFFFFF" w:val="clear"/>
            <w:tcMar>
              <w:top w:type="dxa" w:w="90"/>
              <w:left w:type="dxa" w:w="150"/>
              <w:bottom w:type="dxa" w:w="90"/>
              <w:right w:type="dxa" w:w="100"/>
            </w:tcMar>
            <w:vAlign w:val="top"/>
          </w:tcPr>
          <w:p>
            <w:pPr>
              <w:spacing w:before="0" w:after="0"/>
              <w:jc w:val="left"/>
            </w:pPr>
            <w:r>
              <w:rPr>
                <w:rFonts w:ascii="Arial" w:cs="Arial" w:eastAsia="Arial" w:hAnsi="Arial"/>
                <w:b w:val="false"/>
                <w:bCs w:val="false"/>
                <w:color w:val="1A1A1A"/>
                <w:sz w:val="20"/>
                <w:szCs w:val="20"/>
              </w:rPr>
              <w:t xml:space="preserve">Check: y_train.mean() ≈ y_test.mean() ≈ 0.221. Confirm no observation overlap between sets.</w:t>
            </w:r>
          </w:p>
        </w:tc>
      </w:tr>
      <w:tr>
        <w:tc>
          <w:tcPr>
            <w:tcW w:type="dxa" w:w="480"/>
            <w:tcBorders>
              <w:top w:val="single" w:color="D5D8DC" w:sz="1"/>
              <w:left w:val="single" w:color="D5D8DC" w:sz="1"/>
              <w:bottom w:val="single" w:color="D5D8DC" w:sz="1"/>
              <w:right w:val="single" w:color="D5D8DC" w:sz="1"/>
            </w:tcBorders>
            <w:shd w:fill="1F3864" w:val="clear"/>
            <w:tcMar>
              <w:top w:type="dxa" w:w="90"/>
              <w:left w:type="dxa" w:w="150"/>
              <w:bottom w:type="dxa" w:w="90"/>
              <w:right w:type="dxa" w:w="100"/>
            </w:tcMar>
            <w:vAlign w:val="top"/>
          </w:tcPr>
          <w:p>
            <w:pPr>
              <w:spacing w:before="0" w:after="0"/>
              <w:jc w:val="center"/>
            </w:pPr>
            <w:r>
              <w:rPr>
                <w:rFonts w:ascii="Arial" w:cs="Arial" w:eastAsia="Arial" w:hAnsi="Arial"/>
                <w:b/>
                <w:bCs/>
                <w:color w:val="FFFFFF"/>
                <w:sz w:val="20"/>
                <w:szCs w:val="20"/>
              </w:rPr>
              <w:t xml:space="preserve">3</w:t>
            </w:r>
          </w:p>
        </w:tc>
        <w:tc>
          <w:tcPr>
            <w:tcW w:type="dxa" w:w="1900"/>
            <w:tcBorders>
              <w:top w:val="single" w:color="D5D8DC" w:sz="1"/>
              <w:left w:val="single" w:color="D5D8DC" w:sz="1"/>
              <w:bottom w:val="single" w:color="D5D8DC" w:sz="1"/>
              <w:right w:val="single" w:color="D5D8DC" w:sz="1"/>
            </w:tcBorders>
            <w:shd w:fill="FFFFFF" w:val="clear"/>
            <w:tcMar>
              <w:top w:type="dxa" w:w="90"/>
              <w:left w:type="dxa" w:w="150"/>
              <w:bottom w:type="dxa" w:w="90"/>
              <w:right w:type="dxa" w:w="100"/>
            </w:tcMar>
            <w:vAlign w:val="top"/>
          </w:tcPr>
          <w:p>
            <w:pPr>
              <w:spacing w:before="0" w:after="0"/>
              <w:jc w:val="left"/>
            </w:pPr>
            <w:r>
              <w:rPr>
                <w:rFonts w:ascii="Arial" w:cs="Arial" w:eastAsia="Arial" w:hAnsi="Arial"/>
                <w:b/>
                <w:bCs/>
                <w:color w:val="1A1A1A"/>
                <w:sz w:val="20"/>
                <w:szCs w:val="20"/>
              </w:rPr>
              <w:t xml:space="preserve">Outlier Treatment</w:t>
            </w:r>
          </w:p>
        </w:tc>
        <w:tc>
          <w:tcPr>
            <w:tcW w:type="dxa" w:w="3780"/>
            <w:tcBorders>
              <w:top w:val="single" w:color="D5D8DC" w:sz="1"/>
              <w:left w:val="single" w:color="D5D8DC" w:sz="1"/>
              <w:bottom w:val="single" w:color="D5D8DC" w:sz="1"/>
              <w:right w:val="single" w:color="D5D8DC" w:sz="1"/>
            </w:tcBorders>
            <w:shd w:fill="F4F6F7" w:val="clear"/>
            <w:tcMar>
              <w:top w:type="dxa" w:w="90"/>
              <w:left w:type="dxa" w:w="150"/>
              <w:bottom w:type="dxa" w:w="90"/>
              <w:right w:type="dxa" w:w="100"/>
            </w:tcMar>
            <w:vAlign w:val="top"/>
          </w:tcPr>
          <w:p>
            <w:pPr>
              <w:spacing w:before="0" w:after="0"/>
              <w:jc w:val="left"/>
            </w:pPr>
            <w:r>
              <w:rPr>
                <w:rFonts w:ascii="Arial" w:cs="Arial" w:eastAsia="Arial" w:hAnsi="Arial"/>
                <w:b w:val="false"/>
                <w:bCs w:val="false"/>
                <w:color w:val="1A1A1A"/>
                <w:sz w:val="20"/>
                <w:szCs w:val="20"/>
              </w:rPr>
              <w:t xml:space="preserve">Fit Winsorization thresholds (1st and 99th percentile) on training set for LIMIT_BAL, BILL_AMT1–6, PAY_AMT1–6. Apply same thresholds to test set. Preserve negatives in BILL_AMT.</w:t>
            </w:r>
          </w:p>
        </w:tc>
        <w:tc>
          <w:tcPr>
            <w:tcW w:type="dxa" w:w="3200"/>
            <w:tcBorders>
              <w:top w:val="single" w:color="D5D8DC" w:sz="1"/>
              <w:left w:val="single" w:color="D5D8DC" w:sz="1"/>
              <w:bottom w:val="single" w:color="D5D8DC" w:sz="1"/>
              <w:right w:val="single" w:color="D5D8DC" w:sz="1"/>
            </w:tcBorders>
            <w:shd w:fill="FFFFFF" w:val="clear"/>
            <w:tcMar>
              <w:top w:type="dxa" w:w="90"/>
              <w:left w:type="dxa" w:w="150"/>
              <w:bottom w:type="dxa" w:w="90"/>
              <w:right w:type="dxa" w:w="100"/>
            </w:tcMar>
            <w:vAlign w:val="top"/>
          </w:tcPr>
          <w:p>
            <w:pPr>
              <w:spacing w:before="0" w:after="0"/>
              <w:jc w:val="left"/>
            </w:pPr>
            <w:r>
              <w:rPr>
                <w:rFonts w:ascii="Arial" w:cs="Arial" w:eastAsia="Arial" w:hAnsi="Arial"/>
                <w:b w:val="false"/>
                <w:bCs w:val="false"/>
                <w:color w:val="1A1A1A"/>
                <w:sz w:val="20"/>
                <w:szCs w:val="20"/>
              </w:rPr>
              <w:t xml:space="preserve">Boxplots before/after. Confirm distribution shape preserved. Max values capped at training 99th pct.</w:t>
            </w:r>
          </w:p>
        </w:tc>
      </w:tr>
      <w:tr>
        <w:tc>
          <w:tcPr>
            <w:tcW w:type="dxa" w:w="480"/>
            <w:tcBorders>
              <w:top w:val="single" w:color="D5D8DC" w:sz="1"/>
              <w:left w:val="single" w:color="D5D8DC" w:sz="1"/>
              <w:bottom w:val="single" w:color="D5D8DC" w:sz="1"/>
              <w:right w:val="single" w:color="D5D8DC" w:sz="1"/>
            </w:tcBorders>
            <w:shd w:fill="1F3864" w:val="clear"/>
            <w:tcMar>
              <w:top w:type="dxa" w:w="90"/>
              <w:left w:type="dxa" w:w="150"/>
              <w:bottom w:type="dxa" w:w="90"/>
              <w:right w:type="dxa" w:w="100"/>
            </w:tcMar>
            <w:vAlign w:val="top"/>
          </w:tcPr>
          <w:p>
            <w:pPr>
              <w:spacing w:before="0" w:after="0"/>
              <w:jc w:val="center"/>
            </w:pPr>
            <w:r>
              <w:rPr>
                <w:rFonts w:ascii="Arial" w:cs="Arial" w:eastAsia="Arial" w:hAnsi="Arial"/>
                <w:b/>
                <w:bCs/>
                <w:color w:val="FFFFFF"/>
                <w:sz w:val="20"/>
                <w:szCs w:val="20"/>
              </w:rPr>
              <w:t xml:space="preserve">4</w:t>
            </w:r>
          </w:p>
        </w:tc>
        <w:tc>
          <w:tcPr>
            <w:tcW w:type="dxa" w:w="1900"/>
            <w:tcBorders>
              <w:top w:val="single" w:color="D5D8DC" w:sz="1"/>
              <w:left w:val="single" w:color="D5D8DC" w:sz="1"/>
              <w:bottom w:val="single" w:color="D5D8DC" w:sz="1"/>
              <w:right w:val="single" w:color="D5D8DC" w:sz="1"/>
            </w:tcBorders>
            <w:shd w:fill="FFFFFF" w:val="clear"/>
            <w:tcMar>
              <w:top w:type="dxa" w:w="90"/>
              <w:left w:type="dxa" w:w="150"/>
              <w:bottom w:type="dxa" w:w="90"/>
              <w:right w:type="dxa" w:w="100"/>
            </w:tcMar>
            <w:vAlign w:val="top"/>
          </w:tcPr>
          <w:p>
            <w:pPr>
              <w:spacing w:before="0" w:after="0"/>
              <w:jc w:val="left"/>
            </w:pPr>
            <w:r>
              <w:rPr>
                <w:rFonts w:ascii="Arial" w:cs="Arial" w:eastAsia="Arial" w:hAnsi="Arial"/>
                <w:b/>
                <w:bCs/>
                <w:color w:val="1A1A1A"/>
                <w:sz w:val="20"/>
                <w:szCs w:val="20"/>
              </w:rPr>
              <w:t xml:space="preserve">Behavioural Feature Engineering</w:t>
            </w:r>
          </w:p>
        </w:tc>
        <w:tc>
          <w:tcPr>
            <w:tcW w:type="dxa" w:w="3780"/>
            <w:tcBorders>
              <w:top w:val="single" w:color="D5D8DC" w:sz="1"/>
              <w:left w:val="single" w:color="D5D8DC" w:sz="1"/>
              <w:bottom w:val="single" w:color="D5D8DC" w:sz="1"/>
              <w:right w:val="single" w:color="D5D8DC" w:sz="1"/>
            </w:tcBorders>
            <w:shd w:fill="F4F6F7" w:val="clear"/>
            <w:tcMar>
              <w:top w:type="dxa" w:w="90"/>
              <w:left w:type="dxa" w:w="150"/>
              <w:bottom w:type="dxa" w:w="90"/>
              <w:right w:type="dxa" w:w="100"/>
            </w:tcMar>
            <w:vAlign w:val="top"/>
          </w:tcPr>
          <w:p>
            <w:pPr>
              <w:spacing w:before="0" w:after="0"/>
              <w:jc w:val="left"/>
            </w:pPr>
            <w:r>
              <w:rPr>
                <w:rFonts w:ascii="Arial" w:cs="Arial" w:eastAsia="Arial" w:hAnsi="Arial"/>
                <w:b w:val="false"/>
                <w:bCs w:val="false"/>
                <w:color w:val="1A1A1A"/>
                <w:sz w:val="20"/>
                <w:szCs w:val="20"/>
              </w:rPr>
              <w:t xml:space="preserve">Create: PAY_BILL_RATIO_1–6, AVG_PAY_BILL_RATIO, MAX_DELAY, NUM_DELAYS, EVER_DELINQUENT, CONSEC_DELAYS, DELAY_ACCELERATION, NUM_ZERO_PAYMENTS, PAYMENT_RECENCY_RATIO.</w:t>
            </w:r>
          </w:p>
        </w:tc>
        <w:tc>
          <w:tcPr>
            <w:tcW w:type="dxa" w:w="3200"/>
            <w:tcBorders>
              <w:top w:val="single" w:color="D5D8DC" w:sz="1"/>
              <w:left w:val="single" w:color="D5D8DC" w:sz="1"/>
              <w:bottom w:val="single" w:color="D5D8DC" w:sz="1"/>
              <w:right w:val="single" w:color="D5D8DC" w:sz="1"/>
            </w:tcBorders>
            <w:shd w:fill="FFFFFF" w:val="clear"/>
            <w:tcMar>
              <w:top w:type="dxa" w:w="90"/>
              <w:left w:type="dxa" w:w="150"/>
              <w:bottom w:type="dxa" w:w="90"/>
              <w:right w:type="dxa" w:w="100"/>
            </w:tcMar>
            <w:vAlign w:val="top"/>
          </w:tcPr>
          <w:p>
            <w:pPr>
              <w:spacing w:before="0" w:after="0"/>
              <w:jc w:val="left"/>
            </w:pPr>
            <w:r>
              <w:rPr>
                <w:rFonts w:ascii="Arial" w:cs="Arial" w:eastAsia="Arial" w:hAnsi="Arial"/>
                <w:b w:val="false"/>
                <w:bCs w:val="false"/>
                <w:color w:val="1A1A1A"/>
                <w:sz w:val="20"/>
                <w:szCs w:val="20"/>
              </w:rPr>
              <w:t xml:space="preserve">Verify no NaN from division by zero (PAY_BILL_RATIO where BILL_AMT=0). Check IV of each engineered feature &gt; 0.10 for behavioural vars.</w:t>
            </w:r>
          </w:p>
        </w:tc>
      </w:tr>
      <w:tr>
        <w:tc>
          <w:tcPr>
            <w:tcW w:type="dxa" w:w="480"/>
            <w:tcBorders>
              <w:top w:val="single" w:color="D5D8DC" w:sz="1"/>
              <w:left w:val="single" w:color="D5D8DC" w:sz="1"/>
              <w:bottom w:val="single" w:color="D5D8DC" w:sz="1"/>
              <w:right w:val="single" w:color="D5D8DC" w:sz="1"/>
            </w:tcBorders>
            <w:shd w:fill="1F3864" w:val="clear"/>
            <w:tcMar>
              <w:top w:type="dxa" w:w="90"/>
              <w:left w:type="dxa" w:w="150"/>
              <w:bottom w:type="dxa" w:w="90"/>
              <w:right w:type="dxa" w:w="100"/>
            </w:tcMar>
            <w:vAlign w:val="top"/>
          </w:tcPr>
          <w:p>
            <w:pPr>
              <w:spacing w:before="0" w:after="0"/>
              <w:jc w:val="center"/>
            </w:pPr>
            <w:r>
              <w:rPr>
                <w:rFonts w:ascii="Arial" w:cs="Arial" w:eastAsia="Arial" w:hAnsi="Arial"/>
                <w:b/>
                <w:bCs/>
                <w:color w:val="FFFFFF"/>
                <w:sz w:val="20"/>
                <w:szCs w:val="20"/>
              </w:rPr>
              <w:t xml:space="preserve">5</w:t>
            </w:r>
          </w:p>
        </w:tc>
        <w:tc>
          <w:tcPr>
            <w:tcW w:type="dxa" w:w="1900"/>
            <w:tcBorders>
              <w:top w:val="single" w:color="D5D8DC" w:sz="1"/>
              <w:left w:val="single" w:color="D5D8DC" w:sz="1"/>
              <w:bottom w:val="single" w:color="D5D8DC" w:sz="1"/>
              <w:right w:val="single" w:color="D5D8DC" w:sz="1"/>
            </w:tcBorders>
            <w:shd w:fill="FFFFFF" w:val="clear"/>
            <w:tcMar>
              <w:top w:type="dxa" w:w="90"/>
              <w:left w:type="dxa" w:w="150"/>
              <w:bottom w:type="dxa" w:w="90"/>
              <w:right w:type="dxa" w:w="100"/>
            </w:tcMar>
            <w:vAlign w:val="top"/>
          </w:tcPr>
          <w:p>
            <w:pPr>
              <w:spacing w:before="0" w:after="0"/>
              <w:jc w:val="left"/>
            </w:pPr>
            <w:r>
              <w:rPr>
                <w:rFonts w:ascii="Arial" w:cs="Arial" w:eastAsia="Arial" w:hAnsi="Arial"/>
                <w:b/>
                <w:bCs/>
                <w:color w:val="1A1A1A"/>
                <w:sz w:val="20"/>
                <w:szCs w:val="20"/>
              </w:rPr>
              <w:t xml:space="preserve">Exposure Feature Engineering</w:t>
            </w:r>
          </w:p>
        </w:tc>
        <w:tc>
          <w:tcPr>
            <w:tcW w:type="dxa" w:w="3780"/>
            <w:tcBorders>
              <w:top w:val="single" w:color="D5D8DC" w:sz="1"/>
              <w:left w:val="single" w:color="D5D8DC" w:sz="1"/>
              <w:bottom w:val="single" w:color="D5D8DC" w:sz="1"/>
              <w:right w:val="single" w:color="D5D8DC" w:sz="1"/>
            </w:tcBorders>
            <w:shd w:fill="F4F6F7" w:val="clear"/>
            <w:tcMar>
              <w:top w:type="dxa" w:w="90"/>
              <w:left w:type="dxa" w:w="150"/>
              <w:bottom w:type="dxa" w:w="90"/>
              <w:right w:type="dxa" w:w="100"/>
            </w:tcMar>
            <w:vAlign w:val="top"/>
          </w:tcPr>
          <w:p>
            <w:pPr>
              <w:spacing w:before="0" w:after="0"/>
              <w:jc w:val="left"/>
            </w:pPr>
            <w:r>
              <w:rPr>
                <w:rFonts w:ascii="Arial" w:cs="Arial" w:eastAsia="Arial" w:hAnsi="Arial"/>
                <w:b w:val="false"/>
                <w:bCs w:val="false"/>
                <w:color w:val="1A1A1A"/>
                <w:sz w:val="20"/>
                <w:szCs w:val="20"/>
              </w:rPr>
              <w:t xml:space="preserve">Create: AVG_BILL_AMT, BILL_GROWTH, UTILIZATION_RATIO (AVG_BILL_AMT / LIMIT_BAL), LOG_LIMIT_BAL.</w:t>
            </w:r>
          </w:p>
        </w:tc>
        <w:tc>
          <w:tcPr>
            <w:tcW w:type="dxa" w:w="3200"/>
            <w:tcBorders>
              <w:top w:val="single" w:color="D5D8DC" w:sz="1"/>
              <w:left w:val="single" w:color="D5D8DC" w:sz="1"/>
              <w:bottom w:val="single" w:color="D5D8DC" w:sz="1"/>
              <w:right w:val="single" w:color="D5D8DC" w:sz="1"/>
            </w:tcBorders>
            <w:shd w:fill="FFFFFF" w:val="clear"/>
            <w:tcMar>
              <w:top w:type="dxa" w:w="90"/>
              <w:left w:type="dxa" w:w="150"/>
              <w:bottom w:type="dxa" w:w="90"/>
              <w:right w:type="dxa" w:w="100"/>
            </w:tcMar>
            <w:vAlign w:val="top"/>
          </w:tcPr>
          <w:p>
            <w:pPr>
              <w:spacing w:before="0" w:after="0"/>
              <w:jc w:val="left"/>
            </w:pPr>
            <w:r>
              <w:rPr>
                <w:rFonts w:ascii="Arial" w:cs="Arial" w:eastAsia="Arial" w:hAnsi="Arial"/>
                <w:b w:val="false"/>
                <w:bCs w:val="false"/>
                <w:color w:val="1A1A1A"/>
                <w:sz w:val="20"/>
                <w:szCs w:val="20"/>
              </w:rPr>
              <w:t xml:space="preserve">Confirm UTILIZATION_RATIO range [0, 1+]. Check correlation: AVG_BILL_AMT should correlate &lt; 0.90 with BILL_AMT1.</w:t>
            </w:r>
          </w:p>
        </w:tc>
      </w:tr>
      <w:tr>
        <w:tc>
          <w:tcPr>
            <w:tcW w:type="dxa" w:w="480"/>
            <w:tcBorders>
              <w:top w:val="single" w:color="D5D8DC" w:sz="1"/>
              <w:left w:val="single" w:color="D5D8DC" w:sz="1"/>
              <w:bottom w:val="single" w:color="D5D8DC" w:sz="1"/>
              <w:right w:val="single" w:color="D5D8DC" w:sz="1"/>
            </w:tcBorders>
            <w:shd w:fill="1F3864" w:val="clear"/>
            <w:tcMar>
              <w:top w:type="dxa" w:w="90"/>
              <w:left w:type="dxa" w:w="150"/>
              <w:bottom w:type="dxa" w:w="90"/>
              <w:right w:type="dxa" w:w="100"/>
            </w:tcMar>
            <w:vAlign w:val="top"/>
          </w:tcPr>
          <w:p>
            <w:pPr>
              <w:spacing w:before="0" w:after="0"/>
              <w:jc w:val="center"/>
            </w:pPr>
            <w:r>
              <w:rPr>
                <w:rFonts w:ascii="Arial" w:cs="Arial" w:eastAsia="Arial" w:hAnsi="Arial"/>
                <w:b/>
                <w:bCs/>
                <w:color w:val="FFFFFF"/>
                <w:sz w:val="20"/>
                <w:szCs w:val="20"/>
              </w:rPr>
              <w:t xml:space="preserve">6</w:t>
            </w:r>
          </w:p>
        </w:tc>
        <w:tc>
          <w:tcPr>
            <w:tcW w:type="dxa" w:w="1900"/>
            <w:tcBorders>
              <w:top w:val="single" w:color="D5D8DC" w:sz="1"/>
              <w:left w:val="single" w:color="D5D8DC" w:sz="1"/>
              <w:bottom w:val="single" w:color="D5D8DC" w:sz="1"/>
              <w:right w:val="single" w:color="D5D8DC" w:sz="1"/>
            </w:tcBorders>
            <w:shd w:fill="FFFFFF" w:val="clear"/>
            <w:tcMar>
              <w:top w:type="dxa" w:w="90"/>
              <w:left w:type="dxa" w:w="150"/>
              <w:bottom w:type="dxa" w:w="90"/>
              <w:right w:type="dxa" w:w="100"/>
            </w:tcMar>
            <w:vAlign w:val="top"/>
          </w:tcPr>
          <w:p>
            <w:pPr>
              <w:spacing w:before="0" w:after="0"/>
              <w:jc w:val="left"/>
            </w:pPr>
            <w:r>
              <w:rPr>
                <w:rFonts w:ascii="Arial" w:cs="Arial" w:eastAsia="Arial" w:hAnsi="Arial"/>
                <w:b/>
                <w:bCs/>
                <w:color w:val="1A1A1A"/>
                <w:sz w:val="20"/>
                <w:szCs w:val="20"/>
              </w:rPr>
              <w:t xml:space="preserve">Composite Score Engineering</w:t>
            </w:r>
          </w:p>
        </w:tc>
        <w:tc>
          <w:tcPr>
            <w:tcW w:type="dxa" w:w="3780"/>
            <w:tcBorders>
              <w:top w:val="single" w:color="D5D8DC" w:sz="1"/>
              <w:left w:val="single" w:color="D5D8DC" w:sz="1"/>
              <w:bottom w:val="single" w:color="D5D8DC" w:sz="1"/>
              <w:right w:val="single" w:color="D5D8DC" w:sz="1"/>
            </w:tcBorders>
            <w:shd w:fill="F4F6F7" w:val="clear"/>
            <w:tcMar>
              <w:top w:type="dxa" w:w="90"/>
              <w:left w:type="dxa" w:w="150"/>
              <w:bottom w:type="dxa" w:w="90"/>
              <w:right w:type="dxa" w:w="100"/>
            </w:tcMar>
            <w:vAlign w:val="top"/>
          </w:tcPr>
          <w:p>
            <w:pPr>
              <w:spacing w:before="0" w:after="0"/>
              <w:jc w:val="left"/>
            </w:pPr>
            <w:r>
              <w:rPr>
                <w:rFonts w:ascii="Arial" w:cs="Arial" w:eastAsia="Arial" w:hAnsi="Arial"/>
                <w:b w:val="false"/>
                <w:bCs w:val="false"/>
                <w:color w:val="1A1A1A"/>
                <w:sz w:val="20"/>
                <w:szCs w:val="20"/>
              </w:rPr>
              <w:t xml:space="preserve">Create: REPAYMENT_CAPACITY_SCORE, FINANCIAL_STRESS_INDEX. Validate distributions are sensible (no inf/NaN). Confirm correlation with target is in expected direction.</w:t>
            </w:r>
          </w:p>
        </w:tc>
        <w:tc>
          <w:tcPr>
            <w:tcW w:type="dxa" w:w="3200"/>
            <w:tcBorders>
              <w:top w:val="single" w:color="D5D8DC" w:sz="1"/>
              <w:left w:val="single" w:color="D5D8DC" w:sz="1"/>
              <w:bottom w:val="single" w:color="D5D8DC" w:sz="1"/>
              <w:right w:val="single" w:color="D5D8DC" w:sz="1"/>
            </w:tcBorders>
            <w:shd w:fill="FFFFFF" w:val="clear"/>
            <w:tcMar>
              <w:top w:type="dxa" w:w="90"/>
              <w:left w:type="dxa" w:w="150"/>
              <w:bottom w:type="dxa" w:w="90"/>
              <w:right w:type="dxa" w:w="100"/>
            </w:tcMar>
            <w:vAlign w:val="top"/>
          </w:tcPr>
          <w:p>
            <w:pPr>
              <w:spacing w:before="0" w:after="0"/>
              <w:jc w:val="left"/>
            </w:pPr>
            <w:r>
              <w:rPr>
                <w:rFonts w:ascii="Arial" w:cs="Arial" w:eastAsia="Arial" w:hAnsi="Arial"/>
                <w:b w:val="false"/>
                <w:bCs w:val="false"/>
                <w:color w:val="1A1A1A"/>
                <w:sz w:val="20"/>
                <w:szCs w:val="20"/>
              </w:rPr>
              <w:t xml:space="preserve">Pointbiserial correlation with DEFAULT_NEXT_MONTH. REPAYMENT_CAPACITY_SCORE should be negative (higher score = lower risk).</w:t>
            </w:r>
          </w:p>
        </w:tc>
      </w:tr>
      <w:tr>
        <w:tc>
          <w:tcPr>
            <w:tcW w:type="dxa" w:w="480"/>
            <w:tcBorders>
              <w:top w:val="single" w:color="D5D8DC" w:sz="1"/>
              <w:left w:val="single" w:color="D5D8DC" w:sz="1"/>
              <w:bottom w:val="single" w:color="D5D8DC" w:sz="1"/>
              <w:right w:val="single" w:color="D5D8DC" w:sz="1"/>
            </w:tcBorders>
            <w:shd w:fill="1F3864" w:val="clear"/>
            <w:tcMar>
              <w:top w:type="dxa" w:w="90"/>
              <w:left w:type="dxa" w:w="150"/>
              <w:bottom w:type="dxa" w:w="90"/>
              <w:right w:type="dxa" w:w="100"/>
            </w:tcMar>
            <w:vAlign w:val="top"/>
          </w:tcPr>
          <w:p>
            <w:pPr>
              <w:spacing w:before="0" w:after="0"/>
              <w:jc w:val="center"/>
            </w:pPr>
            <w:r>
              <w:rPr>
                <w:rFonts w:ascii="Arial" w:cs="Arial" w:eastAsia="Arial" w:hAnsi="Arial"/>
                <w:b/>
                <w:bCs/>
                <w:color w:val="FFFFFF"/>
                <w:sz w:val="20"/>
                <w:szCs w:val="20"/>
              </w:rPr>
              <w:t xml:space="preserve">7</w:t>
            </w:r>
          </w:p>
        </w:tc>
        <w:tc>
          <w:tcPr>
            <w:tcW w:type="dxa" w:w="1900"/>
            <w:tcBorders>
              <w:top w:val="single" w:color="D5D8DC" w:sz="1"/>
              <w:left w:val="single" w:color="D5D8DC" w:sz="1"/>
              <w:bottom w:val="single" w:color="D5D8DC" w:sz="1"/>
              <w:right w:val="single" w:color="D5D8DC" w:sz="1"/>
            </w:tcBorders>
            <w:shd w:fill="FFFFFF" w:val="clear"/>
            <w:tcMar>
              <w:top w:type="dxa" w:w="90"/>
              <w:left w:type="dxa" w:w="150"/>
              <w:bottom w:type="dxa" w:w="90"/>
              <w:right w:type="dxa" w:w="100"/>
            </w:tcMar>
            <w:vAlign w:val="top"/>
          </w:tcPr>
          <w:p>
            <w:pPr>
              <w:spacing w:before="0" w:after="0"/>
              <w:jc w:val="left"/>
            </w:pPr>
            <w:r>
              <w:rPr>
                <w:rFonts w:ascii="Arial" w:cs="Arial" w:eastAsia="Arial" w:hAnsi="Arial"/>
                <w:b/>
                <w:bCs/>
                <w:color w:val="1A1A1A"/>
                <w:sz w:val="20"/>
                <w:szCs w:val="20"/>
              </w:rPr>
              <w:t xml:space="preserve">Redundancy Reduction</w:t>
            </w:r>
          </w:p>
        </w:tc>
        <w:tc>
          <w:tcPr>
            <w:tcW w:type="dxa" w:w="3780"/>
            <w:tcBorders>
              <w:top w:val="single" w:color="D5D8DC" w:sz="1"/>
              <w:left w:val="single" w:color="D5D8DC" w:sz="1"/>
              <w:bottom w:val="single" w:color="D5D8DC" w:sz="1"/>
              <w:right w:val="single" w:color="D5D8DC" w:sz="1"/>
            </w:tcBorders>
            <w:shd w:fill="F4F6F7" w:val="clear"/>
            <w:tcMar>
              <w:top w:type="dxa" w:w="90"/>
              <w:left w:type="dxa" w:w="150"/>
              <w:bottom w:type="dxa" w:w="90"/>
              <w:right w:type="dxa" w:w="100"/>
            </w:tcMar>
            <w:vAlign w:val="top"/>
          </w:tcPr>
          <w:p>
            <w:pPr>
              <w:spacing w:before="0" w:after="0"/>
              <w:jc w:val="left"/>
            </w:pPr>
            <w:r>
              <w:rPr>
                <w:rFonts w:ascii="Arial" w:cs="Arial" w:eastAsia="Arial" w:hAnsi="Arial"/>
                <w:b w:val="false"/>
                <w:bCs w:val="false"/>
                <w:color w:val="1A1A1A"/>
                <w:sz w:val="20"/>
                <w:szCs w:val="20"/>
              </w:rPr>
              <w:t xml:space="preserve">Drop BILL_AMT2–5 (replaced by AVG_BILL_AMT and BILL_GROWTH). Drop PAY_AMT2–6 if NUM_ZERO_PAYMENTS and AVG_PAY_BILL_RATIO are retained. Run VIF — confirm all VIF &lt; 10 for LR feature set.</w:t>
            </w:r>
          </w:p>
        </w:tc>
        <w:tc>
          <w:tcPr>
            <w:tcW w:type="dxa" w:w="3200"/>
            <w:tcBorders>
              <w:top w:val="single" w:color="D5D8DC" w:sz="1"/>
              <w:left w:val="single" w:color="D5D8DC" w:sz="1"/>
              <w:bottom w:val="single" w:color="D5D8DC" w:sz="1"/>
              <w:right w:val="single" w:color="D5D8DC" w:sz="1"/>
            </w:tcBorders>
            <w:shd w:fill="FFFFFF" w:val="clear"/>
            <w:tcMar>
              <w:top w:type="dxa" w:w="90"/>
              <w:left w:type="dxa" w:w="150"/>
              <w:bottom w:type="dxa" w:w="90"/>
              <w:right w:type="dxa" w:w="100"/>
            </w:tcMar>
            <w:vAlign w:val="top"/>
          </w:tcPr>
          <w:p>
            <w:pPr>
              <w:spacing w:before="0" w:after="0"/>
              <w:jc w:val="left"/>
            </w:pPr>
            <w:r>
              <w:rPr>
                <w:rFonts w:ascii="Arial" w:cs="Arial" w:eastAsia="Arial" w:hAnsi="Arial"/>
                <w:b w:val="false"/>
                <w:bCs w:val="false"/>
                <w:color w:val="1A1A1A"/>
                <w:sz w:val="20"/>
                <w:szCs w:val="20"/>
              </w:rPr>
              <w:t xml:space="preserve">VIF table for final LR feature set. All values &lt; 10. Feature count for LR ≤ 25.</w:t>
            </w:r>
          </w:p>
        </w:tc>
      </w:tr>
      <w:tr>
        <w:tc>
          <w:tcPr>
            <w:tcW w:type="dxa" w:w="480"/>
            <w:tcBorders>
              <w:top w:val="single" w:color="D5D8DC" w:sz="1"/>
              <w:left w:val="single" w:color="D5D8DC" w:sz="1"/>
              <w:bottom w:val="single" w:color="D5D8DC" w:sz="1"/>
              <w:right w:val="single" w:color="D5D8DC" w:sz="1"/>
            </w:tcBorders>
            <w:shd w:fill="1F3864" w:val="clear"/>
            <w:tcMar>
              <w:top w:type="dxa" w:w="90"/>
              <w:left w:type="dxa" w:w="150"/>
              <w:bottom w:type="dxa" w:w="90"/>
              <w:right w:type="dxa" w:w="100"/>
            </w:tcMar>
            <w:vAlign w:val="top"/>
          </w:tcPr>
          <w:p>
            <w:pPr>
              <w:spacing w:before="0" w:after="0"/>
              <w:jc w:val="center"/>
            </w:pPr>
            <w:r>
              <w:rPr>
                <w:rFonts w:ascii="Arial" w:cs="Arial" w:eastAsia="Arial" w:hAnsi="Arial"/>
                <w:b/>
                <w:bCs/>
                <w:color w:val="FFFFFF"/>
                <w:sz w:val="20"/>
                <w:szCs w:val="20"/>
              </w:rPr>
              <w:t xml:space="preserve">8</w:t>
            </w:r>
          </w:p>
        </w:tc>
        <w:tc>
          <w:tcPr>
            <w:tcW w:type="dxa" w:w="1900"/>
            <w:tcBorders>
              <w:top w:val="single" w:color="D5D8DC" w:sz="1"/>
              <w:left w:val="single" w:color="D5D8DC" w:sz="1"/>
              <w:bottom w:val="single" w:color="D5D8DC" w:sz="1"/>
              <w:right w:val="single" w:color="D5D8DC" w:sz="1"/>
            </w:tcBorders>
            <w:shd w:fill="FFFFFF" w:val="clear"/>
            <w:tcMar>
              <w:top w:type="dxa" w:w="90"/>
              <w:left w:type="dxa" w:w="150"/>
              <w:bottom w:type="dxa" w:w="90"/>
              <w:right w:type="dxa" w:w="100"/>
            </w:tcMar>
            <w:vAlign w:val="top"/>
          </w:tcPr>
          <w:p>
            <w:pPr>
              <w:spacing w:before="0" w:after="0"/>
              <w:jc w:val="left"/>
            </w:pPr>
            <w:r>
              <w:rPr>
                <w:rFonts w:ascii="Arial" w:cs="Arial" w:eastAsia="Arial" w:hAnsi="Arial"/>
                <w:b/>
                <w:bCs/>
                <w:color w:val="1A1A1A"/>
                <w:sz w:val="20"/>
                <w:szCs w:val="20"/>
              </w:rPr>
              <w:t xml:space="preserve">Log Transformations</w:t>
            </w:r>
          </w:p>
        </w:tc>
        <w:tc>
          <w:tcPr>
            <w:tcW w:type="dxa" w:w="3780"/>
            <w:tcBorders>
              <w:top w:val="single" w:color="D5D8DC" w:sz="1"/>
              <w:left w:val="single" w:color="D5D8DC" w:sz="1"/>
              <w:bottom w:val="single" w:color="D5D8DC" w:sz="1"/>
              <w:right w:val="single" w:color="D5D8DC" w:sz="1"/>
            </w:tcBorders>
            <w:shd w:fill="F4F6F7" w:val="clear"/>
            <w:tcMar>
              <w:top w:type="dxa" w:w="90"/>
              <w:left w:type="dxa" w:w="150"/>
              <w:bottom w:type="dxa" w:w="90"/>
              <w:right w:type="dxa" w:w="100"/>
            </w:tcMar>
            <w:vAlign w:val="top"/>
          </w:tcPr>
          <w:p>
            <w:pPr>
              <w:spacing w:before="0" w:after="0"/>
              <w:jc w:val="left"/>
            </w:pPr>
            <w:r>
              <w:rPr>
                <w:rFonts w:ascii="Arial" w:cs="Arial" w:eastAsia="Arial" w:hAnsi="Arial"/>
                <w:b w:val="false"/>
                <w:bCs w:val="false"/>
                <w:color w:val="1A1A1A"/>
                <w:sz w:val="20"/>
                <w:szCs w:val="20"/>
              </w:rPr>
              <w:t xml:space="preserve">Apply log(x+1) to LIMIT_BAL, AVG_BILL_AMT, PAY_AMT1. Apply signed-log to BILL_AMT1, BILL_GROWTH where negative values exist.</w:t>
            </w:r>
          </w:p>
        </w:tc>
        <w:tc>
          <w:tcPr>
            <w:tcW w:type="dxa" w:w="3200"/>
            <w:tcBorders>
              <w:top w:val="single" w:color="D5D8DC" w:sz="1"/>
              <w:left w:val="single" w:color="D5D8DC" w:sz="1"/>
              <w:bottom w:val="single" w:color="D5D8DC" w:sz="1"/>
              <w:right w:val="single" w:color="D5D8DC" w:sz="1"/>
            </w:tcBorders>
            <w:shd w:fill="FFFFFF" w:val="clear"/>
            <w:tcMar>
              <w:top w:type="dxa" w:w="90"/>
              <w:left w:type="dxa" w:w="150"/>
              <w:bottom w:type="dxa" w:w="90"/>
              <w:right w:type="dxa" w:w="100"/>
            </w:tcMar>
            <w:vAlign w:val="top"/>
          </w:tcPr>
          <w:p>
            <w:pPr>
              <w:spacing w:before="0" w:after="0"/>
              <w:jc w:val="left"/>
            </w:pPr>
            <w:r>
              <w:rPr>
                <w:rFonts w:ascii="Arial" w:cs="Arial" w:eastAsia="Arial" w:hAnsi="Arial"/>
                <w:b w:val="false"/>
                <w:bCs w:val="false"/>
                <w:color w:val="1A1A1A"/>
                <w:sz w:val="20"/>
                <w:szCs w:val="20"/>
              </w:rPr>
              <w:t xml:space="preserve">Compare skewness before/after. Ideal: |skewness| &lt; 1.0 post-transform.</w:t>
            </w:r>
          </w:p>
        </w:tc>
      </w:tr>
      <w:tr>
        <w:tc>
          <w:tcPr>
            <w:tcW w:type="dxa" w:w="480"/>
            <w:tcBorders>
              <w:top w:val="single" w:color="D5D8DC" w:sz="1"/>
              <w:left w:val="single" w:color="D5D8DC" w:sz="1"/>
              <w:bottom w:val="single" w:color="D5D8DC" w:sz="1"/>
              <w:right w:val="single" w:color="D5D8DC" w:sz="1"/>
            </w:tcBorders>
            <w:shd w:fill="1F3864" w:val="clear"/>
            <w:tcMar>
              <w:top w:type="dxa" w:w="90"/>
              <w:left w:type="dxa" w:w="150"/>
              <w:bottom w:type="dxa" w:w="90"/>
              <w:right w:type="dxa" w:w="100"/>
            </w:tcMar>
            <w:vAlign w:val="top"/>
          </w:tcPr>
          <w:p>
            <w:pPr>
              <w:spacing w:before="0" w:after="0"/>
              <w:jc w:val="center"/>
            </w:pPr>
            <w:r>
              <w:rPr>
                <w:rFonts w:ascii="Arial" w:cs="Arial" w:eastAsia="Arial" w:hAnsi="Arial"/>
                <w:b/>
                <w:bCs/>
                <w:color w:val="FFFFFF"/>
                <w:sz w:val="20"/>
                <w:szCs w:val="20"/>
              </w:rPr>
              <w:t xml:space="preserve">9</w:t>
            </w:r>
          </w:p>
        </w:tc>
        <w:tc>
          <w:tcPr>
            <w:tcW w:type="dxa" w:w="1900"/>
            <w:tcBorders>
              <w:top w:val="single" w:color="D5D8DC" w:sz="1"/>
              <w:left w:val="single" w:color="D5D8DC" w:sz="1"/>
              <w:bottom w:val="single" w:color="D5D8DC" w:sz="1"/>
              <w:right w:val="single" w:color="D5D8DC" w:sz="1"/>
            </w:tcBorders>
            <w:shd w:fill="FFFFFF" w:val="clear"/>
            <w:tcMar>
              <w:top w:type="dxa" w:w="90"/>
              <w:left w:type="dxa" w:w="150"/>
              <w:bottom w:type="dxa" w:w="90"/>
              <w:right w:type="dxa" w:w="100"/>
            </w:tcMar>
            <w:vAlign w:val="top"/>
          </w:tcPr>
          <w:p>
            <w:pPr>
              <w:spacing w:before="0" w:after="0"/>
              <w:jc w:val="left"/>
            </w:pPr>
            <w:r>
              <w:rPr>
                <w:rFonts w:ascii="Arial" w:cs="Arial" w:eastAsia="Arial" w:hAnsi="Arial"/>
                <w:b/>
                <w:bCs/>
                <w:color w:val="1A1A1A"/>
                <w:sz w:val="20"/>
                <w:szCs w:val="20"/>
              </w:rPr>
              <w:t xml:space="preserve">WOE Binning &amp; Encoding</w:t>
            </w:r>
          </w:p>
        </w:tc>
        <w:tc>
          <w:tcPr>
            <w:tcW w:type="dxa" w:w="3780"/>
            <w:tcBorders>
              <w:top w:val="single" w:color="D5D8DC" w:sz="1"/>
              <w:left w:val="single" w:color="D5D8DC" w:sz="1"/>
              <w:bottom w:val="single" w:color="D5D8DC" w:sz="1"/>
              <w:right w:val="single" w:color="D5D8DC" w:sz="1"/>
            </w:tcBorders>
            <w:shd w:fill="F4F6F7" w:val="clear"/>
            <w:tcMar>
              <w:top w:type="dxa" w:w="90"/>
              <w:left w:type="dxa" w:w="150"/>
              <w:bottom w:type="dxa" w:w="90"/>
              <w:right w:type="dxa" w:w="100"/>
            </w:tcMar>
            <w:vAlign w:val="top"/>
          </w:tcPr>
          <w:p>
            <w:pPr>
              <w:spacing w:before="0" w:after="0"/>
              <w:jc w:val="left"/>
            </w:pPr>
            <w:r>
              <w:rPr>
                <w:rFonts w:ascii="Arial" w:cs="Arial" w:eastAsia="Arial" w:hAnsi="Arial"/>
                <w:b w:val="false"/>
                <w:bCs w:val="false"/>
                <w:color w:val="1A1A1A"/>
                <w:sz w:val="20"/>
                <w:szCs w:val="20"/>
              </w:rPr>
              <w:t xml:space="preserve">[LR only] Fine class (20 bins) → Coarse class → WOE encode: PAY_0, PAY_2, MAX_DELAY, NUM_DELAYS, LOG_LIMIT_BAL, UTILIZATION_RATIO, AVG_PAY_BILL_RATIO, EDUCATION, MARRIAGE, AGE_BAND. Fit on training set only.</w:t>
            </w:r>
          </w:p>
        </w:tc>
        <w:tc>
          <w:tcPr>
            <w:tcW w:type="dxa" w:w="3200"/>
            <w:tcBorders>
              <w:top w:val="single" w:color="D5D8DC" w:sz="1"/>
              <w:left w:val="single" w:color="D5D8DC" w:sz="1"/>
              <w:bottom w:val="single" w:color="D5D8DC" w:sz="1"/>
              <w:right w:val="single" w:color="D5D8DC" w:sz="1"/>
            </w:tcBorders>
            <w:shd w:fill="FFFFFF" w:val="clear"/>
            <w:tcMar>
              <w:top w:type="dxa" w:w="90"/>
              <w:left w:type="dxa" w:w="150"/>
              <w:bottom w:type="dxa" w:w="90"/>
              <w:right w:type="dxa" w:w="100"/>
            </w:tcMar>
            <w:vAlign w:val="top"/>
          </w:tcPr>
          <w:p>
            <w:pPr>
              <w:spacing w:before="0" w:after="0"/>
              <w:jc w:val="left"/>
            </w:pPr>
            <w:r>
              <w:rPr>
                <w:rFonts w:ascii="Arial" w:cs="Arial" w:eastAsia="Arial" w:hAnsi="Arial"/>
                <w:b w:val="false"/>
                <w:bCs w:val="false"/>
                <w:color w:val="1A1A1A"/>
                <w:sz w:val="20"/>
                <w:szCs w:val="20"/>
              </w:rPr>
              <w:t xml:space="preserve">IV for all WOE features. Monotonicity check. Minimum events per bin check. Store bin boundaries as production artifacts.</w:t>
            </w:r>
          </w:p>
        </w:tc>
      </w:tr>
      <w:tr>
        <w:tc>
          <w:tcPr>
            <w:tcW w:type="dxa" w:w="480"/>
            <w:tcBorders>
              <w:top w:val="single" w:color="D5D8DC" w:sz="1"/>
              <w:left w:val="single" w:color="D5D8DC" w:sz="1"/>
              <w:bottom w:val="single" w:color="D5D8DC" w:sz="1"/>
              <w:right w:val="single" w:color="D5D8DC" w:sz="1"/>
            </w:tcBorders>
            <w:shd w:fill="1F3864" w:val="clear"/>
            <w:tcMar>
              <w:top w:type="dxa" w:w="90"/>
              <w:left w:type="dxa" w:w="150"/>
              <w:bottom w:type="dxa" w:w="90"/>
              <w:right w:type="dxa" w:w="100"/>
            </w:tcMar>
            <w:vAlign w:val="top"/>
          </w:tcPr>
          <w:p>
            <w:pPr>
              <w:spacing w:before="0" w:after="0"/>
              <w:jc w:val="center"/>
            </w:pPr>
            <w:r>
              <w:rPr>
                <w:rFonts w:ascii="Arial" w:cs="Arial" w:eastAsia="Arial" w:hAnsi="Arial"/>
                <w:b/>
                <w:bCs/>
                <w:color w:val="FFFFFF"/>
                <w:sz w:val="20"/>
                <w:szCs w:val="20"/>
              </w:rPr>
              <w:t xml:space="preserve">10</w:t>
            </w:r>
          </w:p>
        </w:tc>
        <w:tc>
          <w:tcPr>
            <w:tcW w:type="dxa" w:w="1900"/>
            <w:tcBorders>
              <w:top w:val="single" w:color="D5D8DC" w:sz="1"/>
              <w:left w:val="single" w:color="D5D8DC" w:sz="1"/>
              <w:bottom w:val="single" w:color="D5D8DC" w:sz="1"/>
              <w:right w:val="single" w:color="D5D8DC" w:sz="1"/>
            </w:tcBorders>
            <w:shd w:fill="FFFFFF" w:val="clear"/>
            <w:tcMar>
              <w:top w:type="dxa" w:w="90"/>
              <w:left w:type="dxa" w:w="150"/>
              <w:bottom w:type="dxa" w:w="90"/>
              <w:right w:type="dxa" w:w="100"/>
            </w:tcMar>
            <w:vAlign w:val="top"/>
          </w:tcPr>
          <w:p>
            <w:pPr>
              <w:spacing w:before="0" w:after="0"/>
              <w:jc w:val="left"/>
            </w:pPr>
            <w:r>
              <w:rPr>
                <w:rFonts w:ascii="Arial" w:cs="Arial" w:eastAsia="Arial" w:hAnsi="Arial"/>
                <w:b/>
                <w:bCs/>
                <w:color w:val="1A1A1A"/>
                <w:sz w:val="20"/>
                <w:szCs w:val="20"/>
              </w:rPr>
              <w:t xml:space="preserve">Scaling (LR only)</w:t>
            </w:r>
          </w:p>
        </w:tc>
        <w:tc>
          <w:tcPr>
            <w:tcW w:type="dxa" w:w="3780"/>
            <w:tcBorders>
              <w:top w:val="single" w:color="D5D8DC" w:sz="1"/>
              <w:left w:val="single" w:color="D5D8DC" w:sz="1"/>
              <w:bottom w:val="single" w:color="D5D8DC" w:sz="1"/>
              <w:right w:val="single" w:color="D5D8DC" w:sz="1"/>
            </w:tcBorders>
            <w:shd w:fill="F4F6F7" w:val="clear"/>
            <w:tcMar>
              <w:top w:type="dxa" w:w="90"/>
              <w:left w:type="dxa" w:w="150"/>
              <w:bottom w:type="dxa" w:w="90"/>
              <w:right w:type="dxa" w:w="100"/>
            </w:tcMar>
            <w:vAlign w:val="top"/>
          </w:tcPr>
          <w:p>
            <w:pPr>
              <w:spacing w:before="0" w:after="0"/>
              <w:jc w:val="left"/>
            </w:pPr>
            <w:r>
              <w:rPr>
                <w:rFonts w:ascii="Arial" w:cs="Arial" w:eastAsia="Arial" w:hAnsi="Arial"/>
                <w:b w:val="false"/>
                <w:bCs w:val="false"/>
                <w:color w:val="1A1A1A"/>
                <w:sz w:val="20"/>
                <w:szCs w:val="20"/>
              </w:rPr>
              <w:t xml:space="preserve">Fit StandardScaler on WOE-encoded training features. Apply to validation/test. Not required for XGBoost/RF.</w:t>
            </w:r>
          </w:p>
        </w:tc>
        <w:tc>
          <w:tcPr>
            <w:tcW w:type="dxa" w:w="3200"/>
            <w:tcBorders>
              <w:top w:val="single" w:color="D5D8DC" w:sz="1"/>
              <w:left w:val="single" w:color="D5D8DC" w:sz="1"/>
              <w:bottom w:val="single" w:color="D5D8DC" w:sz="1"/>
              <w:right w:val="single" w:color="D5D8DC" w:sz="1"/>
            </w:tcBorders>
            <w:shd w:fill="FFFFFF" w:val="clear"/>
            <w:tcMar>
              <w:top w:type="dxa" w:w="90"/>
              <w:left w:type="dxa" w:w="150"/>
              <w:bottom w:type="dxa" w:w="90"/>
              <w:right w:type="dxa" w:w="100"/>
            </w:tcMar>
            <w:vAlign w:val="top"/>
          </w:tcPr>
          <w:p>
            <w:pPr>
              <w:spacing w:before="0" w:after="0"/>
              <w:jc w:val="left"/>
            </w:pPr>
            <w:r>
              <w:rPr>
                <w:rFonts w:ascii="Arial" w:cs="Arial" w:eastAsia="Arial" w:hAnsi="Arial"/>
                <w:b w:val="false"/>
                <w:bCs w:val="false"/>
                <w:color w:val="1A1A1A"/>
                <w:sz w:val="20"/>
                <w:szCs w:val="20"/>
              </w:rPr>
              <w:t xml:space="preserve">Confirm mean ≈ 0, std ≈ 1 for all scaled features on training set.</w:t>
            </w:r>
          </w:p>
        </w:tc>
      </w:tr>
      <w:tr>
        <w:tc>
          <w:tcPr>
            <w:tcW w:type="dxa" w:w="480"/>
            <w:tcBorders>
              <w:top w:val="single" w:color="D5D8DC" w:sz="1"/>
              <w:left w:val="single" w:color="D5D8DC" w:sz="1"/>
              <w:bottom w:val="single" w:color="D5D8DC" w:sz="1"/>
              <w:right w:val="single" w:color="D5D8DC" w:sz="1"/>
            </w:tcBorders>
            <w:shd w:fill="1F3864" w:val="clear"/>
            <w:tcMar>
              <w:top w:type="dxa" w:w="90"/>
              <w:left w:type="dxa" w:w="150"/>
              <w:bottom w:type="dxa" w:w="90"/>
              <w:right w:type="dxa" w:w="100"/>
            </w:tcMar>
            <w:vAlign w:val="top"/>
          </w:tcPr>
          <w:p>
            <w:pPr>
              <w:spacing w:before="0" w:after="0"/>
              <w:jc w:val="center"/>
            </w:pPr>
            <w:r>
              <w:rPr>
                <w:rFonts w:ascii="Arial" w:cs="Arial" w:eastAsia="Arial" w:hAnsi="Arial"/>
                <w:b/>
                <w:bCs/>
                <w:color w:val="FFFFFF"/>
                <w:sz w:val="20"/>
                <w:szCs w:val="20"/>
              </w:rPr>
              <w:t xml:space="preserve">11</w:t>
            </w:r>
          </w:p>
        </w:tc>
        <w:tc>
          <w:tcPr>
            <w:tcW w:type="dxa" w:w="1900"/>
            <w:tcBorders>
              <w:top w:val="single" w:color="D5D8DC" w:sz="1"/>
              <w:left w:val="single" w:color="D5D8DC" w:sz="1"/>
              <w:bottom w:val="single" w:color="D5D8DC" w:sz="1"/>
              <w:right w:val="single" w:color="D5D8DC" w:sz="1"/>
            </w:tcBorders>
            <w:shd w:fill="FFFFFF" w:val="clear"/>
            <w:tcMar>
              <w:top w:type="dxa" w:w="90"/>
              <w:left w:type="dxa" w:w="150"/>
              <w:bottom w:type="dxa" w:w="90"/>
              <w:right w:type="dxa" w:w="100"/>
            </w:tcMar>
            <w:vAlign w:val="top"/>
          </w:tcPr>
          <w:p>
            <w:pPr>
              <w:spacing w:before="0" w:after="0"/>
              <w:jc w:val="left"/>
            </w:pPr>
            <w:r>
              <w:rPr>
                <w:rFonts w:ascii="Arial" w:cs="Arial" w:eastAsia="Arial" w:hAnsi="Arial"/>
                <w:b/>
                <w:bCs/>
                <w:color w:val="1A1A1A"/>
                <w:sz w:val="20"/>
                <w:szCs w:val="20"/>
              </w:rPr>
              <w:t xml:space="preserve">IV Final Audit</w:t>
            </w:r>
          </w:p>
        </w:tc>
        <w:tc>
          <w:tcPr>
            <w:tcW w:type="dxa" w:w="3780"/>
            <w:tcBorders>
              <w:top w:val="single" w:color="D5D8DC" w:sz="1"/>
              <w:left w:val="single" w:color="D5D8DC" w:sz="1"/>
              <w:bottom w:val="single" w:color="D5D8DC" w:sz="1"/>
              <w:right w:val="single" w:color="D5D8DC" w:sz="1"/>
            </w:tcBorders>
            <w:shd w:fill="F4F6F7" w:val="clear"/>
            <w:tcMar>
              <w:top w:type="dxa" w:w="90"/>
              <w:left w:type="dxa" w:w="150"/>
              <w:bottom w:type="dxa" w:w="90"/>
              <w:right w:type="dxa" w:w="100"/>
            </w:tcMar>
            <w:vAlign w:val="top"/>
          </w:tcPr>
          <w:p>
            <w:pPr>
              <w:spacing w:before="0" w:after="0"/>
              <w:jc w:val="left"/>
            </w:pPr>
            <w:r>
              <w:rPr>
                <w:rFonts w:ascii="Arial" w:cs="Arial" w:eastAsia="Arial" w:hAnsi="Arial"/>
                <w:b w:val="false"/>
                <w:bCs w:val="false"/>
                <w:color w:val="1A1A1A"/>
                <w:sz w:val="20"/>
                <w:szCs w:val="20"/>
              </w:rPr>
              <w:t xml:space="preserve">Compute final IV for all candidate features. Remove features with IV &lt; 0.02. Flag features with IV &gt; 0.50 for leakage investigation.</w:t>
            </w:r>
          </w:p>
        </w:tc>
        <w:tc>
          <w:tcPr>
            <w:tcW w:type="dxa" w:w="3200"/>
            <w:tcBorders>
              <w:top w:val="single" w:color="D5D8DC" w:sz="1"/>
              <w:left w:val="single" w:color="D5D8DC" w:sz="1"/>
              <w:bottom w:val="single" w:color="D5D8DC" w:sz="1"/>
              <w:right w:val="single" w:color="D5D8DC" w:sz="1"/>
            </w:tcBorders>
            <w:shd w:fill="FFFFFF" w:val="clear"/>
            <w:tcMar>
              <w:top w:type="dxa" w:w="90"/>
              <w:left w:type="dxa" w:w="150"/>
              <w:bottom w:type="dxa" w:w="90"/>
              <w:right w:type="dxa" w:w="100"/>
            </w:tcMar>
            <w:vAlign w:val="top"/>
          </w:tcPr>
          <w:p>
            <w:pPr>
              <w:spacing w:before="0" w:after="0"/>
              <w:jc w:val="left"/>
            </w:pPr>
            <w:r>
              <w:rPr>
                <w:rFonts w:ascii="Arial" w:cs="Arial" w:eastAsia="Arial" w:hAnsi="Arial"/>
                <w:b w:val="false"/>
                <w:bCs w:val="false"/>
                <w:color w:val="1A1A1A"/>
                <w:sz w:val="20"/>
                <w:szCs w:val="20"/>
              </w:rPr>
              <w:t xml:space="preserve">IV ranking table. Features below threshold excluded. Leakage suspects investigated and documented.</w:t>
            </w:r>
          </w:p>
        </w:tc>
      </w:tr>
      <w:tr>
        <w:tc>
          <w:tcPr>
            <w:tcW w:type="dxa" w:w="480"/>
            <w:tcBorders>
              <w:top w:val="single" w:color="D5D8DC" w:sz="1"/>
              <w:left w:val="single" w:color="D5D8DC" w:sz="1"/>
              <w:bottom w:val="single" w:color="D5D8DC" w:sz="1"/>
              <w:right w:val="single" w:color="D5D8DC" w:sz="1"/>
            </w:tcBorders>
            <w:shd w:fill="1F3864" w:val="clear"/>
            <w:tcMar>
              <w:top w:type="dxa" w:w="90"/>
              <w:left w:type="dxa" w:w="150"/>
              <w:bottom w:type="dxa" w:w="90"/>
              <w:right w:type="dxa" w:w="100"/>
            </w:tcMar>
            <w:vAlign w:val="top"/>
          </w:tcPr>
          <w:p>
            <w:pPr>
              <w:spacing w:before="0" w:after="0"/>
              <w:jc w:val="center"/>
            </w:pPr>
            <w:r>
              <w:rPr>
                <w:rFonts w:ascii="Arial" w:cs="Arial" w:eastAsia="Arial" w:hAnsi="Arial"/>
                <w:b/>
                <w:bCs/>
                <w:color w:val="FFFFFF"/>
                <w:sz w:val="20"/>
                <w:szCs w:val="20"/>
              </w:rPr>
              <w:t xml:space="preserve">12</w:t>
            </w:r>
          </w:p>
        </w:tc>
        <w:tc>
          <w:tcPr>
            <w:tcW w:type="dxa" w:w="1900"/>
            <w:tcBorders>
              <w:top w:val="single" w:color="D5D8DC" w:sz="1"/>
              <w:left w:val="single" w:color="D5D8DC" w:sz="1"/>
              <w:bottom w:val="single" w:color="D5D8DC" w:sz="1"/>
              <w:right w:val="single" w:color="D5D8DC" w:sz="1"/>
            </w:tcBorders>
            <w:shd w:fill="FFFFFF" w:val="clear"/>
            <w:tcMar>
              <w:top w:type="dxa" w:w="90"/>
              <w:left w:type="dxa" w:w="150"/>
              <w:bottom w:type="dxa" w:w="90"/>
              <w:right w:type="dxa" w:w="100"/>
            </w:tcMar>
            <w:vAlign w:val="top"/>
          </w:tcPr>
          <w:p>
            <w:pPr>
              <w:spacing w:before="0" w:after="0"/>
              <w:jc w:val="left"/>
            </w:pPr>
            <w:r>
              <w:rPr>
                <w:rFonts w:ascii="Arial" w:cs="Arial" w:eastAsia="Arial" w:hAnsi="Arial"/>
                <w:b/>
                <w:bCs/>
                <w:color w:val="1A1A1A"/>
                <w:sz w:val="20"/>
                <w:szCs w:val="20"/>
              </w:rPr>
              <w:t xml:space="preserve">Class Imbalance Handling</w:t>
            </w:r>
          </w:p>
        </w:tc>
        <w:tc>
          <w:tcPr>
            <w:tcW w:type="dxa" w:w="3780"/>
            <w:tcBorders>
              <w:top w:val="single" w:color="D5D8DC" w:sz="1"/>
              <w:left w:val="single" w:color="D5D8DC" w:sz="1"/>
              <w:bottom w:val="single" w:color="D5D8DC" w:sz="1"/>
              <w:right w:val="single" w:color="D5D8DC" w:sz="1"/>
            </w:tcBorders>
            <w:shd w:fill="F4F6F7" w:val="clear"/>
            <w:tcMar>
              <w:top w:type="dxa" w:w="90"/>
              <w:left w:type="dxa" w:w="150"/>
              <w:bottom w:type="dxa" w:w="90"/>
              <w:right w:type="dxa" w:w="100"/>
            </w:tcMar>
            <w:vAlign w:val="top"/>
          </w:tcPr>
          <w:p>
            <w:pPr>
              <w:spacing w:before="0" w:after="0"/>
              <w:jc w:val="left"/>
            </w:pPr>
            <w:r>
              <w:rPr>
                <w:rFonts w:ascii="Arial" w:cs="Arial" w:eastAsia="Arial" w:hAnsi="Arial"/>
                <w:b w:val="false"/>
                <w:bCs w:val="false"/>
                <w:color w:val="1A1A1A"/>
                <w:sz w:val="20"/>
                <w:szCs w:val="20"/>
              </w:rPr>
              <w:t xml:space="preserve">[Training set only] Apply class_weight="balanced" for LR/RF. For XGBoost: scale_pos_weight = 23364/6636 ≈ 3.52. If SMOTE used: apply after all encoding, on training fold only.</w:t>
            </w:r>
          </w:p>
        </w:tc>
        <w:tc>
          <w:tcPr>
            <w:tcW w:type="dxa" w:w="3200"/>
            <w:tcBorders>
              <w:top w:val="single" w:color="D5D8DC" w:sz="1"/>
              <w:left w:val="single" w:color="D5D8DC" w:sz="1"/>
              <w:bottom w:val="single" w:color="D5D8DC" w:sz="1"/>
              <w:right w:val="single" w:color="D5D8DC" w:sz="1"/>
            </w:tcBorders>
            <w:shd w:fill="FFFFFF" w:val="clear"/>
            <w:tcMar>
              <w:top w:type="dxa" w:w="90"/>
              <w:left w:type="dxa" w:w="150"/>
              <w:bottom w:type="dxa" w:w="90"/>
              <w:right w:type="dxa" w:w="100"/>
            </w:tcMar>
            <w:vAlign w:val="top"/>
          </w:tcPr>
          <w:p>
            <w:pPr>
              <w:spacing w:before="0" w:after="0"/>
              <w:jc w:val="left"/>
            </w:pPr>
            <w:r>
              <w:rPr>
                <w:rFonts w:ascii="Arial" w:cs="Arial" w:eastAsia="Arial" w:hAnsi="Arial"/>
                <w:b w:val="false"/>
                <w:bCs w:val="false"/>
                <w:color w:val="1A1A1A"/>
                <w:sz w:val="20"/>
                <w:szCs w:val="20"/>
              </w:rPr>
              <w:t xml:space="preserve">Confirm SMOTE is applied within CV folds, not to the full training set. Verify class balance post-SMOTE.</w:t>
            </w:r>
          </w:p>
        </w:tc>
      </w:tr>
      <w:tr>
        <w:tc>
          <w:tcPr>
            <w:tcW w:type="dxa" w:w="480"/>
            <w:tcBorders>
              <w:top w:val="single" w:color="D5D8DC" w:sz="1"/>
              <w:left w:val="single" w:color="D5D8DC" w:sz="1"/>
              <w:bottom w:val="single" w:color="D5D8DC" w:sz="1"/>
              <w:right w:val="single" w:color="D5D8DC" w:sz="1"/>
            </w:tcBorders>
            <w:shd w:fill="1F3864" w:val="clear"/>
            <w:tcMar>
              <w:top w:type="dxa" w:w="90"/>
              <w:left w:type="dxa" w:w="150"/>
              <w:bottom w:type="dxa" w:w="90"/>
              <w:right w:type="dxa" w:w="100"/>
            </w:tcMar>
            <w:vAlign w:val="top"/>
          </w:tcPr>
          <w:p>
            <w:pPr>
              <w:spacing w:before="0" w:after="0"/>
              <w:jc w:val="center"/>
            </w:pPr>
            <w:r>
              <w:rPr>
                <w:rFonts w:ascii="Arial" w:cs="Arial" w:eastAsia="Arial" w:hAnsi="Arial"/>
                <w:b/>
                <w:bCs/>
                <w:color w:val="FFFFFF"/>
                <w:sz w:val="20"/>
                <w:szCs w:val="20"/>
              </w:rPr>
              <w:t xml:space="preserve">13</w:t>
            </w:r>
          </w:p>
        </w:tc>
        <w:tc>
          <w:tcPr>
            <w:tcW w:type="dxa" w:w="1900"/>
            <w:tcBorders>
              <w:top w:val="single" w:color="D5D8DC" w:sz="1"/>
              <w:left w:val="single" w:color="D5D8DC" w:sz="1"/>
              <w:bottom w:val="single" w:color="D5D8DC" w:sz="1"/>
              <w:right w:val="single" w:color="D5D8DC" w:sz="1"/>
            </w:tcBorders>
            <w:shd w:fill="FFFFFF" w:val="clear"/>
            <w:tcMar>
              <w:top w:type="dxa" w:w="90"/>
              <w:left w:type="dxa" w:w="150"/>
              <w:bottom w:type="dxa" w:w="90"/>
              <w:right w:type="dxa" w:w="100"/>
            </w:tcMar>
            <w:vAlign w:val="top"/>
          </w:tcPr>
          <w:p>
            <w:pPr>
              <w:spacing w:before="0" w:after="0"/>
              <w:jc w:val="left"/>
            </w:pPr>
            <w:r>
              <w:rPr>
                <w:rFonts w:ascii="Arial" w:cs="Arial" w:eastAsia="Arial" w:hAnsi="Arial"/>
                <w:b/>
                <w:bCs/>
                <w:color w:val="1A1A1A"/>
                <w:sz w:val="20"/>
                <w:szCs w:val="20"/>
              </w:rPr>
              <w:t xml:space="preserve">Model Training &amp; Evaluation</w:t>
            </w:r>
          </w:p>
        </w:tc>
        <w:tc>
          <w:tcPr>
            <w:tcW w:type="dxa" w:w="3780"/>
            <w:tcBorders>
              <w:top w:val="single" w:color="D5D8DC" w:sz="1"/>
              <w:left w:val="single" w:color="D5D8DC" w:sz="1"/>
              <w:bottom w:val="single" w:color="D5D8DC" w:sz="1"/>
              <w:right w:val="single" w:color="D5D8DC" w:sz="1"/>
            </w:tcBorders>
            <w:shd w:fill="F4F6F7" w:val="clear"/>
            <w:tcMar>
              <w:top w:type="dxa" w:w="90"/>
              <w:left w:type="dxa" w:w="150"/>
              <w:bottom w:type="dxa" w:w="90"/>
              <w:right w:type="dxa" w:w="100"/>
            </w:tcMar>
            <w:vAlign w:val="top"/>
          </w:tcPr>
          <w:p>
            <w:pPr>
              <w:spacing w:before="0" w:after="0"/>
              <w:jc w:val="left"/>
            </w:pPr>
            <w:r>
              <w:rPr>
                <w:rFonts w:ascii="Arial" w:cs="Arial" w:eastAsia="Arial" w:hAnsi="Arial"/>
                <w:b w:val="false"/>
                <w:bCs w:val="false"/>
                <w:color w:val="1A1A1A"/>
                <w:sz w:val="20"/>
                <w:szCs w:val="20"/>
              </w:rPr>
              <w:t xml:space="preserve">Train: (A) LR scorecard with WOE features. (B) XGBoost with raw/log features. (C) Ensemble. Evaluate: AUC, KS, Gini, PR-AUC, Brier Score on hold-out test set.</w:t>
            </w:r>
          </w:p>
        </w:tc>
        <w:tc>
          <w:tcPr>
            <w:tcW w:type="dxa" w:w="3200"/>
            <w:tcBorders>
              <w:top w:val="single" w:color="D5D8DC" w:sz="1"/>
              <w:left w:val="single" w:color="D5D8DC" w:sz="1"/>
              <w:bottom w:val="single" w:color="D5D8DC" w:sz="1"/>
              <w:right w:val="single" w:color="D5D8DC" w:sz="1"/>
            </w:tcBorders>
            <w:shd w:fill="FFFFFF" w:val="clear"/>
            <w:tcMar>
              <w:top w:type="dxa" w:w="90"/>
              <w:left w:type="dxa" w:w="150"/>
              <w:bottom w:type="dxa" w:w="90"/>
              <w:right w:type="dxa" w:w="100"/>
            </w:tcMar>
            <w:vAlign w:val="top"/>
          </w:tcPr>
          <w:p>
            <w:pPr>
              <w:spacing w:before="0" w:after="0"/>
              <w:jc w:val="left"/>
            </w:pPr>
            <w:r>
              <w:rPr>
                <w:rFonts w:ascii="Arial" w:cs="Arial" w:eastAsia="Arial" w:hAnsi="Arial"/>
                <w:b w:val="false"/>
                <w:bCs w:val="false"/>
                <w:color w:val="1A1A1A"/>
                <w:sz w:val="20"/>
                <w:szCs w:val="20"/>
              </w:rPr>
              <w:t xml:space="preserve">Test set used ONCE. All hyperparameter tuning via CV on training set. No test-set peeking.</w:t>
            </w:r>
          </w:p>
        </w:tc>
      </w:tr>
      <w:tr>
        <w:tc>
          <w:tcPr>
            <w:tcW w:type="dxa" w:w="480"/>
            <w:tcBorders>
              <w:top w:val="single" w:color="D5D8DC" w:sz="1"/>
              <w:left w:val="single" w:color="D5D8DC" w:sz="1"/>
              <w:bottom w:val="single" w:color="D5D8DC" w:sz="1"/>
              <w:right w:val="single" w:color="D5D8DC" w:sz="1"/>
            </w:tcBorders>
            <w:shd w:fill="1F3864" w:val="clear"/>
            <w:tcMar>
              <w:top w:type="dxa" w:w="90"/>
              <w:left w:type="dxa" w:w="150"/>
              <w:bottom w:type="dxa" w:w="90"/>
              <w:right w:type="dxa" w:w="100"/>
            </w:tcMar>
            <w:vAlign w:val="top"/>
          </w:tcPr>
          <w:p>
            <w:pPr>
              <w:spacing w:before="0" w:after="0"/>
              <w:jc w:val="center"/>
            </w:pPr>
            <w:r>
              <w:rPr>
                <w:rFonts w:ascii="Arial" w:cs="Arial" w:eastAsia="Arial" w:hAnsi="Arial"/>
                <w:b/>
                <w:bCs/>
                <w:color w:val="FFFFFF"/>
                <w:sz w:val="20"/>
                <w:szCs w:val="20"/>
              </w:rPr>
              <w:t xml:space="preserve">14</w:t>
            </w:r>
          </w:p>
        </w:tc>
        <w:tc>
          <w:tcPr>
            <w:tcW w:type="dxa" w:w="1900"/>
            <w:tcBorders>
              <w:top w:val="single" w:color="D5D8DC" w:sz="1"/>
              <w:left w:val="single" w:color="D5D8DC" w:sz="1"/>
              <w:bottom w:val="single" w:color="D5D8DC" w:sz="1"/>
              <w:right w:val="single" w:color="D5D8DC" w:sz="1"/>
            </w:tcBorders>
            <w:shd w:fill="FFFFFF" w:val="clear"/>
            <w:tcMar>
              <w:top w:type="dxa" w:w="90"/>
              <w:left w:type="dxa" w:w="150"/>
              <w:bottom w:type="dxa" w:w="90"/>
              <w:right w:type="dxa" w:w="100"/>
            </w:tcMar>
            <w:vAlign w:val="top"/>
          </w:tcPr>
          <w:p>
            <w:pPr>
              <w:spacing w:before="0" w:after="0"/>
              <w:jc w:val="left"/>
            </w:pPr>
            <w:r>
              <w:rPr>
                <w:rFonts w:ascii="Arial" w:cs="Arial" w:eastAsia="Arial" w:hAnsi="Arial"/>
                <w:b/>
                <w:bCs/>
                <w:color w:val="1A1A1A"/>
                <w:sz w:val="20"/>
                <w:szCs w:val="20"/>
              </w:rPr>
              <w:t xml:space="preserve">SHAP Validation</w:t>
            </w:r>
          </w:p>
        </w:tc>
        <w:tc>
          <w:tcPr>
            <w:tcW w:type="dxa" w:w="3780"/>
            <w:tcBorders>
              <w:top w:val="single" w:color="D5D8DC" w:sz="1"/>
              <w:left w:val="single" w:color="D5D8DC" w:sz="1"/>
              <w:bottom w:val="single" w:color="D5D8DC" w:sz="1"/>
              <w:right w:val="single" w:color="D5D8DC" w:sz="1"/>
            </w:tcBorders>
            <w:shd w:fill="F4F6F7" w:val="clear"/>
            <w:tcMar>
              <w:top w:type="dxa" w:w="90"/>
              <w:left w:type="dxa" w:w="150"/>
              <w:bottom w:type="dxa" w:w="90"/>
              <w:right w:type="dxa" w:w="100"/>
            </w:tcMar>
            <w:vAlign w:val="top"/>
          </w:tcPr>
          <w:p>
            <w:pPr>
              <w:spacing w:before="0" w:after="0"/>
              <w:jc w:val="left"/>
            </w:pPr>
            <w:r>
              <w:rPr>
                <w:rFonts w:ascii="Arial" w:cs="Arial" w:eastAsia="Arial" w:hAnsi="Arial"/>
                <w:b w:val="false"/>
                <w:bCs w:val="false"/>
                <w:color w:val="1A1A1A"/>
                <w:sz w:val="20"/>
                <w:szCs w:val="20"/>
              </w:rPr>
              <w:t xml:space="preserve">SHAP summary plot: verify directional consistency of all features. SHAP dependence plots: verify non-linear relationships are captured correctly.</w:t>
            </w:r>
          </w:p>
        </w:tc>
        <w:tc>
          <w:tcPr>
            <w:tcW w:type="dxa" w:w="3200"/>
            <w:tcBorders>
              <w:top w:val="single" w:color="D5D8DC" w:sz="1"/>
              <w:left w:val="single" w:color="D5D8DC" w:sz="1"/>
              <w:bottom w:val="single" w:color="D5D8DC" w:sz="1"/>
              <w:right w:val="single" w:color="D5D8DC" w:sz="1"/>
            </w:tcBorders>
            <w:shd w:fill="FFFFFF" w:val="clear"/>
            <w:tcMar>
              <w:top w:type="dxa" w:w="90"/>
              <w:left w:type="dxa" w:w="150"/>
              <w:bottom w:type="dxa" w:w="90"/>
              <w:right w:type="dxa" w:w="100"/>
            </w:tcMar>
            <w:vAlign w:val="top"/>
          </w:tcPr>
          <w:p>
            <w:pPr>
              <w:spacing w:before="0" w:after="0"/>
              <w:jc w:val="left"/>
            </w:pPr>
            <w:r>
              <w:rPr>
                <w:rFonts w:ascii="Arial" w:cs="Arial" w:eastAsia="Arial" w:hAnsi="Arial"/>
                <w:b w:val="false"/>
                <w:bCs w:val="false"/>
                <w:color w:val="1A1A1A"/>
                <w:sz w:val="20"/>
                <w:szCs w:val="20"/>
              </w:rPr>
              <w:t xml:space="preserve">SHAP direction consistent with business logic for all top-10 features. No unexpected dominance by weak features (GENDER, MARRIAGE).</w:t>
            </w:r>
          </w:p>
        </w:tc>
      </w:tr>
      <w:tr>
        <w:tc>
          <w:tcPr>
            <w:tcW w:type="dxa" w:w="480"/>
            <w:tcBorders>
              <w:top w:val="single" w:color="D5D8DC" w:sz="1"/>
              <w:left w:val="single" w:color="D5D8DC" w:sz="1"/>
              <w:bottom w:val="single" w:color="D5D8DC" w:sz="1"/>
              <w:right w:val="single" w:color="D5D8DC" w:sz="1"/>
            </w:tcBorders>
            <w:shd w:fill="1F3864" w:val="clear"/>
            <w:tcMar>
              <w:top w:type="dxa" w:w="90"/>
              <w:left w:type="dxa" w:w="150"/>
              <w:bottom w:type="dxa" w:w="90"/>
              <w:right w:type="dxa" w:w="100"/>
            </w:tcMar>
            <w:vAlign w:val="top"/>
          </w:tcPr>
          <w:p>
            <w:pPr>
              <w:spacing w:before="0" w:after="0"/>
              <w:jc w:val="center"/>
            </w:pPr>
            <w:r>
              <w:rPr>
                <w:rFonts w:ascii="Arial" w:cs="Arial" w:eastAsia="Arial" w:hAnsi="Arial"/>
                <w:b/>
                <w:bCs/>
                <w:color w:val="FFFFFF"/>
                <w:sz w:val="20"/>
                <w:szCs w:val="20"/>
              </w:rPr>
              <w:t xml:space="preserve">15</w:t>
            </w:r>
          </w:p>
        </w:tc>
        <w:tc>
          <w:tcPr>
            <w:tcW w:type="dxa" w:w="1900"/>
            <w:tcBorders>
              <w:top w:val="single" w:color="D5D8DC" w:sz="1"/>
              <w:left w:val="single" w:color="D5D8DC" w:sz="1"/>
              <w:bottom w:val="single" w:color="D5D8DC" w:sz="1"/>
              <w:right w:val="single" w:color="D5D8DC" w:sz="1"/>
            </w:tcBorders>
            <w:shd w:fill="FFFFFF" w:val="clear"/>
            <w:tcMar>
              <w:top w:type="dxa" w:w="90"/>
              <w:left w:type="dxa" w:w="150"/>
              <w:bottom w:type="dxa" w:w="90"/>
              <w:right w:type="dxa" w:w="100"/>
            </w:tcMar>
            <w:vAlign w:val="top"/>
          </w:tcPr>
          <w:p>
            <w:pPr>
              <w:spacing w:before="0" w:after="0"/>
              <w:jc w:val="left"/>
            </w:pPr>
            <w:r>
              <w:rPr>
                <w:rFonts w:ascii="Arial" w:cs="Arial" w:eastAsia="Arial" w:hAnsi="Arial"/>
                <w:b/>
                <w:bCs/>
                <w:color w:val="1A1A1A"/>
                <w:sz w:val="20"/>
                <w:szCs w:val="20"/>
              </w:rPr>
              <w:t xml:space="preserve">Stability &amp; Documentation</w:t>
            </w:r>
          </w:p>
        </w:tc>
        <w:tc>
          <w:tcPr>
            <w:tcW w:type="dxa" w:w="3780"/>
            <w:tcBorders>
              <w:top w:val="single" w:color="D5D8DC" w:sz="1"/>
              <w:left w:val="single" w:color="D5D8DC" w:sz="1"/>
              <w:bottom w:val="single" w:color="D5D8DC" w:sz="1"/>
              <w:right w:val="single" w:color="D5D8DC" w:sz="1"/>
            </w:tcBorders>
            <w:shd w:fill="F4F6F7" w:val="clear"/>
            <w:tcMar>
              <w:top w:type="dxa" w:w="90"/>
              <w:left w:type="dxa" w:w="150"/>
              <w:bottom w:type="dxa" w:w="90"/>
              <w:right w:type="dxa" w:w="100"/>
            </w:tcMar>
            <w:vAlign w:val="top"/>
          </w:tcPr>
          <w:p>
            <w:pPr>
              <w:spacing w:before="0" w:after="0"/>
              <w:jc w:val="left"/>
            </w:pPr>
            <w:r>
              <w:rPr>
                <w:rFonts w:ascii="Arial" w:cs="Arial" w:eastAsia="Arial" w:hAnsi="Arial"/>
                <w:b w:val="false"/>
                <w:bCs w:val="false"/>
                <w:color w:val="1A1A1A"/>
                <w:sz w:val="20"/>
                <w:szCs w:val="20"/>
              </w:rPr>
              <w:t xml:space="preserve">Compute PSI for all input features between training and any holdout period. Document: IV table, WOE bins, VIF table, SHAP summary, AUC/KS/Gini results, disparate impact analysis for GENDER.</w:t>
            </w:r>
          </w:p>
        </w:tc>
        <w:tc>
          <w:tcPr>
            <w:tcW w:type="dxa" w:w="3200"/>
            <w:tcBorders>
              <w:top w:val="single" w:color="D5D8DC" w:sz="1"/>
              <w:left w:val="single" w:color="D5D8DC" w:sz="1"/>
              <w:bottom w:val="single" w:color="D5D8DC" w:sz="1"/>
              <w:right w:val="single" w:color="D5D8DC" w:sz="1"/>
            </w:tcBorders>
            <w:shd w:fill="FFFFFF" w:val="clear"/>
            <w:tcMar>
              <w:top w:type="dxa" w:w="90"/>
              <w:left w:type="dxa" w:w="150"/>
              <w:bottom w:type="dxa" w:w="90"/>
              <w:right w:type="dxa" w:w="100"/>
            </w:tcMar>
            <w:vAlign w:val="top"/>
          </w:tcPr>
          <w:p>
            <w:pPr>
              <w:spacing w:before="0" w:after="0"/>
              <w:jc w:val="left"/>
            </w:pPr>
            <w:r>
              <w:rPr>
                <w:rFonts w:ascii="Arial" w:cs="Arial" w:eastAsia="Arial" w:hAnsi="Arial"/>
                <w:b w:val="false"/>
                <w:bCs w:val="false"/>
                <w:color w:val="1A1A1A"/>
                <w:sz w:val="20"/>
                <w:szCs w:val="20"/>
              </w:rPr>
              <w:t xml:space="preserve">All PSI &lt; 0.25. Documentation package ready for Model Risk Management review.</w:t>
            </w:r>
          </w:p>
        </w:tc>
      </w:tr>
    </w:tbl>
    <w:p>
      <w:pPr>
        <w:spacing w:before="0" w:after="140"/>
      </w:pPr>
    </w:p>
    <w:p>
      <w:pPr>
        <w:pStyle w:val="Heading2"/>
        <w:spacing w:before="280" w:after="120"/>
      </w:pPr>
      <w:r>
        <w:rPr>
          <w:rFonts w:ascii="Arial" w:cs="Arial" w:eastAsia="Arial" w:hAnsi="Arial"/>
          <w:b/>
          <w:bCs/>
          <w:color w:val="1B6CA8"/>
          <w:sz w:val="28"/>
          <w:szCs w:val="28"/>
        </w:rPr>
        <w:t xml:space="preserve">9.2 Final Recommended Feature Set</w:t>
      </w:r>
    </w:p>
    <w:p>
      <w:pPr>
        <w:spacing w:before="80" w:after="80"/>
      </w:pPr>
      <w:r>
        <w:rPr>
          <w:rFonts w:ascii="Arial" w:cs="Arial" w:eastAsia="Arial" w:hAnsi="Arial"/>
          <w:b w:val="false"/>
          <w:bCs w:val="false"/>
          <w:color w:val="1A1A1A"/>
          <w:sz w:val="22"/>
          <w:szCs w:val="22"/>
        </w:rPr>
        <w:t xml:space="preserve">Based on the full pipeline, the recommended production feature sets for each model type are:</w:t>
      </w:r>
    </w:p>
    <w:p>
      <w:pPr>
        <w:spacing w:before="0" w:after="80"/>
      </w:pPr>
    </w:p>
    <w:p>
      <w:pPr>
        <w:pStyle w:val="Heading3"/>
        <w:spacing w:before="200" w:after="80"/>
      </w:pPr>
      <w:r>
        <w:rPr>
          <w:rFonts w:ascii="Arial" w:cs="Arial" w:eastAsia="Arial" w:hAnsi="Arial"/>
          <w:b/>
          <w:bCs/>
          <w:color w:val="1F3864"/>
          <w:sz w:val="24"/>
          <w:szCs w:val="24"/>
        </w:rPr>
        <w:t xml:space="preserve">Logistic Regression Scorecard (WOE-encoded)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4560"/>
      </w:tblGrid>
      <w:tr>
        <w:tc>
          <w:tcPr>
            <w:tcW w:type="dxa" w:w="2800"/>
            <w:tcBorders>
              <w:top w:val="single" w:color="D5D8DC" w:sz="1"/>
              <w:left w:val="single" w:color="D5D8DC" w:sz="1"/>
              <w:bottom w:val="single" w:color="D5D8DC" w:sz="1"/>
              <w:right w:val="single" w:color="D5D8DC" w:sz="1"/>
            </w:tcBorders>
            <w:shd w:fill="1B6CA8" w:val="clear"/>
            <w:tcMar>
              <w:top w:type="dxa" w:w="90"/>
              <w:left w:type="dxa" w:w="150"/>
              <w:bottom w:type="dxa" w:w="90"/>
              <w:right w:type="dxa" w:w="100"/>
            </w:tcMar>
            <w:vAlign w:val="top"/>
          </w:tcPr>
          <w:p>
            <w:pPr>
              <w:spacing w:before="0" w:after="0"/>
              <w:jc w:val="left"/>
            </w:pPr>
            <w:r>
              <w:rPr>
                <w:rFonts w:ascii="Arial" w:cs="Arial" w:eastAsia="Arial" w:hAnsi="Arial"/>
                <w:b/>
                <w:bCs/>
                <w:color w:val="FFFFFF"/>
                <w:sz w:val="19"/>
                <w:szCs w:val="19"/>
              </w:rPr>
              <w:t xml:space="preserve">Feature (WOE-encoded)</w:t>
            </w:r>
          </w:p>
        </w:tc>
        <w:tc>
          <w:tcPr>
            <w:tcW w:type="dxa" w:w="2000"/>
            <w:tcBorders>
              <w:top w:val="single" w:color="D5D8DC" w:sz="1"/>
              <w:left w:val="single" w:color="D5D8DC" w:sz="1"/>
              <w:bottom w:val="single" w:color="D5D8DC" w:sz="1"/>
              <w:right w:val="single" w:color="D5D8DC" w:sz="1"/>
            </w:tcBorders>
            <w:shd w:fill="1B6CA8" w:val="clear"/>
            <w:tcMar>
              <w:top w:type="dxa" w:w="90"/>
              <w:left w:type="dxa" w:w="150"/>
              <w:bottom w:type="dxa" w:w="90"/>
              <w:right w:type="dxa" w:w="100"/>
            </w:tcMar>
            <w:vAlign w:val="top"/>
          </w:tcPr>
          <w:p>
            <w:pPr>
              <w:spacing w:before="0" w:after="0"/>
              <w:jc w:val="left"/>
            </w:pPr>
            <w:r>
              <w:rPr>
                <w:rFonts w:ascii="Arial" w:cs="Arial" w:eastAsia="Arial" w:hAnsi="Arial"/>
                <w:b/>
                <w:bCs/>
                <w:color w:val="FFFFFF"/>
                <w:sz w:val="19"/>
                <w:szCs w:val="19"/>
              </w:rPr>
              <w:t xml:space="preserve">Dimension</w:t>
            </w:r>
          </w:p>
        </w:tc>
        <w:tc>
          <w:tcPr>
            <w:tcW w:type="dxa" w:w="4560"/>
            <w:tcBorders>
              <w:top w:val="single" w:color="D5D8DC" w:sz="1"/>
              <w:left w:val="single" w:color="D5D8DC" w:sz="1"/>
              <w:bottom w:val="single" w:color="D5D8DC" w:sz="1"/>
              <w:right w:val="single" w:color="D5D8DC" w:sz="1"/>
            </w:tcBorders>
            <w:shd w:fill="1B6CA8" w:val="clear"/>
            <w:tcMar>
              <w:top w:type="dxa" w:w="90"/>
              <w:left w:type="dxa" w:w="150"/>
              <w:bottom w:type="dxa" w:w="90"/>
              <w:right w:type="dxa" w:w="100"/>
            </w:tcMar>
            <w:vAlign w:val="top"/>
          </w:tcPr>
          <w:p>
            <w:pPr>
              <w:spacing w:before="0" w:after="0"/>
              <w:jc w:val="left"/>
            </w:pPr>
            <w:r>
              <w:rPr>
                <w:rFonts w:ascii="Arial" w:cs="Arial" w:eastAsia="Arial" w:hAnsi="Arial"/>
                <w:b/>
                <w:bCs/>
                <w:color w:val="FFFFFF"/>
                <w:sz w:val="19"/>
                <w:szCs w:val="19"/>
              </w:rPr>
              <w:t xml:space="preserve">Justification</w:t>
            </w:r>
          </w:p>
        </w:tc>
      </w:tr>
      <w:tr>
        <w:tc>
          <w:tcPr>
            <w:tcW w:type="dxa" w:w="2800"/>
            <w:tcBorders>
              <w:top w:val="single" w:color="D5D8DC" w:sz="1"/>
              <w:left w:val="single" w:color="D5D8DC" w:sz="1"/>
              <w:bottom w:val="single" w:color="D5D8DC" w:sz="1"/>
              <w:right w:val="single" w:color="D5D8DC" w:sz="1"/>
            </w:tcBorders>
            <w:shd w:fill="FFFFFF" w:val="clear"/>
            <w:tcMar>
              <w:top w:type="dxa" w:w="90"/>
              <w:left w:type="dxa" w:w="150"/>
              <w:bottom w:type="dxa" w:w="90"/>
              <w:right w:type="dxa" w:w="100"/>
            </w:tcMar>
            <w:vAlign w:val="top"/>
          </w:tcPr>
          <w:p>
            <w:pPr>
              <w:spacing w:before="0" w:after="0"/>
              <w:jc w:val="left"/>
            </w:pPr>
            <w:r>
              <w:rPr>
                <w:rFonts w:ascii="Arial" w:cs="Arial" w:eastAsia="Arial" w:hAnsi="Arial"/>
                <w:b w:val="false"/>
                <w:bCs w:val="false"/>
                <w:color w:val="1A1A1A"/>
                <w:sz w:val="20"/>
                <w:szCs w:val="20"/>
              </w:rPr>
              <w:t xml:space="preserve">PAY_0_WOE</w:t>
            </w:r>
          </w:p>
        </w:tc>
        <w:tc>
          <w:tcPr>
            <w:tcW w:type="dxa" w:w="2000"/>
            <w:tcBorders>
              <w:top w:val="single" w:color="D5D8DC" w:sz="1"/>
              <w:left w:val="single" w:color="D5D8DC" w:sz="1"/>
              <w:bottom w:val="single" w:color="D5D8DC" w:sz="1"/>
              <w:right w:val="single" w:color="D5D8DC" w:sz="1"/>
            </w:tcBorders>
            <w:shd w:fill="F4F6F7" w:val="clear"/>
            <w:tcMar>
              <w:top w:type="dxa" w:w="90"/>
              <w:left w:type="dxa" w:w="150"/>
              <w:bottom w:type="dxa" w:w="90"/>
              <w:right w:type="dxa" w:w="100"/>
            </w:tcMar>
            <w:vAlign w:val="top"/>
          </w:tcPr>
          <w:p>
            <w:pPr>
              <w:spacing w:before="0" w:after="0"/>
              <w:jc w:val="left"/>
            </w:pPr>
            <w:r>
              <w:rPr>
                <w:rFonts w:ascii="Arial" w:cs="Arial" w:eastAsia="Arial" w:hAnsi="Arial"/>
                <w:b w:val="false"/>
                <w:bCs w:val="false"/>
                <w:color w:val="1A1A1A"/>
                <w:sz w:val="20"/>
                <w:szCs w:val="20"/>
              </w:rPr>
              <w:t xml:space="preserve">Repayment behaviour</w:t>
            </w:r>
          </w:p>
        </w:tc>
        <w:tc>
          <w:tcPr>
            <w:tcW w:type="dxa" w:w="4560"/>
            <w:tcBorders>
              <w:top w:val="single" w:color="D5D8DC" w:sz="1"/>
              <w:left w:val="single" w:color="D5D8DC" w:sz="1"/>
              <w:bottom w:val="single" w:color="D5D8DC" w:sz="1"/>
              <w:right w:val="single" w:color="D5D8DC" w:sz="1"/>
            </w:tcBorders>
            <w:shd w:fill="FFFFFF" w:val="clear"/>
            <w:tcMar>
              <w:top w:type="dxa" w:w="90"/>
              <w:left w:type="dxa" w:w="150"/>
              <w:bottom w:type="dxa" w:w="90"/>
              <w:right w:type="dxa" w:w="100"/>
            </w:tcMar>
            <w:vAlign w:val="top"/>
          </w:tcPr>
          <w:p>
            <w:pPr>
              <w:spacing w:before="0" w:after="0"/>
              <w:jc w:val="left"/>
            </w:pPr>
            <w:r>
              <w:rPr>
                <w:rFonts w:ascii="Arial" w:cs="Arial" w:eastAsia="Arial" w:hAnsi="Arial"/>
                <w:b w:val="false"/>
                <w:bCs w:val="false"/>
                <w:color w:val="1A1A1A"/>
                <w:sz w:val="20"/>
                <w:szCs w:val="20"/>
              </w:rPr>
              <w:t xml:space="preserve">Strongest single predictor. Most recent repayment status.</w:t>
            </w:r>
          </w:p>
        </w:tc>
      </w:tr>
      <w:tr>
        <w:tc>
          <w:tcPr>
            <w:tcW w:type="dxa" w:w="2800"/>
            <w:tcBorders>
              <w:top w:val="single" w:color="D5D8DC" w:sz="1"/>
              <w:left w:val="single" w:color="D5D8DC" w:sz="1"/>
              <w:bottom w:val="single" w:color="D5D8DC" w:sz="1"/>
              <w:right w:val="single" w:color="D5D8DC" w:sz="1"/>
            </w:tcBorders>
            <w:shd w:fill="FFFFFF" w:val="clear"/>
            <w:tcMar>
              <w:top w:type="dxa" w:w="90"/>
              <w:left w:type="dxa" w:w="150"/>
              <w:bottom w:type="dxa" w:w="90"/>
              <w:right w:type="dxa" w:w="100"/>
            </w:tcMar>
            <w:vAlign w:val="top"/>
          </w:tcPr>
          <w:p>
            <w:pPr>
              <w:spacing w:before="0" w:after="0"/>
              <w:jc w:val="left"/>
            </w:pPr>
            <w:r>
              <w:rPr>
                <w:rFonts w:ascii="Arial" w:cs="Arial" w:eastAsia="Arial" w:hAnsi="Arial"/>
                <w:b w:val="false"/>
                <w:bCs w:val="false"/>
                <w:color w:val="1A1A1A"/>
                <w:sz w:val="20"/>
                <w:szCs w:val="20"/>
              </w:rPr>
              <w:t xml:space="preserve">MAX_DELAY_WOE</w:t>
            </w:r>
          </w:p>
        </w:tc>
        <w:tc>
          <w:tcPr>
            <w:tcW w:type="dxa" w:w="2000"/>
            <w:tcBorders>
              <w:top w:val="single" w:color="D5D8DC" w:sz="1"/>
              <w:left w:val="single" w:color="D5D8DC" w:sz="1"/>
              <w:bottom w:val="single" w:color="D5D8DC" w:sz="1"/>
              <w:right w:val="single" w:color="D5D8DC" w:sz="1"/>
            </w:tcBorders>
            <w:shd w:fill="F4F6F7" w:val="clear"/>
            <w:tcMar>
              <w:top w:type="dxa" w:w="90"/>
              <w:left w:type="dxa" w:w="150"/>
              <w:bottom w:type="dxa" w:w="90"/>
              <w:right w:type="dxa" w:w="100"/>
            </w:tcMar>
            <w:vAlign w:val="top"/>
          </w:tcPr>
          <w:p>
            <w:pPr>
              <w:spacing w:before="0" w:after="0"/>
              <w:jc w:val="left"/>
            </w:pPr>
            <w:r>
              <w:rPr>
                <w:rFonts w:ascii="Arial" w:cs="Arial" w:eastAsia="Arial" w:hAnsi="Arial"/>
                <w:b w:val="false"/>
                <w:bCs w:val="false"/>
                <w:color w:val="1A1A1A"/>
                <w:sz w:val="20"/>
                <w:szCs w:val="20"/>
              </w:rPr>
              <w:t xml:space="preserve">Repayment behaviour</w:t>
            </w:r>
          </w:p>
        </w:tc>
        <w:tc>
          <w:tcPr>
            <w:tcW w:type="dxa" w:w="4560"/>
            <w:tcBorders>
              <w:top w:val="single" w:color="D5D8DC" w:sz="1"/>
              <w:left w:val="single" w:color="D5D8DC" w:sz="1"/>
              <w:bottom w:val="single" w:color="D5D8DC" w:sz="1"/>
              <w:right w:val="single" w:color="D5D8DC" w:sz="1"/>
            </w:tcBorders>
            <w:shd w:fill="FFFFFF" w:val="clear"/>
            <w:tcMar>
              <w:top w:type="dxa" w:w="90"/>
              <w:left w:type="dxa" w:w="150"/>
              <w:bottom w:type="dxa" w:w="90"/>
              <w:right w:type="dxa" w:w="100"/>
            </w:tcMar>
            <w:vAlign w:val="top"/>
          </w:tcPr>
          <w:p>
            <w:pPr>
              <w:spacing w:before="0" w:after="0"/>
              <w:jc w:val="left"/>
            </w:pPr>
            <w:r>
              <w:rPr>
                <w:rFonts w:ascii="Arial" w:cs="Arial" w:eastAsia="Arial" w:hAnsi="Arial"/>
                <w:b w:val="false"/>
                <w:bCs w:val="false"/>
                <w:color w:val="1A1A1A"/>
                <w:sz w:val="20"/>
                <w:szCs w:val="20"/>
              </w:rPr>
              <w:t xml:space="preserve">Worst-case delinquency across 6 months.</w:t>
            </w:r>
          </w:p>
        </w:tc>
      </w:tr>
      <w:tr>
        <w:tc>
          <w:tcPr>
            <w:tcW w:type="dxa" w:w="2800"/>
            <w:tcBorders>
              <w:top w:val="single" w:color="D5D8DC" w:sz="1"/>
              <w:left w:val="single" w:color="D5D8DC" w:sz="1"/>
              <w:bottom w:val="single" w:color="D5D8DC" w:sz="1"/>
              <w:right w:val="single" w:color="D5D8DC" w:sz="1"/>
            </w:tcBorders>
            <w:shd w:fill="FFFFFF" w:val="clear"/>
            <w:tcMar>
              <w:top w:type="dxa" w:w="90"/>
              <w:left w:type="dxa" w:w="150"/>
              <w:bottom w:type="dxa" w:w="90"/>
              <w:right w:type="dxa" w:w="100"/>
            </w:tcMar>
            <w:vAlign w:val="top"/>
          </w:tcPr>
          <w:p>
            <w:pPr>
              <w:spacing w:before="0" w:after="0"/>
              <w:jc w:val="left"/>
            </w:pPr>
            <w:r>
              <w:rPr>
                <w:rFonts w:ascii="Arial" w:cs="Arial" w:eastAsia="Arial" w:hAnsi="Arial"/>
                <w:b w:val="false"/>
                <w:bCs w:val="false"/>
                <w:color w:val="1A1A1A"/>
                <w:sz w:val="20"/>
                <w:szCs w:val="20"/>
              </w:rPr>
              <w:t xml:space="preserve">NUM_DELAYS_WOE</w:t>
            </w:r>
          </w:p>
        </w:tc>
        <w:tc>
          <w:tcPr>
            <w:tcW w:type="dxa" w:w="2000"/>
            <w:tcBorders>
              <w:top w:val="single" w:color="D5D8DC" w:sz="1"/>
              <w:left w:val="single" w:color="D5D8DC" w:sz="1"/>
              <w:bottom w:val="single" w:color="D5D8DC" w:sz="1"/>
              <w:right w:val="single" w:color="D5D8DC" w:sz="1"/>
            </w:tcBorders>
            <w:shd w:fill="F4F6F7" w:val="clear"/>
            <w:tcMar>
              <w:top w:type="dxa" w:w="90"/>
              <w:left w:type="dxa" w:w="150"/>
              <w:bottom w:type="dxa" w:w="90"/>
              <w:right w:type="dxa" w:w="100"/>
            </w:tcMar>
            <w:vAlign w:val="top"/>
          </w:tcPr>
          <w:p>
            <w:pPr>
              <w:spacing w:before="0" w:after="0"/>
              <w:jc w:val="left"/>
            </w:pPr>
            <w:r>
              <w:rPr>
                <w:rFonts w:ascii="Arial" w:cs="Arial" w:eastAsia="Arial" w:hAnsi="Arial"/>
                <w:b w:val="false"/>
                <w:bCs w:val="false"/>
                <w:color w:val="1A1A1A"/>
                <w:sz w:val="20"/>
                <w:szCs w:val="20"/>
              </w:rPr>
              <w:t xml:space="preserve">Repayment behaviour</w:t>
            </w:r>
          </w:p>
        </w:tc>
        <w:tc>
          <w:tcPr>
            <w:tcW w:type="dxa" w:w="4560"/>
            <w:tcBorders>
              <w:top w:val="single" w:color="D5D8DC" w:sz="1"/>
              <w:left w:val="single" w:color="D5D8DC" w:sz="1"/>
              <w:bottom w:val="single" w:color="D5D8DC" w:sz="1"/>
              <w:right w:val="single" w:color="D5D8DC" w:sz="1"/>
            </w:tcBorders>
            <w:shd w:fill="FFFFFF" w:val="clear"/>
            <w:tcMar>
              <w:top w:type="dxa" w:w="90"/>
              <w:left w:type="dxa" w:w="150"/>
              <w:bottom w:type="dxa" w:w="90"/>
              <w:right w:type="dxa" w:w="100"/>
            </w:tcMar>
            <w:vAlign w:val="top"/>
          </w:tcPr>
          <w:p>
            <w:pPr>
              <w:spacing w:before="0" w:after="0"/>
              <w:jc w:val="left"/>
            </w:pPr>
            <w:r>
              <w:rPr>
                <w:rFonts w:ascii="Arial" w:cs="Arial" w:eastAsia="Arial" w:hAnsi="Arial"/>
                <w:b w:val="false"/>
                <w:bCs w:val="false"/>
                <w:color w:val="1A1A1A"/>
                <w:sz w:val="20"/>
                <w:szCs w:val="20"/>
              </w:rPr>
              <w:t xml:space="preserve">Frequency of delinquency — complements MAX_DELAY.</w:t>
            </w:r>
          </w:p>
        </w:tc>
      </w:tr>
      <w:tr>
        <w:tc>
          <w:tcPr>
            <w:tcW w:type="dxa" w:w="2800"/>
            <w:tcBorders>
              <w:top w:val="single" w:color="D5D8DC" w:sz="1"/>
              <w:left w:val="single" w:color="D5D8DC" w:sz="1"/>
              <w:bottom w:val="single" w:color="D5D8DC" w:sz="1"/>
              <w:right w:val="single" w:color="D5D8DC" w:sz="1"/>
            </w:tcBorders>
            <w:shd w:fill="FFFFFF" w:val="clear"/>
            <w:tcMar>
              <w:top w:type="dxa" w:w="90"/>
              <w:left w:type="dxa" w:w="150"/>
              <w:bottom w:type="dxa" w:w="90"/>
              <w:right w:type="dxa" w:w="100"/>
            </w:tcMar>
            <w:vAlign w:val="top"/>
          </w:tcPr>
          <w:p>
            <w:pPr>
              <w:spacing w:before="0" w:after="0"/>
              <w:jc w:val="left"/>
            </w:pPr>
            <w:r>
              <w:rPr>
                <w:rFonts w:ascii="Arial" w:cs="Arial" w:eastAsia="Arial" w:hAnsi="Arial"/>
                <w:b w:val="false"/>
                <w:bCs w:val="false"/>
                <w:color w:val="1A1A1A"/>
                <w:sz w:val="20"/>
                <w:szCs w:val="20"/>
              </w:rPr>
              <w:t xml:space="preserve">AVG_PAY_BILL_RATIO_WOE</w:t>
            </w:r>
          </w:p>
        </w:tc>
        <w:tc>
          <w:tcPr>
            <w:tcW w:type="dxa" w:w="2000"/>
            <w:tcBorders>
              <w:top w:val="single" w:color="D5D8DC" w:sz="1"/>
              <w:left w:val="single" w:color="D5D8DC" w:sz="1"/>
              <w:bottom w:val="single" w:color="D5D8DC" w:sz="1"/>
              <w:right w:val="single" w:color="D5D8DC" w:sz="1"/>
            </w:tcBorders>
            <w:shd w:fill="F4F6F7" w:val="clear"/>
            <w:tcMar>
              <w:top w:type="dxa" w:w="90"/>
              <w:left w:type="dxa" w:w="150"/>
              <w:bottom w:type="dxa" w:w="90"/>
              <w:right w:type="dxa" w:w="100"/>
            </w:tcMar>
            <w:vAlign w:val="top"/>
          </w:tcPr>
          <w:p>
            <w:pPr>
              <w:spacing w:before="0" w:after="0"/>
              <w:jc w:val="left"/>
            </w:pPr>
            <w:r>
              <w:rPr>
                <w:rFonts w:ascii="Arial" w:cs="Arial" w:eastAsia="Arial" w:hAnsi="Arial"/>
                <w:b w:val="false"/>
                <w:bCs w:val="false"/>
                <w:color w:val="1A1A1A"/>
                <w:sz w:val="20"/>
                <w:szCs w:val="20"/>
              </w:rPr>
              <w:t xml:space="preserve">Payment capacity</w:t>
            </w:r>
          </w:p>
        </w:tc>
        <w:tc>
          <w:tcPr>
            <w:tcW w:type="dxa" w:w="4560"/>
            <w:tcBorders>
              <w:top w:val="single" w:color="D5D8DC" w:sz="1"/>
              <w:left w:val="single" w:color="D5D8DC" w:sz="1"/>
              <w:bottom w:val="single" w:color="D5D8DC" w:sz="1"/>
              <w:right w:val="single" w:color="D5D8DC" w:sz="1"/>
            </w:tcBorders>
            <w:shd w:fill="FFFFFF" w:val="clear"/>
            <w:tcMar>
              <w:top w:type="dxa" w:w="90"/>
              <w:left w:type="dxa" w:w="150"/>
              <w:bottom w:type="dxa" w:w="90"/>
              <w:right w:type="dxa" w:w="100"/>
            </w:tcMar>
            <w:vAlign w:val="top"/>
          </w:tcPr>
          <w:p>
            <w:pPr>
              <w:spacing w:before="0" w:after="0"/>
              <w:jc w:val="left"/>
            </w:pPr>
            <w:r>
              <w:rPr>
                <w:rFonts w:ascii="Arial" w:cs="Arial" w:eastAsia="Arial" w:hAnsi="Arial"/>
                <w:b w:val="false"/>
                <w:bCs w:val="false"/>
                <w:color w:val="1A1A1A"/>
                <w:sz w:val="20"/>
                <w:szCs w:val="20"/>
              </w:rPr>
              <w:t xml:space="preserve">Chronic repayment coverage level.</w:t>
            </w:r>
          </w:p>
        </w:tc>
      </w:tr>
      <w:tr>
        <w:tc>
          <w:tcPr>
            <w:tcW w:type="dxa" w:w="2800"/>
            <w:tcBorders>
              <w:top w:val="single" w:color="D5D8DC" w:sz="1"/>
              <w:left w:val="single" w:color="D5D8DC" w:sz="1"/>
              <w:bottom w:val="single" w:color="D5D8DC" w:sz="1"/>
              <w:right w:val="single" w:color="D5D8DC" w:sz="1"/>
            </w:tcBorders>
            <w:shd w:fill="FFFFFF" w:val="clear"/>
            <w:tcMar>
              <w:top w:type="dxa" w:w="90"/>
              <w:left w:type="dxa" w:w="150"/>
              <w:bottom w:type="dxa" w:w="90"/>
              <w:right w:type="dxa" w:w="100"/>
            </w:tcMar>
            <w:vAlign w:val="top"/>
          </w:tcPr>
          <w:p>
            <w:pPr>
              <w:spacing w:before="0" w:after="0"/>
              <w:jc w:val="left"/>
            </w:pPr>
            <w:r>
              <w:rPr>
                <w:rFonts w:ascii="Arial" w:cs="Arial" w:eastAsia="Arial" w:hAnsi="Arial"/>
                <w:b w:val="false"/>
                <w:bCs w:val="false"/>
                <w:color w:val="1A1A1A"/>
                <w:sz w:val="20"/>
                <w:szCs w:val="20"/>
              </w:rPr>
              <w:t xml:space="preserve">NUM_ZERO_PAYMENTS_WOE</w:t>
            </w:r>
          </w:p>
        </w:tc>
        <w:tc>
          <w:tcPr>
            <w:tcW w:type="dxa" w:w="2000"/>
            <w:tcBorders>
              <w:top w:val="single" w:color="D5D8DC" w:sz="1"/>
              <w:left w:val="single" w:color="D5D8DC" w:sz="1"/>
              <w:bottom w:val="single" w:color="D5D8DC" w:sz="1"/>
              <w:right w:val="single" w:color="D5D8DC" w:sz="1"/>
            </w:tcBorders>
            <w:shd w:fill="F4F6F7" w:val="clear"/>
            <w:tcMar>
              <w:top w:type="dxa" w:w="90"/>
              <w:left w:type="dxa" w:w="150"/>
              <w:bottom w:type="dxa" w:w="90"/>
              <w:right w:type="dxa" w:w="100"/>
            </w:tcMar>
            <w:vAlign w:val="top"/>
          </w:tcPr>
          <w:p>
            <w:pPr>
              <w:spacing w:before="0" w:after="0"/>
              <w:jc w:val="left"/>
            </w:pPr>
            <w:r>
              <w:rPr>
                <w:rFonts w:ascii="Arial" w:cs="Arial" w:eastAsia="Arial" w:hAnsi="Arial"/>
                <w:b w:val="false"/>
                <w:bCs w:val="false"/>
                <w:color w:val="1A1A1A"/>
                <w:sz w:val="20"/>
                <w:szCs w:val="20"/>
              </w:rPr>
              <w:t xml:space="preserve">Payment capacity</w:t>
            </w:r>
          </w:p>
        </w:tc>
        <w:tc>
          <w:tcPr>
            <w:tcW w:type="dxa" w:w="4560"/>
            <w:tcBorders>
              <w:top w:val="single" w:color="D5D8DC" w:sz="1"/>
              <w:left w:val="single" w:color="D5D8DC" w:sz="1"/>
              <w:bottom w:val="single" w:color="D5D8DC" w:sz="1"/>
              <w:right w:val="single" w:color="D5D8DC" w:sz="1"/>
            </w:tcBorders>
            <w:shd w:fill="FFFFFF" w:val="clear"/>
            <w:tcMar>
              <w:top w:type="dxa" w:w="90"/>
              <w:left w:type="dxa" w:w="150"/>
              <w:bottom w:type="dxa" w:w="90"/>
              <w:right w:type="dxa" w:w="100"/>
            </w:tcMar>
            <w:vAlign w:val="top"/>
          </w:tcPr>
          <w:p>
            <w:pPr>
              <w:spacing w:before="0" w:after="0"/>
              <w:jc w:val="left"/>
            </w:pPr>
            <w:r>
              <w:rPr>
                <w:rFonts w:ascii="Arial" w:cs="Arial" w:eastAsia="Arial" w:hAnsi="Arial"/>
                <w:b w:val="false"/>
                <w:bCs w:val="false"/>
                <w:color w:val="1A1A1A"/>
                <w:sz w:val="20"/>
                <w:szCs w:val="20"/>
              </w:rPr>
              <w:t xml:space="preserve">Zero-payment frequency — monotonic default signal.</w:t>
            </w:r>
          </w:p>
        </w:tc>
      </w:tr>
      <w:tr>
        <w:tc>
          <w:tcPr>
            <w:tcW w:type="dxa" w:w="2800"/>
            <w:tcBorders>
              <w:top w:val="single" w:color="D5D8DC" w:sz="1"/>
              <w:left w:val="single" w:color="D5D8DC" w:sz="1"/>
              <w:bottom w:val="single" w:color="D5D8DC" w:sz="1"/>
              <w:right w:val="single" w:color="D5D8DC" w:sz="1"/>
            </w:tcBorders>
            <w:shd w:fill="FFFFFF" w:val="clear"/>
            <w:tcMar>
              <w:top w:type="dxa" w:w="90"/>
              <w:left w:type="dxa" w:w="150"/>
              <w:bottom w:type="dxa" w:w="90"/>
              <w:right w:type="dxa" w:w="100"/>
            </w:tcMar>
            <w:vAlign w:val="top"/>
          </w:tcPr>
          <w:p>
            <w:pPr>
              <w:spacing w:before="0" w:after="0"/>
              <w:jc w:val="left"/>
            </w:pPr>
            <w:r>
              <w:rPr>
                <w:rFonts w:ascii="Arial" w:cs="Arial" w:eastAsia="Arial" w:hAnsi="Arial"/>
                <w:b w:val="false"/>
                <w:bCs w:val="false"/>
                <w:color w:val="1A1A1A"/>
                <w:sz w:val="20"/>
                <w:szCs w:val="20"/>
              </w:rPr>
              <w:t xml:space="preserve">LOG_LIMIT_BAL_WOE</w:t>
            </w:r>
          </w:p>
        </w:tc>
        <w:tc>
          <w:tcPr>
            <w:tcW w:type="dxa" w:w="2000"/>
            <w:tcBorders>
              <w:top w:val="single" w:color="D5D8DC" w:sz="1"/>
              <w:left w:val="single" w:color="D5D8DC" w:sz="1"/>
              <w:bottom w:val="single" w:color="D5D8DC" w:sz="1"/>
              <w:right w:val="single" w:color="D5D8DC" w:sz="1"/>
            </w:tcBorders>
            <w:shd w:fill="F4F6F7" w:val="clear"/>
            <w:tcMar>
              <w:top w:type="dxa" w:w="90"/>
              <w:left w:type="dxa" w:w="150"/>
              <w:bottom w:type="dxa" w:w="90"/>
              <w:right w:type="dxa" w:w="100"/>
            </w:tcMar>
            <w:vAlign w:val="top"/>
          </w:tcPr>
          <w:p>
            <w:pPr>
              <w:spacing w:before="0" w:after="0"/>
              <w:jc w:val="left"/>
            </w:pPr>
            <w:r>
              <w:rPr>
                <w:rFonts w:ascii="Arial" w:cs="Arial" w:eastAsia="Arial" w:hAnsi="Arial"/>
                <w:b w:val="false"/>
                <w:bCs w:val="false"/>
                <w:color w:val="1A1A1A"/>
                <w:sz w:val="20"/>
                <w:szCs w:val="20"/>
              </w:rPr>
              <w:t xml:space="preserve">Credit exposure</w:t>
            </w:r>
          </w:p>
        </w:tc>
        <w:tc>
          <w:tcPr>
            <w:tcW w:type="dxa" w:w="4560"/>
            <w:tcBorders>
              <w:top w:val="single" w:color="D5D8DC" w:sz="1"/>
              <w:left w:val="single" w:color="D5D8DC" w:sz="1"/>
              <w:bottom w:val="single" w:color="D5D8DC" w:sz="1"/>
              <w:right w:val="single" w:color="D5D8DC" w:sz="1"/>
            </w:tcBorders>
            <w:shd w:fill="FFFFFF" w:val="clear"/>
            <w:tcMar>
              <w:top w:type="dxa" w:w="90"/>
              <w:left w:type="dxa" w:w="150"/>
              <w:bottom w:type="dxa" w:w="90"/>
              <w:right w:type="dxa" w:w="100"/>
            </w:tcMar>
            <w:vAlign w:val="top"/>
          </w:tcPr>
          <w:p>
            <w:pPr>
              <w:spacing w:before="0" w:after="0"/>
              <w:jc w:val="left"/>
            </w:pPr>
            <w:r>
              <w:rPr>
                <w:rFonts w:ascii="Arial" w:cs="Arial" w:eastAsia="Arial" w:hAnsi="Arial"/>
                <w:b w:val="false"/>
                <w:bCs w:val="false"/>
                <w:color w:val="1A1A1A"/>
                <w:sz w:val="20"/>
                <w:szCs w:val="20"/>
              </w:rPr>
              <w:t xml:space="preserve">Inverse relationship with default after log and WOE.</w:t>
            </w:r>
          </w:p>
        </w:tc>
      </w:tr>
      <w:tr>
        <w:tc>
          <w:tcPr>
            <w:tcW w:type="dxa" w:w="2800"/>
            <w:tcBorders>
              <w:top w:val="single" w:color="D5D8DC" w:sz="1"/>
              <w:left w:val="single" w:color="D5D8DC" w:sz="1"/>
              <w:bottom w:val="single" w:color="D5D8DC" w:sz="1"/>
              <w:right w:val="single" w:color="D5D8DC" w:sz="1"/>
            </w:tcBorders>
            <w:shd w:fill="FFFFFF" w:val="clear"/>
            <w:tcMar>
              <w:top w:type="dxa" w:w="90"/>
              <w:left w:type="dxa" w:w="150"/>
              <w:bottom w:type="dxa" w:w="90"/>
              <w:right w:type="dxa" w:w="100"/>
            </w:tcMar>
            <w:vAlign w:val="top"/>
          </w:tcPr>
          <w:p>
            <w:pPr>
              <w:spacing w:before="0" w:after="0"/>
              <w:jc w:val="left"/>
            </w:pPr>
            <w:r>
              <w:rPr>
                <w:rFonts w:ascii="Arial" w:cs="Arial" w:eastAsia="Arial" w:hAnsi="Arial"/>
                <w:b w:val="false"/>
                <w:bCs w:val="false"/>
                <w:color w:val="1A1A1A"/>
                <w:sz w:val="20"/>
                <w:szCs w:val="20"/>
              </w:rPr>
              <w:t xml:space="preserve">UTILIZATION_RATIO_WOE</w:t>
            </w:r>
          </w:p>
        </w:tc>
        <w:tc>
          <w:tcPr>
            <w:tcW w:type="dxa" w:w="2000"/>
            <w:tcBorders>
              <w:top w:val="single" w:color="D5D8DC" w:sz="1"/>
              <w:left w:val="single" w:color="D5D8DC" w:sz="1"/>
              <w:bottom w:val="single" w:color="D5D8DC" w:sz="1"/>
              <w:right w:val="single" w:color="D5D8DC" w:sz="1"/>
            </w:tcBorders>
            <w:shd w:fill="F4F6F7" w:val="clear"/>
            <w:tcMar>
              <w:top w:type="dxa" w:w="90"/>
              <w:left w:type="dxa" w:w="150"/>
              <w:bottom w:type="dxa" w:w="90"/>
              <w:right w:type="dxa" w:w="100"/>
            </w:tcMar>
            <w:vAlign w:val="top"/>
          </w:tcPr>
          <w:p>
            <w:pPr>
              <w:spacing w:before="0" w:after="0"/>
              <w:jc w:val="left"/>
            </w:pPr>
            <w:r>
              <w:rPr>
                <w:rFonts w:ascii="Arial" w:cs="Arial" w:eastAsia="Arial" w:hAnsi="Arial"/>
                <w:b w:val="false"/>
                <w:bCs w:val="false"/>
                <w:color w:val="1A1A1A"/>
                <w:sz w:val="20"/>
                <w:szCs w:val="20"/>
              </w:rPr>
              <w:t xml:space="preserve">Credit exposure</w:t>
            </w:r>
          </w:p>
        </w:tc>
        <w:tc>
          <w:tcPr>
            <w:tcW w:type="dxa" w:w="4560"/>
            <w:tcBorders>
              <w:top w:val="single" w:color="D5D8DC" w:sz="1"/>
              <w:left w:val="single" w:color="D5D8DC" w:sz="1"/>
              <w:bottom w:val="single" w:color="D5D8DC" w:sz="1"/>
              <w:right w:val="single" w:color="D5D8DC" w:sz="1"/>
            </w:tcBorders>
            <w:shd w:fill="FFFFFF" w:val="clear"/>
            <w:tcMar>
              <w:top w:type="dxa" w:w="90"/>
              <w:left w:type="dxa" w:w="150"/>
              <w:bottom w:type="dxa" w:w="90"/>
              <w:right w:type="dxa" w:w="100"/>
            </w:tcMar>
            <w:vAlign w:val="top"/>
          </w:tcPr>
          <w:p>
            <w:pPr>
              <w:spacing w:before="0" w:after="0"/>
              <w:jc w:val="left"/>
            </w:pPr>
            <w:r>
              <w:rPr>
                <w:rFonts w:ascii="Arial" w:cs="Arial" w:eastAsia="Arial" w:hAnsi="Arial"/>
                <w:b w:val="false"/>
                <w:bCs w:val="false"/>
                <w:color w:val="1A1A1A"/>
                <w:sz w:val="20"/>
                <w:szCs w:val="20"/>
              </w:rPr>
              <w:t xml:space="preserve">Credit pressure relative to limit.</w:t>
            </w:r>
          </w:p>
        </w:tc>
      </w:tr>
      <w:tr>
        <w:tc>
          <w:tcPr>
            <w:tcW w:type="dxa" w:w="2800"/>
            <w:tcBorders>
              <w:top w:val="single" w:color="D5D8DC" w:sz="1"/>
              <w:left w:val="single" w:color="D5D8DC" w:sz="1"/>
              <w:bottom w:val="single" w:color="D5D8DC" w:sz="1"/>
              <w:right w:val="single" w:color="D5D8DC" w:sz="1"/>
            </w:tcBorders>
            <w:shd w:fill="FFFFFF" w:val="clear"/>
            <w:tcMar>
              <w:top w:type="dxa" w:w="90"/>
              <w:left w:type="dxa" w:w="150"/>
              <w:bottom w:type="dxa" w:w="90"/>
              <w:right w:type="dxa" w:w="100"/>
            </w:tcMar>
            <w:vAlign w:val="top"/>
          </w:tcPr>
          <w:p>
            <w:pPr>
              <w:spacing w:before="0" w:after="0"/>
              <w:jc w:val="left"/>
            </w:pPr>
            <w:r>
              <w:rPr>
                <w:rFonts w:ascii="Arial" w:cs="Arial" w:eastAsia="Arial" w:hAnsi="Arial"/>
                <w:b w:val="false"/>
                <w:bCs w:val="false"/>
                <w:color w:val="1A1A1A"/>
                <w:sz w:val="20"/>
                <w:szCs w:val="20"/>
              </w:rPr>
              <w:t xml:space="preserve">BILL_GROWTH_WOE</w:t>
            </w:r>
          </w:p>
        </w:tc>
        <w:tc>
          <w:tcPr>
            <w:tcW w:type="dxa" w:w="2000"/>
            <w:tcBorders>
              <w:top w:val="single" w:color="D5D8DC" w:sz="1"/>
              <w:left w:val="single" w:color="D5D8DC" w:sz="1"/>
              <w:bottom w:val="single" w:color="D5D8DC" w:sz="1"/>
              <w:right w:val="single" w:color="D5D8DC" w:sz="1"/>
            </w:tcBorders>
            <w:shd w:fill="F4F6F7" w:val="clear"/>
            <w:tcMar>
              <w:top w:type="dxa" w:w="90"/>
              <w:left w:type="dxa" w:w="150"/>
              <w:bottom w:type="dxa" w:w="90"/>
              <w:right w:type="dxa" w:w="100"/>
            </w:tcMar>
            <w:vAlign w:val="top"/>
          </w:tcPr>
          <w:p>
            <w:pPr>
              <w:spacing w:before="0" w:after="0"/>
              <w:jc w:val="left"/>
            </w:pPr>
            <w:r>
              <w:rPr>
                <w:rFonts w:ascii="Arial" w:cs="Arial" w:eastAsia="Arial" w:hAnsi="Arial"/>
                <w:b w:val="false"/>
                <w:bCs w:val="false"/>
                <w:color w:val="1A1A1A"/>
                <w:sz w:val="20"/>
                <w:szCs w:val="20"/>
              </w:rPr>
              <w:t xml:space="preserve">Exposure trend</w:t>
            </w:r>
          </w:p>
        </w:tc>
        <w:tc>
          <w:tcPr>
            <w:tcW w:type="dxa" w:w="4560"/>
            <w:tcBorders>
              <w:top w:val="single" w:color="D5D8DC" w:sz="1"/>
              <w:left w:val="single" w:color="D5D8DC" w:sz="1"/>
              <w:bottom w:val="single" w:color="D5D8DC" w:sz="1"/>
              <w:right w:val="single" w:color="D5D8DC" w:sz="1"/>
            </w:tcBorders>
            <w:shd w:fill="FFFFFF" w:val="clear"/>
            <w:tcMar>
              <w:top w:type="dxa" w:w="90"/>
              <w:left w:type="dxa" w:w="150"/>
              <w:bottom w:type="dxa" w:w="90"/>
              <w:right w:type="dxa" w:w="100"/>
            </w:tcMar>
            <w:vAlign w:val="top"/>
          </w:tcPr>
          <w:p>
            <w:pPr>
              <w:spacing w:before="0" w:after="0"/>
              <w:jc w:val="left"/>
            </w:pPr>
            <w:r>
              <w:rPr>
                <w:rFonts w:ascii="Arial" w:cs="Arial" w:eastAsia="Arial" w:hAnsi="Arial"/>
                <w:b w:val="false"/>
                <w:bCs w:val="false"/>
                <w:color w:val="1A1A1A"/>
                <w:sz w:val="20"/>
                <w:szCs w:val="20"/>
              </w:rPr>
              <w:t xml:space="preserve">Debt trajectory — rising balances indicate deterioration.</w:t>
            </w:r>
          </w:p>
        </w:tc>
      </w:tr>
      <w:tr>
        <w:tc>
          <w:tcPr>
            <w:tcW w:type="dxa" w:w="2800"/>
            <w:tcBorders>
              <w:top w:val="single" w:color="D5D8DC" w:sz="1"/>
              <w:left w:val="single" w:color="D5D8DC" w:sz="1"/>
              <w:bottom w:val="single" w:color="D5D8DC" w:sz="1"/>
              <w:right w:val="single" w:color="D5D8DC" w:sz="1"/>
            </w:tcBorders>
            <w:shd w:fill="FFFFFF" w:val="clear"/>
            <w:tcMar>
              <w:top w:type="dxa" w:w="90"/>
              <w:left w:type="dxa" w:w="150"/>
              <w:bottom w:type="dxa" w:w="90"/>
              <w:right w:type="dxa" w:w="100"/>
            </w:tcMar>
            <w:vAlign w:val="top"/>
          </w:tcPr>
          <w:p>
            <w:pPr>
              <w:spacing w:before="0" w:after="0"/>
              <w:jc w:val="left"/>
            </w:pPr>
            <w:r>
              <w:rPr>
                <w:rFonts w:ascii="Arial" w:cs="Arial" w:eastAsia="Arial" w:hAnsi="Arial"/>
                <w:b w:val="false"/>
                <w:bCs w:val="false"/>
                <w:color w:val="1A1A1A"/>
                <w:sz w:val="20"/>
                <w:szCs w:val="20"/>
              </w:rPr>
              <w:t xml:space="preserve">EDUCATION_WOE</w:t>
            </w:r>
          </w:p>
        </w:tc>
        <w:tc>
          <w:tcPr>
            <w:tcW w:type="dxa" w:w="2000"/>
            <w:tcBorders>
              <w:top w:val="single" w:color="D5D8DC" w:sz="1"/>
              <w:left w:val="single" w:color="D5D8DC" w:sz="1"/>
              <w:bottom w:val="single" w:color="D5D8DC" w:sz="1"/>
              <w:right w:val="single" w:color="D5D8DC" w:sz="1"/>
            </w:tcBorders>
            <w:shd w:fill="F4F6F7" w:val="clear"/>
            <w:tcMar>
              <w:top w:type="dxa" w:w="90"/>
              <w:left w:type="dxa" w:w="150"/>
              <w:bottom w:type="dxa" w:w="90"/>
              <w:right w:type="dxa" w:w="100"/>
            </w:tcMar>
            <w:vAlign w:val="top"/>
          </w:tcPr>
          <w:p>
            <w:pPr>
              <w:spacing w:before="0" w:after="0"/>
              <w:jc w:val="left"/>
            </w:pPr>
            <w:r>
              <w:rPr>
                <w:rFonts w:ascii="Arial" w:cs="Arial" w:eastAsia="Arial" w:hAnsi="Arial"/>
                <w:b w:val="false"/>
                <w:bCs w:val="false"/>
                <w:color w:val="1A1A1A"/>
                <w:sz w:val="20"/>
                <w:szCs w:val="20"/>
              </w:rPr>
              <w:t xml:space="preserve">Demographics</w:t>
            </w:r>
          </w:p>
        </w:tc>
        <w:tc>
          <w:tcPr>
            <w:tcW w:type="dxa" w:w="4560"/>
            <w:tcBorders>
              <w:top w:val="single" w:color="D5D8DC" w:sz="1"/>
              <w:left w:val="single" w:color="D5D8DC" w:sz="1"/>
              <w:bottom w:val="single" w:color="D5D8DC" w:sz="1"/>
              <w:right w:val="single" w:color="D5D8DC" w:sz="1"/>
            </w:tcBorders>
            <w:shd w:fill="FFFFFF" w:val="clear"/>
            <w:tcMar>
              <w:top w:type="dxa" w:w="90"/>
              <w:left w:type="dxa" w:w="150"/>
              <w:bottom w:type="dxa" w:w="90"/>
              <w:right w:type="dxa" w:w="100"/>
            </w:tcMar>
            <w:vAlign w:val="top"/>
          </w:tcPr>
          <w:p>
            <w:pPr>
              <w:spacing w:before="0" w:after="0"/>
              <w:jc w:val="left"/>
            </w:pPr>
            <w:r>
              <w:rPr>
                <w:rFonts w:ascii="Arial" w:cs="Arial" w:eastAsia="Arial" w:hAnsi="Arial"/>
                <w:b w:val="false"/>
                <w:bCs w:val="false"/>
                <w:color w:val="1A1A1A"/>
                <w:sz w:val="20"/>
                <w:szCs w:val="20"/>
              </w:rPr>
              <w:t xml:space="preserve">Education gradient in default rates.</w:t>
            </w:r>
          </w:p>
        </w:tc>
      </w:tr>
      <w:tr>
        <w:tc>
          <w:tcPr>
            <w:tcW w:type="dxa" w:w="2800"/>
            <w:tcBorders>
              <w:top w:val="single" w:color="D5D8DC" w:sz="1"/>
              <w:left w:val="single" w:color="D5D8DC" w:sz="1"/>
              <w:bottom w:val="single" w:color="D5D8DC" w:sz="1"/>
              <w:right w:val="single" w:color="D5D8DC" w:sz="1"/>
            </w:tcBorders>
            <w:shd w:fill="FFFFFF" w:val="clear"/>
            <w:tcMar>
              <w:top w:type="dxa" w:w="90"/>
              <w:left w:type="dxa" w:w="150"/>
              <w:bottom w:type="dxa" w:w="90"/>
              <w:right w:type="dxa" w:w="100"/>
            </w:tcMar>
            <w:vAlign w:val="top"/>
          </w:tcPr>
          <w:p>
            <w:pPr>
              <w:spacing w:before="0" w:after="0"/>
              <w:jc w:val="left"/>
            </w:pPr>
            <w:r>
              <w:rPr>
                <w:rFonts w:ascii="Arial" w:cs="Arial" w:eastAsia="Arial" w:hAnsi="Arial"/>
                <w:b w:val="false"/>
                <w:bCs w:val="false"/>
                <w:color w:val="1A1A1A"/>
                <w:sz w:val="20"/>
                <w:szCs w:val="20"/>
              </w:rPr>
              <w:t xml:space="preserve">AGE_BAND_WOE</w:t>
            </w:r>
          </w:p>
        </w:tc>
        <w:tc>
          <w:tcPr>
            <w:tcW w:type="dxa" w:w="2000"/>
            <w:tcBorders>
              <w:top w:val="single" w:color="D5D8DC" w:sz="1"/>
              <w:left w:val="single" w:color="D5D8DC" w:sz="1"/>
              <w:bottom w:val="single" w:color="D5D8DC" w:sz="1"/>
              <w:right w:val="single" w:color="D5D8DC" w:sz="1"/>
            </w:tcBorders>
            <w:shd w:fill="F4F6F7" w:val="clear"/>
            <w:tcMar>
              <w:top w:type="dxa" w:w="90"/>
              <w:left w:type="dxa" w:w="150"/>
              <w:bottom w:type="dxa" w:w="90"/>
              <w:right w:type="dxa" w:w="100"/>
            </w:tcMar>
            <w:vAlign w:val="top"/>
          </w:tcPr>
          <w:p>
            <w:pPr>
              <w:spacing w:before="0" w:after="0"/>
              <w:jc w:val="left"/>
            </w:pPr>
            <w:r>
              <w:rPr>
                <w:rFonts w:ascii="Arial" w:cs="Arial" w:eastAsia="Arial" w:hAnsi="Arial"/>
                <w:b w:val="false"/>
                <w:bCs w:val="false"/>
                <w:color w:val="1A1A1A"/>
                <w:sz w:val="20"/>
                <w:szCs w:val="20"/>
              </w:rPr>
              <w:t xml:space="preserve">Demographics</w:t>
            </w:r>
          </w:p>
        </w:tc>
        <w:tc>
          <w:tcPr>
            <w:tcW w:type="dxa" w:w="4560"/>
            <w:tcBorders>
              <w:top w:val="single" w:color="D5D8DC" w:sz="1"/>
              <w:left w:val="single" w:color="D5D8DC" w:sz="1"/>
              <w:bottom w:val="single" w:color="D5D8DC" w:sz="1"/>
              <w:right w:val="single" w:color="D5D8DC" w:sz="1"/>
            </w:tcBorders>
            <w:shd w:fill="FFFFFF" w:val="clear"/>
            <w:tcMar>
              <w:top w:type="dxa" w:w="90"/>
              <w:left w:type="dxa" w:w="150"/>
              <w:bottom w:type="dxa" w:w="90"/>
              <w:right w:type="dxa" w:w="100"/>
            </w:tcMar>
            <w:vAlign w:val="top"/>
          </w:tcPr>
          <w:p>
            <w:pPr>
              <w:spacing w:before="0" w:after="0"/>
              <w:jc w:val="left"/>
            </w:pPr>
            <w:r>
              <w:rPr>
                <w:rFonts w:ascii="Arial" w:cs="Arial" w:eastAsia="Arial" w:hAnsi="Arial"/>
                <w:b w:val="false"/>
                <w:bCs w:val="false"/>
                <w:color w:val="1A1A1A"/>
                <w:sz w:val="20"/>
                <w:szCs w:val="20"/>
              </w:rPr>
              <w:t xml:space="preserve">Non-linear age-default relationship captured by binning.</w:t>
            </w:r>
          </w:p>
        </w:tc>
      </w:tr>
      <w:tr>
        <w:tc>
          <w:tcPr>
            <w:tcW w:type="dxa" w:w="2800"/>
            <w:tcBorders>
              <w:top w:val="single" w:color="D5D8DC" w:sz="1"/>
              <w:left w:val="single" w:color="D5D8DC" w:sz="1"/>
              <w:bottom w:val="single" w:color="D5D8DC" w:sz="1"/>
              <w:right w:val="single" w:color="D5D8DC" w:sz="1"/>
            </w:tcBorders>
            <w:shd w:fill="FFFFFF" w:val="clear"/>
            <w:tcMar>
              <w:top w:type="dxa" w:w="90"/>
              <w:left w:type="dxa" w:w="150"/>
              <w:bottom w:type="dxa" w:w="90"/>
              <w:right w:type="dxa" w:w="100"/>
            </w:tcMar>
            <w:vAlign w:val="top"/>
          </w:tcPr>
          <w:p>
            <w:pPr>
              <w:spacing w:before="0" w:after="0"/>
              <w:jc w:val="left"/>
            </w:pPr>
            <w:r>
              <w:rPr>
                <w:rFonts w:ascii="Arial" w:cs="Arial" w:eastAsia="Arial" w:hAnsi="Arial"/>
                <w:b w:val="false"/>
                <w:bCs w:val="false"/>
                <w:color w:val="1A1A1A"/>
                <w:sz w:val="20"/>
                <w:szCs w:val="20"/>
              </w:rPr>
              <w:t xml:space="preserve">DELAY_ACCELERATION_WOE</w:t>
            </w:r>
          </w:p>
        </w:tc>
        <w:tc>
          <w:tcPr>
            <w:tcW w:type="dxa" w:w="2000"/>
            <w:tcBorders>
              <w:top w:val="single" w:color="D5D8DC" w:sz="1"/>
              <w:left w:val="single" w:color="D5D8DC" w:sz="1"/>
              <w:bottom w:val="single" w:color="D5D8DC" w:sz="1"/>
              <w:right w:val="single" w:color="D5D8DC" w:sz="1"/>
            </w:tcBorders>
            <w:shd w:fill="F4F6F7" w:val="clear"/>
            <w:tcMar>
              <w:top w:type="dxa" w:w="90"/>
              <w:left w:type="dxa" w:w="150"/>
              <w:bottom w:type="dxa" w:w="90"/>
              <w:right w:type="dxa" w:w="100"/>
            </w:tcMar>
            <w:vAlign w:val="top"/>
          </w:tcPr>
          <w:p>
            <w:pPr>
              <w:spacing w:before="0" w:after="0"/>
              <w:jc w:val="left"/>
            </w:pPr>
            <w:r>
              <w:rPr>
                <w:rFonts w:ascii="Arial" w:cs="Arial" w:eastAsia="Arial" w:hAnsi="Arial"/>
                <w:b w:val="false"/>
                <w:bCs w:val="false"/>
                <w:color w:val="1A1A1A"/>
                <w:sz w:val="20"/>
                <w:szCs w:val="20"/>
              </w:rPr>
              <w:t xml:space="preserve">Temporal behaviour</w:t>
            </w:r>
          </w:p>
        </w:tc>
        <w:tc>
          <w:tcPr>
            <w:tcW w:type="dxa" w:w="4560"/>
            <w:tcBorders>
              <w:top w:val="single" w:color="D5D8DC" w:sz="1"/>
              <w:left w:val="single" w:color="D5D8DC" w:sz="1"/>
              <w:bottom w:val="single" w:color="D5D8DC" w:sz="1"/>
              <w:right w:val="single" w:color="D5D8DC" w:sz="1"/>
            </w:tcBorders>
            <w:shd w:fill="FFFFFF" w:val="clear"/>
            <w:tcMar>
              <w:top w:type="dxa" w:w="90"/>
              <w:left w:type="dxa" w:w="150"/>
              <w:bottom w:type="dxa" w:w="90"/>
              <w:right w:type="dxa" w:w="100"/>
            </w:tcMar>
            <w:vAlign w:val="top"/>
          </w:tcPr>
          <w:p>
            <w:pPr>
              <w:spacing w:before="0" w:after="0"/>
              <w:jc w:val="left"/>
            </w:pPr>
            <w:r>
              <w:rPr>
                <w:rFonts w:ascii="Arial" w:cs="Arial" w:eastAsia="Arial" w:hAnsi="Arial"/>
                <w:b w:val="false"/>
                <w:bCs w:val="false"/>
                <w:color w:val="1A1A1A"/>
                <w:sz w:val="20"/>
                <w:szCs w:val="20"/>
              </w:rPr>
              <w:t xml:space="preserve">Deterioration trajectory in repayment behaviour.</w:t>
            </w:r>
          </w:p>
        </w:tc>
      </w:tr>
    </w:tbl>
    <w:p>
      <w:pPr>
        <w:spacing w:before="0" w:after="80"/>
      </w:pPr>
    </w:p>
    <w:p>
      <w:pPr>
        <w:pStyle w:val="Heading3"/>
        <w:spacing w:before="200" w:after="80"/>
      </w:pPr>
      <w:r>
        <w:rPr>
          <w:rFonts w:ascii="Arial" w:cs="Arial" w:eastAsia="Arial" w:hAnsi="Arial"/>
          <w:b/>
          <w:bCs/>
          <w:color w:val="1F3864"/>
          <w:sz w:val="24"/>
          <w:szCs w:val="24"/>
        </w:rPr>
        <w:t xml:space="preserve">XGBoost / LightGBM (raw / log-transformed)</w:t>
      </w:r>
    </w:p>
    <w:p>
      <w:pPr>
        <w:spacing w:before="80" w:after="80"/>
      </w:pPr>
      <w:r>
        <w:rPr>
          <w:rFonts w:ascii="Arial" w:cs="Arial" w:eastAsia="Arial" w:hAnsi="Arial"/>
          <w:b w:val="false"/>
          <w:bCs w:val="false"/>
          <w:color w:val="1A1A1A"/>
          <w:sz w:val="22"/>
          <w:szCs w:val="22"/>
        </w:rPr>
        <w:t xml:space="preserve">For gradient boosting models, the recommended feature set expands to include additional raw and derived features that tree-based algorithms can exploit through learned split points:</w:t>
      </w:r>
    </w:p>
    <w:p>
      <w:pPr>
        <w:pStyle w:val="ListParagraph"/>
        <w:numPr>
          <w:ilvl w:val="0"/>
          <w:numId w:val="2"/>
        </w:numPr>
        <w:spacing w:before="50" w:after="50"/>
      </w:pPr>
      <w:r>
        <w:rPr>
          <w:rFonts w:ascii="Arial" w:cs="Arial" w:eastAsia="Arial" w:hAnsi="Arial"/>
          <w:b w:val="false"/>
          <w:bCs w:val="false"/>
          <w:color w:val="1A1A1A"/>
          <w:sz w:val="22"/>
          <w:szCs w:val="22"/>
        </w:rPr>
        <w:t xml:space="preserve">All 11 scorecard features (in their log-transformed, non-WOE form)</w:t>
      </w:r>
    </w:p>
    <w:p>
      <w:pPr>
        <w:pStyle w:val="ListParagraph"/>
        <w:numPr>
          <w:ilvl w:val="0"/>
          <w:numId w:val="2"/>
        </w:numPr>
        <w:spacing w:before="50" w:after="50"/>
      </w:pPr>
      <w:r>
        <w:rPr>
          <w:rFonts w:ascii="Arial" w:cs="Arial" w:eastAsia="Arial" w:hAnsi="Arial"/>
          <w:b w:val="false"/>
          <w:bCs w:val="false"/>
          <w:color w:val="1A1A1A"/>
          <w:sz w:val="22"/>
          <w:szCs w:val="22"/>
        </w:rPr>
        <w:t xml:space="preserve">PAY_2 (second most recent repayment status)</w:t>
      </w:r>
    </w:p>
    <w:p>
      <w:pPr>
        <w:pStyle w:val="ListParagraph"/>
        <w:numPr>
          <w:ilvl w:val="0"/>
          <w:numId w:val="2"/>
        </w:numPr>
        <w:spacing w:before="50" w:after="50"/>
      </w:pPr>
      <w:r>
        <w:rPr>
          <w:rFonts w:ascii="Arial" w:cs="Arial" w:eastAsia="Arial" w:hAnsi="Arial"/>
          <w:b w:val="false"/>
          <w:bCs w:val="false"/>
          <w:color w:val="1A1A1A"/>
          <w:sz w:val="22"/>
          <w:szCs w:val="22"/>
        </w:rPr>
        <w:t xml:space="preserve">PAY_BILL_RATIO_1 and PAY_BILL_RATIO_2 (most recent two ratios)</w:t>
      </w:r>
    </w:p>
    <w:p>
      <w:pPr>
        <w:pStyle w:val="ListParagraph"/>
        <w:numPr>
          <w:ilvl w:val="0"/>
          <w:numId w:val="2"/>
        </w:numPr>
        <w:spacing w:before="50" w:after="50"/>
      </w:pPr>
      <w:r>
        <w:rPr>
          <w:rFonts w:ascii="Arial" w:cs="Arial" w:eastAsia="Arial" w:hAnsi="Arial"/>
          <w:b w:val="false"/>
          <w:bCs w:val="false"/>
          <w:color w:val="1A1A1A"/>
          <w:sz w:val="22"/>
          <w:szCs w:val="22"/>
        </w:rPr>
        <w:t xml:space="preserve">PAYMENT_RECENCY_RATIO (recent vs. historical payment pattern)</w:t>
      </w:r>
    </w:p>
    <w:p>
      <w:pPr>
        <w:pStyle w:val="ListParagraph"/>
        <w:numPr>
          <w:ilvl w:val="0"/>
          <w:numId w:val="2"/>
        </w:numPr>
        <w:spacing w:before="50" w:after="50"/>
      </w:pPr>
      <w:r>
        <w:rPr>
          <w:rFonts w:ascii="Arial" w:cs="Arial" w:eastAsia="Arial" w:hAnsi="Arial"/>
          <w:b w:val="false"/>
          <w:bCs w:val="false"/>
          <w:color w:val="1A1A1A"/>
          <w:sz w:val="22"/>
          <w:szCs w:val="22"/>
        </w:rPr>
        <w:t xml:space="preserve">CONSEC_DELAYS (consecutive delinquency streak)</w:t>
      </w:r>
    </w:p>
    <w:p>
      <w:pPr>
        <w:pStyle w:val="ListParagraph"/>
        <w:numPr>
          <w:ilvl w:val="0"/>
          <w:numId w:val="2"/>
        </w:numPr>
        <w:spacing w:before="50" w:after="50"/>
      </w:pPr>
      <w:r>
        <w:rPr>
          <w:rFonts w:ascii="Arial" w:cs="Arial" w:eastAsia="Arial" w:hAnsi="Arial"/>
          <w:b w:val="false"/>
          <w:bCs w:val="false"/>
          <w:color w:val="1A1A1A"/>
          <w:sz w:val="22"/>
          <w:szCs w:val="22"/>
        </w:rPr>
        <w:t xml:space="preserve">AVG_BILL_AMT (smoothed billing exposure)</w:t>
      </w:r>
    </w:p>
    <w:p>
      <w:pPr>
        <w:pStyle w:val="ListParagraph"/>
        <w:numPr>
          <w:ilvl w:val="0"/>
          <w:numId w:val="2"/>
        </w:numPr>
        <w:spacing w:before="50" w:after="50"/>
      </w:pPr>
      <w:r>
        <w:rPr>
          <w:rFonts w:ascii="Arial" w:cs="Arial" w:eastAsia="Arial" w:hAnsi="Arial"/>
          <w:b w:val="false"/>
          <w:bCs w:val="false"/>
          <w:color w:val="1A1A1A"/>
          <w:sz w:val="22"/>
          <w:szCs w:val="22"/>
        </w:rPr>
        <w:t xml:space="preserve">REPAYMENT_CAPACITY_SCORE (composite behavioural index)</w:t>
      </w:r>
    </w:p>
    <w:p>
      <w:pPr>
        <w:pStyle w:val="ListParagraph"/>
        <w:numPr>
          <w:ilvl w:val="0"/>
          <w:numId w:val="2"/>
        </w:numPr>
        <w:spacing w:before="50" w:after="50"/>
      </w:pPr>
      <w:r>
        <w:rPr>
          <w:rFonts w:ascii="Arial" w:cs="Arial" w:eastAsia="Arial" w:hAnsi="Arial"/>
          <w:b w:val="false"/>
          <w:bCs w:val="false"/>
          <w:color w:val="1A1A1A"/>
          <w:sz w:val="22"/>
          <w:szCs w:val="22"/>
        </w:rPr>
        <w:t xml:space="preserve">FINANCIAL_STRESS_INDEX (composite stress indicator)</w:t>
      </w:r>
    </w:p>
    <w:p>
      <w:pPr>
        <w:pStyle w:val="ListParagraph"/>
        <w:numPr>
          <w:ilvl w:val="0"/>
          <w:numId w:val="2"/>
        </w:numPr>
        <w:spacing w:before="50" w:after="50"/>
      </w:pPr>
      <w:r>
        <w:rPr>
          <w:rFonts w:ascii="Arial" w:cs="Arial" w:eastAsia="Arial" w:hAnsi="Arial"/>
          <w:b w:val="false"/>
          <w:bCs w:val="false"/>
          <w:color w:val="1A1A1A"/>
          <w:sz w:val="22"/>
          <w:szCs w:val="22"/>
        </w:rPr>
        <w:t xml:space="preserve">MARRIAGE, GENDER (one-hot encoded — for exploratory completeness; subject to disparate impact review)</w:t>
      </w:r>
    </w:p>
    <w:p>
      <w:pPr>
        <w:spacing w:before="0" w:after="200"/>
      </w:pPr>
    </w:p>
    <w:p>
      <w:r>
        <w:br w:type="page"/>
      </w:r>
    </w:p>
    <w:p>
      <w:pPr>
        <w:pStyle w:val="Heading1"/>
        <w:pBdr>
          <w:bottom w:val="single" w:color="2E75B6" w:sz="6"/>
        </w:pBdr>
        <w:spacing w:before="400" w:after="160"/>
      </w:pPr>
      <w:r>
        <w:rPr>
          <w:rFonts w:ascii="Arial" w:cs="Arial" w:eastAsia="Arial" w:hAnsi="Arial"/>
          <w:b/>
          <w:bCs/>
          <w:color w:val="1F3864"/>
          <w:sz w:val="36"/>
          <w:szCs w:val="36"/>
        </w:rPr>
        <w:t xml:space="preserve">Appendix A: Advanced Techniques Supplement</w:t>
      </w:r>
    </w:p>
    <w:p>
      <w:pPr>
        <w:spacing w:before="80" w:after="80"/>
      </w:pPr>
      <w:r>
        <w:rPr>
          <w:rFonts w:ascii="Arial" w:cs="Arial" w:eastAsia="Arial" w:hAnsi="Arial"/>
          <w:b w:val="false"/>
          <w:bCs w:val="false"/>
          <w:color w:val="1A1A1A"/>
          <w:sz w:val="22"/>
          <w:szCs w:val="22"/>
        </w:rPr>
        <w:t xml:space="preserve">The following advanced techniques are used in leading credit risk modeling practices and are directly applicable to this dataset. They were not explicitly requested but represent genuine value-adds in modern credit risk model development.</w:t>
      </w:r>
    </w:p>
    <w:p>
      <w:pPr>
        <w:spacing w:before="0" w:after="120"/>
      </w:pPr>
    </w:p>
    <w:p>
      <w:pPr>
        <w:pStyle w:val="Heading2"/>
        <w:spacing w:before="280" w:after="120"/>
      </w:pPr>
      <w:r>
        <w:rPr>
          <w:rFonts w:ascii="Arial" w:cs="Arial" w:eastAsia="Arial" w:hAnsi="Arial"/>
          <w:b/>
          <w:bCs/>
          <w:color w:val="1B6CA8"/>
          <w:sz w:val="28"/>
          <w:szCs w:val="28"/>
        </w:rPr>
        <w:t xml:space="preserve">A.1 Monotone Constraints in Gradient Boosting</w:t>
      </w:r>
    </w:p>
    <w:p>
      <w:pPr>
        <w:spacing w:before="80" w:after="80"/>
      </w:pPr>
      <w:r>
        <w:rPr>
          <w:rFonts w:ascii="Arial" w:cs="Arial" w:eastAsia="Arial" w:hAnsi="Arial"/>
          <w:b w:val="false"/>
          <w:bCs w:val="false"/>
          <w:color w:val="1A1A1A"/>
          <w:sz w:val="22"/>
          <w:szCs w:val="22"/>
        </w:rPr>
        <w:t xml:space="preserve">XGBoost and LightGBM support monotone constraints — forcing the model to learn only monotonic relationships for specified features. This is critically important in regulated credit models where domain knowledge dictates the direction of a feature's effect.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5D8DC" w:sz="1"/>
              <w:left w:val="single" w:color="D5D8DC" w:sz="1"/>
              <w:bottom w:val="single" w:color="D5D8DC" w:sz="1"/>
              <w:right w:val="single" w:color="D5D8DC" w:sz="1"/>
            </w:tcBorders>
            <w:shd w:fill="2C3E50" w:val="clear"/>
            <w:tcMar>
              <w:top w:type="dxa" w:w="120"/>
              <w:left w:type="dxa" w:w="200"/>
              <w:bottom w:type="dxa" w:w="120"/>
              <w:right w:type="dxa" w:w="160"/>
            </w:tcMar>
          </w:tcPr>
          <w:p>
            <w:pPr>
              <w:spacing w:before="20" w:after="20"/>
            </w:pPr>
            <w:r>
              <w:rPr>
                <w:rFonts w:ascii="Courier New" w:cs="Courier New" w:eastAsia="Courier New" w:hAnsi="Courier New"/>
                <w:color w:val="A9DFBF"/>
                <w:sz w:val="18"/>
                <w:szCs w:val="18"/>
              </w:rPr>
              <w:t xml:space="preserve"># XGBoost: enforce monotone constraints</w:t>
            </w:r>
          </w:p>
          <w:p>
            <w:pPr>
              <w:spacing w:before="20" w:after="20"/>
            </w:pPr>
            <w:r>
              <w:rPr>
                <w:rFonts w:ascii="Courier New" w:cs="Courier New" w:eastAsia="Courier New" w:hAnsi="Courier New"/>
                <w:color w:val="A9DFBF"/>
                <w:sz w:val="18"/>
                <w:szCs w:val="18"/>
              </w:rPr>
              <w:t xml:space="preserve"># +1 = monotone increasing (higher value = higher risk)</w:t>
            </w:r>
          </w:p>
          <w:p>
            <w:pPr>
              <w:spacing w:before="20" w:after="20"/>
            </w:pPr>
            <w:r>
              <w:rPr>
                <w:rFonts w:ascii="Courier New" w:cs="Courier New" w:eastAsia="Courier New" w:hAnsi="Courier New"/>
                <w:color w:val="A9DFBF"/>
                <w:sz w:val="18"/>
                <w:szCs w:val="18"/>
              </w:rPr>
              <w:t xml:space="preserve"># -1 = monotone decreasing (higher value = lower risk)</w:t>
            </w:r>
          </w:p>
          <w:p>
            <w:pPr>
              <w:spacing w:before="20" w:after="20"/>
            </w:pPr>
            <w:r>
              <w:rPr>
                <w:rFonts w:ascii="Courier New" w:cs="Courier New" w:eastAsia="Courier New" w:hAnsi="Courier New"/>
                <w:color w:val="A9DFBF"/>
                <w:sz w:val="18"/>
                <w:szCs w:val="18"/>
              </w:rPr>
              <w:t xml:space="preserve"># 0  = no constraint</w:t>
            </w:r>
          </w:p>
          <w:p>
            <w:pPr>
              <w:spacing w:before="20" w:after="20"/>
            </w:pPr>
            <w:r>
              <w:rPr>
                <w:rFonts w:ascii="Courier New" w:cs="Courier New" w:eastAsia="Courier New" w:hAnsi="Courier New"/>
                <w:color w:val="A9DFBF"/>
                <w:sz w:val="18"/>
                <w:szCs w:val="18"/>
              </w:rPr>
              <w:t xml:space="preserve"/>
            </w:r>
          </w:p>
          <w:p>
            <w:pPr>
              <w:spacing w:before="20" w:after="20"/>
            </w:pPr>
            <w:r>
              <w:rPr>
                <w:rFonts w:ascii="Courier New" w:cs="Courier New" w:eastAsia="Courier New" w:hAnsi="Courier New"/>
                <w:color w:val="A9DFBF"/>
                <w:sz w:val="18"/>
                <w:szCs w:val="18"/>
              </w:rPr>
              <w:t xml:space="preserve">monotone_constraints = {</w:t>
            </w:r>
          </w:p>
          <w:p>
            <w:pPr>
              <w:spacing w:before="20" w:after="20"/>
            </w:pPr>
            <w:r>
              <w:rPr>
                <w:rFonts w:ascii="Courier New" w:cs="Courier New" w:eastAsia="Courier New" w:hAnsi="Courier New"/>
                <w:color w:val="A9DFBF"/>
                <w:sz w:val="18"/>
                <w:szCs w:val="18"/>
              </w:rPr>
              <w:t xml:space="preserve">    "MAX_DELAY": +1,          # higher delay -&gt; higher default risk</w:t>
            </w:r>
          </w:p>
          <w:p>
            <w:pPr>
              <w:spacing w:before="20" w:after="20"/>
            </w:pPr>
            <w:r>
              <w:rPr>
                <w:rFonts w:ascii="Courier New" w:cs="Courier New" w:eastAsia="Courier New" w:hAnsi="Courier New"/>
                <w:color w:val="A9DFBF"/>
                <w:sz w:val="18"/>
                <w:szCs w:val="18"/>
              </w:rPr>
              <w:t xml:space="preserve">    "NUM_DELAYS": +1,         # more delinquent months -&gt; higher risk</w:t>
            </w:r>
          </w:p>
          <w:p>
            <w:pPr>
              <w:spacing w:before="20" w:after="20"/>
            </w:pPr>
            <w:r>
              <w:rPr>
                <w:rFonts w:ascii="Courier New" w:cs="Courier New" w:eastAsia="Courier New" w:hAnsi="Courier New"/>
                <w:color w:val="A9DFBF"/>
                <w:sz w:val="18"/>
                <w:szCs w:val="18"/>
              </w:rPr>
              <w:t xml:space="preserve">    "UTILIZATION_RATIO": +1,  # higher utilization -&gt; higher risk</w:t>
            </w:r>
          </w:p>
          <w:p>
            <w:pPr>
              <w:spacing w:before="20" w:after="20"/>
            </w:pPr>
            <w:r>
              <w:rPr>
                <w:rFonts w:ascii="Courier New" w:cs="Courier New" w:eastAsia="Courier New" w:hAnsi="Courier New"/>
                <w:color w:val="A9DFBF"/>
                <w:sz w:val="18"/>
                <w:szCs w:val="18"/>
              </w:rPr>
              <w:t xml:space="preserve">    "LOG_LIMIT_BAL": -1,      # higher limit -&gt; lower risk</w:t>
            </w:r>
          </w:p>
          <w:p>
            <w:pPr>
              <w:spacing w:before="20" w:after="20"/>
            </w:pPr>
            <w:r>
              <w:rPr>
                <w:rFonts w:ascii="Courier New" w:cs="Courier New" w:eastAsia="Courier New" w:hAnsi="Courier New"/>
                <w:color w:val="A9DFBF"/>
                <w:sz w:val="18"/>
                <w:szCs w:val="18"/>
              </w:rPr>
              <w:t xml:space="preserve">    "AVG_PAY_BILL_RATIO": -1, # higher repayment ratio -&gt; lower risk</w:t>
            </w:r>
          </w:p>
          <w:p>
            <w:pPr>
              <w:spacing w:before="20" w:after="20"/>
            </w:pPr>
            <w:r>
              <w:rPr>
                <w:rFonts w:ascii="Courier New" w:cs="Courier New" w:eastAsia="Courier New" w:hAnsi="Courier New"/>
                <w:color w:val="A9DFBF"/>
                <w:sz w:val="18"/>
                <w:szCs w:val="18"/>
              </w:rPr>
              <w:t xml:space="preserve">}</w:t>
            </w:r>
          </w:p>
        </w:tc>
      </w:tr>
    </w:tbl>
    <w:p>
      <w:pPr>
        <w:spacing w:before="0" w:after="80"/>
      </w:pPr>
    </w:p>
    <w:p>
      <w:pPr>
        <w:spacing w:before="80" w:after="80"/>
      </w:pPr>
      <w:r>
        <w:rPr>
          <w:rFonts w:ascii="Arial" w:cs="Arial" w:eastAsia="Arial" w:hAnsi="Arial"/>
          <w:b w:val="false"/>
          <w:bCs w:val="false"/>
          <w:color w:val="1A1A1A"/>
          <w:sz w:val="22"/>
          <w:szCs w:val="22"/>
        </w:rPr>
        <w:t xml:space="preserve">Monotone constraints dramatically improve model interpretability and regulatory acceptability for XGBoost. They ensure that the model's learned relationships are consistent with credit theory and prevent "flip" effects in SHAP values at extreme feature values.</w:t>
      </w:r>
    </w:p>
    <w:p>
      <w:pPr>
        <w:spacing w:before="0" w:after="140"/>
      </w:pPr>
    </w:p>
    <w:p>
      <w:pPr>
        <w:pStyle w:val="Heading2"/>
        <w:spacing w:before="280" w:after="120"/>
      </w:pPr>
      <w:r>
        <w:rPr>
          <w:rFonts w:ascii="Arial" w:cs="Arial" w:eastAsia="Arial" w:hAnsi="Arial"/>
          <w:b/>
          <w:bCs/>
          <w:color w:val="1B6CA8"/>
          <w:sz w:val="28"/>
          <w:szCs w:val="28"/>
        </w:rPr>
        <w:t xml:space="preserve">A.2 Behavioural Scorecard Migration</w:t>
      </w:r>
    </w:p>
    <w:p>
      <w:pPr>
        <w:spacing w:before="80" w:after="80"/>
      </w:pPr>
      <w:r>
        <w:rPr>
          <w:rFonts w:ascii="Arial" w:cs="Arial" w:eastAsia="Arial" w:hAnsi="Arial"/>
          <w:b w:val="false"/>
          <w:bCs w:val="false"/>
          <w:color w:val="1A1A1A"/>
          <w:sz w:val="22"/>
          <w:szCs w:val="22"/>
        </w:rPr>
        <w:t xml:space="preserve">A "migration matrix" tracks how many clients move between risk segments (e.g., PAY_0 categories) month over month. This is a standard risk management tool but also provides rich engineered features:</w:t>
      </w:r>
    </w:p>
    <w:p>
      <w:pPr>
        <w:pStyle w:val="ListParagraph"/>
        <w:numPr>
          <w:ilvl w:val="0"/>
          <w:numId w:val="2"/>
        </w:numPr>
        <w:spacing w:before="50" w:after="50"/>
      </w:pPr>
      <w:r>
        <w:rPr>
          <w:rFonts w:ascii="Arial" w:cs="Arial" w:eastAsia="Arial" w:hAnsi="Arial"/>
          <w:b w:val="false"/>
          <w:bCs w:val="false"/>
          <w:color w:val="1A1A1A"/>
          <w:sz w:val="22"/>
          <w:szCs w:val="22"/>
        </w:rPr>
        <w:t xml:space="preserve">ROLL_RATE: Proportion of clients who migrated from a lower delay category to a higher one. High roll rates predict portfolio-level default increases 2–3 months in advance.</w:t>
      </w:r>
    </w:p>
    <w:p>
      <w:pPr>
        <w:pStyle w:val="ListParagraph"/>
        <w:numPr>
          <w:ilvl w:val="0"/>
          <w:numId w:val="2"/>
        </w:numPr>
        <w:spacing w:before="50" w:after="50"/>
      </w:pPr>
      <w:r>
        <w:rPr>
          <w:rFonts w:ascii="Arial" w:cs="Arial" w:eastAsia="Arial" w:hAnsi="Arial"/>
          <w:b w:val="false"/>
          <w:bCs w:val="false"/>
          <w:color w:val="1A1A1A"/>
          <w:sz w:val="22"/>
          <w:szCs w:val="22"/>
        </w:rPr>
        <w:t xml:space="preserve">CURE_RATE_FEATURE: Binary flag for clients who were delinquent in earlier months but cured (returned to PAY ≤ 0) by the most recent month. Cured clients have materially different default risk than chronically delinquent ones.</w:t>
      </w:r>
    </w:p>
    <w:p>
      <w:pPr>
        <w:spacing w:before="0" w:after="140"/>
      </w:pPr>
    </w:p>
    <w:p>
      <w:pPr>
        <w:pStyle w:val="Heading2"/>
        <w:spacing w:before="280" w:after="120"/>
      </w:pPr>
      <w:r>
        <w:rPr>
          <w:rFonts w:ascii="Arial" w:cs="Arial" w:eastAsia="Arial" w:hAnsi="Arial"/>
          <w:b/>
          <w:bCs/>
          <w:color w:val="1B6CA8"/>
          <w:sz w:val="28"/>
          <w:szCs w:val="28"/>
        </w:rPr>
        <w:t xml:space="preserve">A.3 Recency-Weighted Aggregates</w:t>
      </w:r>
    </w:p>
    <w:p>
      <w:pPr>
        <w:spacing w:before="80" w:after="80"/>
      </w:pPr>
      <w:r>
        <w:rPr>
          <w:rFonts w:ascii="Arial" w:cs="Arial" w:eastAsia="Arial" w:hAnsi="Arial"/>
          <w:b w:val="false"/>
          <w:bCs w:val="false"/>
          <w:color w:val="1A1A1A"/>
          <w:sz w:val="22"/>
          <w:szCs w:val="22"/>
        </w:rPr>
        <w:t xml:space="preserve">Rather than equal weighting across all six months, recency-weighted aggregates give more weight to recent behaviour, consistent with the EDA finding that recent months are more predictive: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5D8DC" w:sz="1"/>
              <w:left w:val="single" w:color="D5D8DC" w:sz="1"/>
              <w:bottom w:val="single" w:color="D5D8DC" w:sz="1"/>
              <w:right w:val="single" w:color="D5D8DC" w:sz="1"/>
            </w:tcBorders>
            <w:shd w:fill="2C3E50" w:val="clear"/>
            <w:tcMar>
              <w:top w:type="dxa" w:w="120"/>
              <w:left w:type="dxa" w:w="200"/>
              <w:bottom w:type="dxa" w:w="120"/>
              <w:right w:type="dxa" w:w="160"/>
            </w:tcMar>
          </w:tcPr>
          <w:p>
            <w:pPr>
              <w:spacing w:before="20" w:after="20"/>
            </w:pPr>
            <w:r>
              <w:rPr>
                <w:rFonts w:ascii="Courier New" w:cs="Courier New" w:eastAsia="Courier New" w:hAnsi="Courier New"/>
                <w:color w:val="A9DFBF"/>
                <w:sz w:val="18"/>
                <w:szCs w:val="18"/>
              </w:rPr>
              <w:t xml:space="preserve"># Exponential decay weighting — most recent month gets highest weight</w:t>
            </w:r>
          </w:p>
          <w:p>
            <w:pPr>
              <w:spacing w:before="20" w:after="20"/>
            </w:pPr>
            <w:r>
              <w:rPr>
                <w:rFonts w:ascii="Courier New" w:cs="Courier New" w:eastAsia="Courier New" w:hAnsi="Courier New"/>
                <w:color w:val="A9DFBF"/>
                <w:sz w:val="18"/>
                <w:szCs w:val="18"/>
              </w:rPr>
              <w:t xml:space="preserve">weights = np.array([0.35, 0.25, 0.18, 0.11, 0.07, 0.04])  # Sep to Apr</w:t>
            </w:r>
          </w:p>
          <w:p>
            <w:pPr>
              <w:spacing w:before="20" w:after="20"/>
            </w:pPr>
            <w:r>
              <w:rPr>
                <w:rFonts w:ascii="Courier New" w:cs="Courier New" w:eastAsia="Courier New" w:hAnsi="Courier New"/>
                <w:color w:val="A9DFBF"/>
                <w:sz w:val="18"/>
                <w:szCs w:val="18"/>
              </w:rPr>
              <w:t xml:space="preserve"/>
            </w:r>
          </w:p>
          <w:p>
            <w:pPr>
              <w:spacing w:before="20" w:after="20"/>
            </w:pPr>
            <w:r>
              <w:rPr>
                <w:rFonts w:ascii="Courier New" w:cs="Courier New" w:eastAsia="Courier New" w:hAnsi="Courier New"/>
                <w:color w:val="A9DFBF"/>
                <w:sz w:val="18"/>
                <w:szCs w:val="18"/>
              </w:rPr>
              <w:t xml:space="preserve">WEIGHTED_DELAY = sum(weights[i] * PAY_cols[i] for i in range(6))</w:t>
            </w:r>
          </w:p>
          <w:p>
            <w:pPr>
              <w:spacing w:before="20" w:after="20"/>
            </w:pPr>
            <w:r>
              <w:rPr>
                <w:rFonts w:ascii="Courier New" w:cs="Courier New" w:eastAsia="Courier New" w:hAnsi="Courier New"/>
                <w:color w:val="A9DFBF"/>
                <w:sz w:val="18"/>
                <w:szCs w:val="18"/>
              </w:rPr>
              <w:t xml:space="preserve">WEIGHTED_RATIO = sum(weights[i] * RATIO_cols[i] for i in range(6))</w:t>
            </w:r>
          </w:p>
        </w:tc>
      </w:tr>
    </w:tbl>
    <w:p>
      <w:pPr>
        <w:spacing w:before="80" w:after="80"/>
      </w:pPr>
      <w:r>
        <w:rPr>
          <w:rFonts w:ascii="Arial" w:cs="Arial" w:eastAsia="Arial" w:hAnsi="Arial"/>
          <w:b w:val="false"/>
          <w:bCs w:val="false"/>
          <w:color w:val="1A1A1A"/>
          <w:sz w:val="22"/>
          <w:szCs w:val="22"/>
        </w:rPr>
        <w:t xml:space="preserve">Recency-weighted features often outperform simple averages (AVG_PAY_BILL_RATIO) because they better align with the temporal deterioration pattern observed in EDA.</w:t>
      </w:r>
    </w:p>
    <w:p>
      <w:pPr>
        <w:spacing w:before="0" w:after="140"/>
      </w:pPr>
    </w:p>
    <w:p>
      <w:pPr>
        <w:pStyle w:val="Heading2"/>
        <w:spacing w:before="280" w:after="120"/>
      </w:pPr>
      <w:r>
        <w:rPr>
          <w:rFonts w:ascii="Arial" w:cs="Arial" w:eastAsia="Arial" w:hAnsi="Arial"/>
          <w:b/>
          <w:bCs/>
          <w:color w:val="1B6CA8"/>
          <w:sz w:val="28"/>
          <w:szCs w:val="28"/>
        </w:rPr>
        <w:t xml:space="preserve">A.4 Macro-Economic Feature Augmentation (IFRS9)</w:t>
      </w:r>
    </w:p>
    <w:p>
      <w:pPr>
        <w:spacing w:before="80" w:after="80"/>
      </w:pPr>
      <w:r>
        <w:rPr>
          <w:rFonts w:ascii="Arial" w:cs="Arial" w:eastAsia="Arial" w:hAnsi="Arial"/>
          <w:b w:val="false"/>
          <w:bCs w:val="false"/>
          <w:color w:val="1A1A1A"/>
          <w:sz w:val="22"/>
          <w:szCs w:val="22"/>
        </w:rPr>
        <w:t xml:space="preserve">For IFRS9 Point-in-Time PD models, the feature set must include forward-looking macroeconomic variables to capture the impact of the economic cycle on default rates:</w:t>
      </w:r>
    </w:p>
    <w:p>
      <w:pPr>
        <w:pStyle w:val="ListParagraph"/>
        <w:numPr>
          <w:ilvl w:val="0"/>
          <w:numId w:val="2"/>
        </w:numPr>
        <w:spacing w:before="50" w:after="50"/>
      </w:pPr>
      <w:r>
        <w:rPr>
          <w:rFonts w:ascii="Arial" w:cs="Arial" w:eastAsia="Arial" w:hAnsi="Arial"/>
          <w:b w:val="false"/>
          <w:bCs w:val="false"/>
          <w:color w:val="1A1A1A"/>
          <w:sz w:val="22"/>
          <w:szCs w:val="22"/>
        </w:rPr>
        <w:t xml:space="preserve">GDP growth rate (quarterly): Negative GDP growth is associated with elevated default rates.</w:t>
      </w:r>
    </w:p>
    <w:p>
      <w:pPr>
        <w:pStyle w:val="ListParagraph"/>
        <w:numPr>
          <w:ilvl w:val="0"/>
          <w:numId w:val="2"/>
        </w:numPr>
        <w:spacing w:before="50" w:after="50"/>
      </w:pPr>
      <w:r>
        <w:rPr>
          <w:rFonts w:ascii="Arial" w:cs="Arial" w:eastAsia="Arial" w:hAnsi="Arial"/>
          <w:b w:val="false"/>
          <w:bCs w:val="false"/>
          <w:color w:val="1A1A1A"/>
          <w:sz w:val="22"/>
          <w:szCs w:val="22"/>
        </w:rPr>
        <w:t xml:space="preserve">Unemployment rate: Rising unemployment directly reduces repayment capacity.</w:t>
      </w:r>
    </w:p>
    <w:p>
      <w:pPr>
        <w:pStyle w:val="ListParagraph"/>
        <w:numPr>
          <w:ilvl w:val="0"/>
          <w:numId w:val="2"/>
        </w:numPr>
        <w:spacing w:before="50" w:after="50"/>
      </w:pPr>
      <w:r>
        <w:rPr>
          <w:rFonts w:ascii="Arial" w:cs="Arial" w:eastAsia="Arial" w:hAnsi="Arial"/>
          <w:b w:val="false"/>
          <w:bCs w:val="false"/>
          <w:color w:val="1A1A1A"/>
          <w:sz w:val="22"/>
          <w:szCs w:val="22"/>
        </w:rPr>
        <w:t xml:space="preserve">Central bank benchmark rate: Rate increases raise minimum payment burdens for floating-rate obligations.</w:t>
      </w:r>
    </w:p>
    <w:p>
      <w:pPr>
        <w:pStyle w:val="ListParagraph"/>
        <w:numPr>
          <w:ilvl w:val="0"/>
          <w:numId w:val="2"/>
        </w:numPr>
        <w:spacing w:before="50" w:after="50"/>
      </w:pPr>
      <w:r>
        <w:rPr>
          <w:rFonts w:ascii="Arial" w:cs="Arial" w:eastAsia="Arial" w:hAnsi="Arial"/>
          <w:b w:val="false"/>
          <w:bCs w:val="false"/>
          <w:color w:val="1A1A1A"/>
          <w:sz w:val="22"/>
          <w:szCs w:val="22"/>
        </w:rPr>
        <w:t xml:space="preserve">Credit card delinquency index: Industry-level delinquency rate provides systemic context for individual account behaviour.</w:t>
      </w:r>
    </w:p>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80"/>
        <w:gridCol w:w="8080"/>
      </w:tblGrid>
      <w:tr>
        <w:tc>
          <w:tcPr>
            <w:tcW w:type="dxa" w:w="1280"/>
            <w:tcBorders>
              <w:top w:val="single" w:color="D5D8DC" w:sz="1"/>
              <w:left w:val="single" w:color="D5D8DC" w:sz="1"/>
              <w:bottom w:val="single" w:color="D5D8DC" w:sz="1"/>
              <w:right w:val="single" w:color="D5D8DC" w:sz="1"/>
            </w:tcBorders>
            <w:shd w:fill="6C3483" w:val="clear"/>
            <w:tcMar>
              <w:top w:type="dxa" w:w="100"/>
              <w:left w:type="dxa" w:w="120"/>
              <w:bottom w:type="dxa" w:w="100"/>
              <w:right w:type="dxa" w:w="80"/>
            </w:tcMar>
            <w:vAlign w:val="center"/>
          </w:tcPr>
          <w:p>
            <w:pPr>
              <w:jc w:val="center"/>
            </w:pPr>
            <w:r>
              <w:rPr>
                <w:rFonts w:ascii="Arial" w:cs="Arial" w:eastAsia="Arial" w:hAnsi="Arial"/>
                <w:b/>
                <w:bCs/>
                <w:color w:val="FFFFFF"/>
                <w:sz w:val="17"/>
                <w:szCs w:val="17"/>
              </w:rPr>
              <w:t xml:space="preserve">EXPERT NOTE</w:t>
            </w:r>
          </w:p>
        </w:tc>
        <w:tc>
          <w:tcPr>
            <w:tcW w:type="dxa" w:w="8080"/>
            <w:tcBorders>
              <w:top w:val="single" w:color="D5D8DC" w:sz="1"/>
              <w:left w:val="single" w:color="D5D8DC" w:sz="1"/>
              <w:bottom w:val="single" w:color="D5D8DC" w:sz="1"/>
              <w:right w:val="single" w:color="D5D8DC" w:sz="1"/>
            </w:tcBorders>
            <w:shd w:fill="F5EEF8" w:val="clear"/>
            <w:tcMar>
              <w:top w:type="dxa" w:w="100"/>
              <w:left w:type="dxa" w:w="160"/>
              <w:bottom w:type="dxa" w:w="100"/>
              <w:right w:type="dxa" w:w="120"/>
            </w:tcMar>
          </w:tcPr>
          <w:p>
            <w:r>
              <w:rPr>
                <w:rFonts w:ascii="Arial" w:cs="Arial" w:eastAsia="Arial" w:hAnsi="Arial"/>
                <w:color w:val="2C3E50"/>
                <w:sz w:val="20"/>
                <w:szCs w:val="20"/>
              </w:rPr>
              <w:t xml:space="preserve">In IFRS9 models at major banks, macro-economic scenario conditioning is mandatory. The same feature engineering pipeline is run under three macroeconomic scenarios (base, optimistic, adverse) to produce the probability-weighted PD estimates required for ECL (Expected Credit Loss) calculation.</w:t>
            </w:r>
          </w:p>
        </w:tc>
      </w:tr>
    </w:tbl>
    <w:p>
      <w:pPr>
        <w:spacing w:before="0" w:after="140"/>
      </w:pPr>
    </w:p>
    <w:p>
      <w:pPr>
        <w:pStyle w:val="Heading2"/>
        <w:spacing w:before="280" w:after="120"/>
      </w:pPr>
      <w:r>
        <w:rPr>
          <w:rFonts w:ascii="Arial" w:cs="Arial" w:eastAsia="Arial" w:hAnsi="Arial"/>
          <w:b/>
          <w:bCs/>
          <w:color w:val="1B6CA8"/>
          <w:sz w:val="28"/>
          <w:szCs w:val="28"/>
        </w:rPr>
        <w:t xml:space="preserve">A.5 Isotonic Regression for Probability Calibration</w:t>
      </w:r>
    </w:p>
    <w:p>
      <w:pPr>
        <w:spacing w:before="80" w:after="80"/>
      </w:pPr>
      <w:r>
        <w:rPr>
          <w:rFonts w:ascii="Arial" w:cs="Arial" w:eastAsia="Arial" w:hAnsi="Arial"/>
          <w:b w:val="false"/>
          <w:bCs w:val="false"/>
          <w:color w:val="1A1A1A"/>
          <w:sz w:val="22"/>
          <w:szCs w:val="22"/>
        </w:rPr>
        <w:t xml:space="preserve">After model training, the predicted probability from XGBoost or Random Forest may not be well-calibrated — meaning a predicted probability of 0.3 may not correspond to an actual 30% default rate. Isotonic regression or Platt scaling corrects this: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5D8DC" w:sz="1"/>
              <w:left w:val="single" w:color="D5D8DC" w:sz="1"/>
              <w:bottom w:val="single" w:color="D5D8DC" w:sz="1"/>
              <w:right w:val="single" w:color="D5D8DC" w:sz="1"/>
            </w:tcBorders>
            <w:shd w:fill="2C3E50" w:val="clear"/>
            <w:tcMar>
              <w:top w:type="dxa" w:w="120"/>
              <w:left w:type="dxa" w:w="200"/>
              <w:bottom w:type="dxa" w:w="120"/>
              <w:right w:type="dxa" w:w="160"/>
            </w:tcMar>
          </w:tcPr>
          <w:p>
            <w:pPr>
              <w:spacing w:before="20" w:after="20"/>
            </w:pPr>
            <w:r>
              <w:rPr>
                <w:rFonts w:ascii="Courier New" w:cs="Courier New" w:eastAsia="Courier New" w:hAnsi="Courier New"/>
                <w:color w:val="A9DFBF"/>
                <w:sz w:val="18"/>
                <w:szCs w:val="18"/>
              </w:rPr>
              <w:t xml:space="preserve">from sklearn.calibration import CalibratedClassifierCV</w:t>
            </w:r>
          </w:p>
          <w:p>
            <w:pPr>
              <w:spacing w:before="20" w:after="20"/>
            </w:pPr>
            <w:r>
              <w:rPr>
                <w:rFonts w:ascii="Courier New" w:cs="Courier New" w:eastAsia="Courier New" w:hAnsi="Courier New"/>
                <w:color w:val="A9DFBF"/>
                <w:sz w:val="18"/>
                <w:szCs w:val="18"/>
              </w:rPr>
              <w:t xml:space="preserve"/>
            </w:r>
          </w:p>
          <w:p>
            <w:pPr>
              <w:spacing w:before="20" w:after="20"/>
            </w:pPr>
            <w:r>
              <w:rPr>
                <w:rFonts w:ascii="Courier New" w:cs="Courier New" w:eastAsia="Courier New" w:hAnsi="Courier New"/>
                <w:color w:val="A9DFBF"/>
                <w:sz w:val="18"/>
                <w:szCs w:val="18"/>
              </w:rPr>
              <w:t xml:space="preserve"># Platt scaling (parametric)</w:t>
            </w:r>
          </w:p>
          <w:p>
            <w:pPr>
              <w:spacing w:before="20" w:after="20"/>
            </w:pPr>
            <w:r>
              <w:rPr>
                <w:rFonts w:ascii="Courier New" w:cs="Courier New" w:eastAsia="Courier New" w:hAnsi="Courier New"/>
                <w:color w:val="A9DFBF"/>
                <w:sz w:val="18"/>
                <w:szCs w:val="18"/>
              </w:rPr>
              <w:t xml:space="preserve">calibrated_model = CalibratedClassifierCV(xgb_model, method="sigmoid", cv=5)</w:t>
            </w:r>
          </w:p>
          <w:p>
            <w:pPr>
              <w:spacing w:before="20" w:after="20"/>
            </w:pPr>
            <w:r>
              <w:rPr>
                <w:rFonts w:ascii="Courier New" w:cs="Courier New" w:eastAsia="Courier New" w:hAnsi="Courier New"/>
                <w:color w:val="A9DFBF"/>
                <w:sz w:val="18"/>
                <w:szCs w:val="18"/>
              </w:rPr>
              <w:t xml:space="preserve"/>
            </w:r>
          </w:p>
          <w:p>
            <w:pPr>
              <w:spacing w:before="20" w:after="20"/>
            </w:pPr>
            <w:r>
              <w:rPr>
                <w:rFonts w:ascii="Courier New" w:cs="Courier New" w:eastAsia="Courier New" w:hAnsi="Courier New"/>
                <w:color w:val="A9DFBF"/>
                <w:sz w:val="18"/>
                <w:szCs w:val="18"/>
              </w:rPr>
              <w:t xml:space="preserve"># OR Isotonic regression (non-parametric, preferred for credit risk)</w:t>
            </w:r>
          </w:p>
          <w:p>
            <w:pPr>
              <w:spacing w:before="20" w:after="20"/>
            </w:pPr>
            <w:r>
              <w:rPr>
                <w:rFonts w:ascii="Courier New" w:cs="Courier New" w:eastAsia="Courier New" w:hAnsi="Courier New"/>
                <w:color w:val="A9DFBF"/>
                <w:sz w:val="18"/>
                <w:szCs w:val="18"/>
              </w:rPr>
              <w:t xml:space="preserve">calibrated_model = CalibratedClassifierCV(xgb_model, method="isotonic", cv=5)</w:t>
            </w:r>
          </w:p>
          <w:p>
            <w:pPr>
              <w:spacing w:before="20" w:after="20"/>
            </w:pPr>
            <w:r>
              <w:rPr>
                <w:rFonts w:ascii="Courier New" w:cs="Courier New" w:eastAsia="Courier New" w:hAnsi="Courier New"/>
                <w:color w:val="A9DFBF"/>
                <w:sz w:val="18"/>
                <w:szCs w:val="18"/>
              </w:rPr>
              <w:t xml:space="preserve"/>
            </w:r>
          </w:p>
          <w:p>
            <w:pPr>
              <w:spacing w:before="20" w:after="20"/>
            </w:pPr>
            <w:r>
              <w:rPr>
                <w:rFonts w:ascii="Courier New" w:cs="Courier New" w:eastAsia="Courier New" w:hAnsi="Courier New"/>
                <w:color w:val="A9DFBF"/>
                <w:sz w:val="18"/>
                <w:szCs w:val="18"/>
              </w:rPr>
              <w:t xml:space="preserve"># Verify calibration: Brier Score should improve; calibration curve should align</w:t>
            </w:r>
          </w:p>
          <w:p>
            <w:pPr>
              <w:spacing w:before="20" w:after="20"/>
            </w:pPr>
            <w:r>
              <w:rPr>
                <w:rFonts w:ascii="Courier New" w:cs="Courier New" w:eastAsia="Courier New" w:hAnsi="Courier New"/>
                <w:color w:val="A9DFBF"/>
                <w:sz w:val="18"/>
                <w:szCs w:val="18"/>
              </w:rPr>
              <w:t xml:space="preserve"># with the 45-degree reference line (perfect calibration)</w:t>
            </w:r>
          </w:p>
        </w:tc>
      </w:tr>
    </w:tbl>
    <w:p>
      <w:pPr>
        <w:spacing w:before="80" w:after="80"/>
      </w:pPr>
      <w:r>
        <w:rPr>
          <w:rFonts w:ascii="Arial" w:cs="Arial" w:eastAsia="Arial" w:hAnsi="Arial"/>
          <w:b w:val="false"/>
          <w:bCs w:val="false"/>
          <w:color w:val="1A1A1A"/>
          <w:sz w:val="22"/>
          <w:szCs w:val="22"/>
        </w:rPr>
        <w:t xml:space="preserve">Probability calibration is mandatory for PD models used in Expected Loss calculations (EL = PD × LGD × EAD). An uncalibrated model will systematically mis-estimate credit losses.</w:t>
      </w:r>
    </w:p>
    <w:p>
      <w:pPr>
        <w:spacing w:before="0" w:after="200"/>
      </w:pPr>
    </w:p>
    <w:p>
      <w:r>
        <w:br w:type="page"/>
      </w:r>
    </w:p>
    <w:p>
      <w:pPr>
        <w:pBdr>
          <w:top w:val="single" w:color="2E75B6" w:sz="6" w:space="6"/>
        </w:pBdr>
        <w:spacing w:before="160" w:after="60"/>
        <w:jc w:val="center"/>
      </w:pPr>
      <w:r>
        <w:rPr>
          <w:rFonts w:ascii="Arial" w:cs="Arial" w:eastAsia="Arial" w:hAnsi="Arial"/>
          <w:b/>
          <w:bCs/>
          <w:color w:val="1F3864"/>
          <w:sz w:val="22"/>
          <w:szCs w:val="22"/>
        </w:rPr>
        <w:t xml:space="preserve">END OF FEATURE ENGINEERING FRAMEWORK</w:t>
      </w:r>
    </w:p>
    <w:p>
      <w:pPr>
        <w:spacing w:after="60"/>
        <w:jc w:val="center"/>
      </w:pPr>
      <w:r>
        <w:rPr>
          <w:rFonts w:ascii="Arial" w:cs="Arial" w:eastAsia="Arial" w:hAnsi="Arial"/>
          <w:i/>
          <w:iCs/>
          <w:color w:val="888888"/>
          <w:sz w:val="17"/>
          <w:szCs w:val="17"/>
        </w:rPr>
        <w:t xml:space="preserve">Credit Risk Modeling — Feature Engineering Framework | Principal Data Scientist Review | Confidential</w:t>
      </w:r>
    </w:p>
    <w:sectPr>
      <w:headerReference w:type="default" r:id="rId6"/>
      <w:footerReference w:type="default" r:id="rId7"/>
      <w:pgSz w:w="12240" w:h="15840" w:orient="portrait"/>
      <w:pgMar w:top="1260" w:right="1260" w:bottom="126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6"/>
      </w:pBdr>
      <w:tabs>
        <w:tab w:val="right" w:pos="9026"/>
      </w:tabs>
    </w:pPr>
    <w:r>
      <w:rPr>
        <w:rFonts w:ascii="Arial" w:cs="Arial" w:eastAsia="Arial" w:hAnsi="Arial"/>
        <w:i/>
        <w:iCs/>
        <w:color w:val="888888"/>
        <w:sz w:val="17"/>
        <w:szCs w:val="17"/>
      </w:rPr>
      <w:t xml:space="preserve">Feature Engineering Framework | Credit Risk | Confidential</w:t>
    </w:r>
    <w:r>
      <w:rPr>
        <w:rFonts w:ascii="Arial" w:cs="Arial" w:eastAsia="Arial" w:hAnsi="Arial"/>
        <w:color w:val="888888"/>
        <w:sz w:val="17"/>
        <w:szCs w:val="17"/>
      </w:rPr>
      <w:t xml:space="preserve">	Page </w:t>
    </w:r>
    <w:r>
      <w:rPr>
        <w:rFonts w:ascii="Arial" w:cs="Arial" w:eastAsia="Arial" w:hAnsi="Arial"/>
        <w:color w:val="888888"/>
        <w:sz w:val="17"/>
        <w:szCs w:val="17"/>
      </w:rPr>
      <w:fldChar w:fldCharType="begin"/>
      <w:instrText xml:space="preserve">PAGE</w:instrText>
      <w:fldChar w:fldCharType="separate"/>
      <w:fldChar w:fldCharType="end"/>
    </w:r>
    <w:r>
      <w:rPr>
        <w:rFonts w:ascii="Arial" w:cs="Arial" w:eastAsia="Arial" w:hAnsi="Arial"/>
        <w:color w:val="888888"/>
        <w:sz w:val="17"/>
        <w:szCs w:val="17"/>
      </w:rPr>
      <w:t xml:space="preserve"> of </w:t>
    </w:r>
    <w:r>
      <w:rPr>
        <w:rFonts w:ascii="Arial" w:cs="Arial" w:eastAsia="Arial" w:hAnsi="Arial"/>
        <w:color w:val="888888"/>
        <w:sz w:val="17"/>
        <w:szCs w:val="17"/>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6"/>
      </w:pBdr>
      <w:tabs>
        <w:tab w:val="right" w:pos="9026"/>
      </w:tabs>
      <w:spacing w:after="60"/>
    </w:pPr>
    <w:r>
      <w:rPr>
        <w:rFonts w:ascii="Arial" w:cs="Arial" w:eastAsia="Arial" w:hAnsi="Arial"/>
        <w:b/>
        <w:bCs/>
        <w:color w:val="1F3864"/>
        <w:sz w:val="18"/>
        <w:szCs w:val="18"/>
      </w:rPr>
      <w:t xml:space="preserve">Credit Risk Modeling — Feature Engineering Framework</w:t>
    </w:r>
    <w:r>
      <w:rPr>
        <w:rFonts w:ascii="Arial" w:cs="Arial" w:eastAsia="Arial" w:hAnsi="Arial"/>
      </w:rPr>
      <w:t xml:space="preserve">	</w:t>
    </w:r>
    <w:r>
      <w:rPr>
        <w:rFonts w:ascii="Arial" w:cs="Arial" w:eastAsia="Arial" w:hAnsi="Arial"/>
        <w:i/>
        <w:iCs/>
        <w:color w:val="888888"/>
        <w:sz w:val="17"/>
        <w:szCs w:val="17"/>
      </w:rPr>
      <w:t xml:space="preserve">Principal Data Scientist Review</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08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160"/>
      <w:outlineLvl w:val="0"/>
    </w:pPr>
    <w:rPr>
      <w:rFonts w:ascii="Arial" w:cs="Arial" w:eastAsia="Arial" w:hAnsi="Arial"/>
      <w:b/>
      <w:bCs/>
      <w:color w:val="1F3864"/>
      <w:sz w:val="36"/>
      <w:szCs w:val="36"/>
    </w:rPr>
  </w:style>
  <w:style w:type="paragraph" w:styleId="Heading2">
    <w:name w:val="Heading 2"/>
    <w:basedOn w:val="Normal"/>
    <w:next w:val="Normal"/>
    <w:qFormat/>
    <w:pPr>
      <w:spacing w:before="280" w:after="120"/>
      <w:outlineLvl w:val="1"/>
    </w:pPr>
    <w:rPr>
      <w:rFonts w:ascii="Arial" w:cs="Arial" w:eastAsia="Arial" w:hAnsi="Arial"/>
      <w:b/>
      <w:bCs/>
      <w:color w:val="1B6CA8"/>
      <w:sz w:val="28"/>
      <w:szCs w:val="28"/>
    </w:rPr>
  </w:style>
  <w:style w:type="paragraph" w:styleId="Heading3">
    <w:name w:val="Heading 3"/>
    <w:basedOn w:val="Normal"/>
    <w:next w:val="Normal"/>
    <w:qFormat/>
    <w:pPr>
      <w:spacing w:before="200" w:after="80"/>
      <w:outlineLvl w:val="2"/>
    </w:pPr>
    <w:rPr>
      <w:rFonts w:ascii="Arial" w:cs="Arial" w:eastAsia="Arial" w:hAnsi="Arial"/>
      <w:b/>
      <w:bCs/>
      <w:color w:val="1F386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2026-03-06T16:34:01.875Z</dcterms:created>
  <dcterms:modified xsi:type="dcterms:W3CDTF">2026-03-06T16:34:01.877Z</dcterms:modified>
</cp:coreProperties>
</file>

<file path=docProps/custom.xml><?xml version="1.0" encoding="utf-8"?>
<Properties xmlns="http://schemas.openxmlformats.org/officeDocument/2006/custom-properties" xmlns:vt="http://schemas.openxmlformats.org/officeDocument/2006/docPropsVTypes"/>
</file>