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Linkage disequilibrium (LD), the non-random association of alleles across loci, is a core signal in genomic data and a key component of many downstream analyses. In most current workflows, LD is introduced through explicit pairwise calculations and matrix construction before modeling. While effective, this preprocessing can be computationally expensive and difficult to generalize across datasets and analytical settings. Here, we present ldAttention, a modular LD-aware deep learning framework that does not explicitly calculate LD, but instead implicitly learns LD structure within attention mechanisms during end-to-end training. The current implementation is VCF-compatible, enabling immediate use in standard variant-based pipelines. However, ldAttention is designed as a framework rather than a format-specific tool, and its components can be adapted to other structured genomic input formats with limited architectural changes. Its central objective is to represent locus-to-locus dependency patterns directly in the model, rather than as a separate precomputed artifact. This design supports broad reuse across LD-related downstream analyses through task-specific objectives built on shared LD-aware modules. Overall, ldAttention provides a scalable and flexible foundation for LD-aware genomic machine learning by replacing explicit LD preprocessing with implicit LD learning.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Pages>
  <Words>185</Words>
  <Characters>1203</Characters>
  <CharactersWithSpaces>1387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2026-04-28T14:13:22Z</dcterms:created>
  <dc:creator/>
  <dc:description/>
  <dc:language>en-US</dc:language>
  <cp:lastModifiedBy/>
  <dcterms:modified xsi:type="dcterms:W3CDTF">2026-04-28T14:47:05Z</dcterms:modified>
  <cp:revision>1</cp:revision>
  <dc:subject/>
  <dc:title/>
</cp:coreProperties>
</file>