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Unit code: XYZ1000</w:t>
      </w:r>
    </w:p>
    <w:p>
      <w:r>
        <w:t xml:space="preserve">Unit name: Systems Analysis and Design</w:t>
      </w:r>
    </w:p>
    <w:p>
      <w:r>
        <w:t xml:space="preserve">Coordinator: Dr Alex Rivera</w:t>
      </w:r>
    </w:p>
    <w:p>
      <w:r>
        <w:t xml:space="preserve">This unit introduces structured techniques for analysing and designing</w:t>
      </w:r>
    </w:p>
    <w:p>
      <w:r>
        <w:t xml:space="preserve">information systems, covering requirements elicitation, UML modelling and</w:t>
      </w:r>
    </w:p>
    <w:p>
      <w:r>
        <w:t xml:space="preserve">usability evaluation.</w:t>
      </w:r>
    </w:p>
    <w:p>
      <w:r>
        <w:t xml:space="preserve">Week 1: Introduction to Systems Analysis</w:t>
      </w:r>
    </w:p>
    <w:p>
      <w:r>
        <w:t xml:space="preserve">Week 2: Requirements Elicitation Techniques</w:t>
      </w:r>
    </w:p>
    <w:p>
      <w:r>
        <w:t xml:space="preserve">Week 3: Wireframing and Prototyping</w:t>
      </w:r>
    </w:p>
    <w:p>
      <w:r>
        <w:t xml:space="preserve">Required reading: Dennis, A. (2021). Systems Analysis and Design. Wiley.</w:t>
      </w:r>
    </w:p>
    <w:p>
      <w:r>
        <w:t xml:space="preserve">Recommended reading: Norman, D. (2013). The Design of Everyday Things.</w:t>
      </w:r>
    </w:p>
    <w:p>
      <w:r>
        <w:t xml:space="preserve">Assessment 1: Portfolio of Wireframes</w:t>
      </w:r>
    </w:p>
    <w:p>
      <w:r>
        <w:t xml:space="preserve">Weighting: 30%</w:t>
      </w:r>
    </w:p>
    <w:p>
      <w:r>
        <w:t xml:space="preserve">Due: 11:59 pm AEST, Sunday 9 August 2026</w:t>
      </w:r>
    </w:p>
    <w:p>
      <w:r>
        <w:t xml:space="preserve">Submission: Submit via the LMS as a single PDF.</w:t>
      </w:r>
    </w:p>
    <w:p>
      <w:r>
        <w:t xml:space="preserve">Assessment 2: Final Report and Prototype</w:t>
      </w:r>
    </w:p>
    <w:p>
      <w:r>
        <w:t xml:space="preserve">Weighting: 40%</w:t>
      </w:r>
    </w:p>
    <w:p>
      <w:r>
        <w:t xml:space="preserve">Due: 16 August 2026</w:t>
      </w:r>
    </w:p>
    <w:p>
      <w:r>
        <w:t xml:space="preserve">Submission: Submit via the LMS as a zipped project folder.</w:t>
      </w:r>
    </w:p>
    <w:p>
      <w:r>
        <w:t xml:space="preserve">Assessment 3: Reflective Practice Journal Entry</w:t>
      </w:r>
    </w:p>
    <w:p>
      <w:r>
        <w:t xml:space="preserve">Weighting: 10%</w:t>
      </w:r>
    </w:p>
    <w:p>
      <w:r>
        <w:t xml:space="preserve">Due: end of Week 8.</w:t>
      </w:r>
    </w:p>
    <w:p>
      <w:r>
        <w:t xml:space="preserve">Submission: Submit via the LMS.</w:t>
      </w:r>
    </w:p>
    <w:p>
      <w:r>
        <w:t xml:space="preserve">Assessment 4: Case Study Exercise</w:t>
      </w:r>
    </w:p>
    <w:p>
      <w:r>
        <w:t xml:space="preserve">Weighting: 5%</w:t>
      </w:r>
    </w:p>
    <w:p>
      <w:r>
        <w:t xml:space="preserve">Late policy note: for example, a submission due 1 August 2026 could receive</w:t>
      </w:r>
    </w:p>
    <w:p>
      <w:r>
        <w:t xml:space="preserve">a 48-hour extension. The actual due date for this assessment is not listed</w:t>
      </w:r>
    </w:p>
    <w:p>
      <w:r>
        <w:t xml:space="preserve">here and will be confirmed separately.</w:t>
      </w:r>
    </w:p>
    <w:p>
      <w:r>
        <w:t xml:space="preserve">Submission: Submit via the LMS.</w:t>
      </w:r>
    </w:p>
  </w:body>
</w:document>
</file>